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39E9" w14:textId="57F1C8ED" w:rsidR="00C814D7" w:rsidRDefault="00EF2475" w:rsidP="00EF2475">
      <w:pPr>
        <w:jc w:val="center"/>
      </w:pPr>
      <w:r>
        <w:t>证券代码：</w:t>
      </w:r>
      <w:r>
        <w:t>603703</w:t>
      </w:r>
      <w:r>
        <w:rPr>
          <w:rFonts w:hint="eastAsia"/>
        </w:rPr>
        <w:t xml:space="preserve">               </w:t>
      </w:r>
      <w:r>
        <w:rPr>
          <w:rFonts w:hint="eastAsia"/>
        </w:rPr>
        <w:t>证券简称：</w:t>
      </w:r>
      <w:proofErr w:type="gramStart"/>
      <w:r>
        <w:rPr>
          <w:rFonts w:hint="eastAsia"/>
        </w:rPr>
        <w:t>盛洋科技</w:t>
      </w:r>
      <w:proofErr w:type="gramEnd"/>
      <w:r w:rsidRPr="00EF2475">
        <w:t xml:space="preserve">               </w:t>
      </w:r>
      <w:r>
        <w:rPr>
          <w:rFonts w:hint="eastAsia"/>
        </w:rPr>
        <w:t>编号：</w:t>
      </w:r>
      <w:r w:rsidR="00931230">
        <w:rPr>
          <w:rFonts w:hint="eastAsia"/>
        </w:rPr>
        <w:t>20</w:t>
      </w:r>
      <w:r w:rsidR="003E2328">
        <w:rPr>
          <w:rFonts w:hint="eastAsia"/>
        </w:rPr>
        <w:t>25</w:t>
      </w:r>
      <w:r w:rsidR="00931230">
        <w:rPr>
          <w:rFonts w:hint="eastAsia"/>
        </w:rPr>
        <w:t>-00</w:t>
      </w:r>
      <w:r w:rsidR="00046892">
        <w:rPr>
          <w:rFonts w:hint="eastAsia"/>
        </w:rPr>
        <w:t>1</w:t>
      </w:r>
    </w:p>
    <w:p w14:paraId="5EFD74F5" w14:textId="77777777" w:rsidR="00FE6763" w:rsidRDefault="00EF2475" w:rsidP="00EF2475">
      <w:pPr>
        <w:jc w:val="center"/>
        <w:rPr>
          <w:sz w:val="32"/>
          <w:szCs w:val="32"/>
        </w:rPr>
      </w:pPr>
      <w:r w:rsidRPr="00EF2475">
        <w:rPr>
          <w:rFonts w:hint="eastAsia"/>
          <w:sz w:val="32"/>
          <w:szCs w:val="32"/>
        </w:rPr>
        <w:t>浙江盛洋科技股份有限公司</w:t>
      </w:r>
    </w:p>
    <w:p w14:paraId="0CE49715" w14:textId="768F7D8A" w:rsidR="00EF2475" w:rsidRPr="00EF2475" w:rsidRDefault="00FE6763" w:rsidP="00EF24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="00EF2475" w:rsidRPr="00EF2475">
        <w:rPr>
          <w:rFonts w:hint="eastAsia"/>
          <w:sz w:val="32"/>
          <w:szCs w:val="32"/>
        </w:rPr>
        <w:t>投资者关系活动记录表</w:t>
      </w:r>
    </w:p>
    <w:p w14:paraId="3884C8A3" w14:textId="77777777" w:rsidR="00EF2475" w:rsidRDefault="00EF2475" w:rsidP="00EF247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F2475" w14:paraId="6748225D" w14:textId="77777777" w:rsidTr="00455E40">
        <w:tc>
          <w:tcPr>
            <w:tcW w:w="1809" w:type="dxa"/>
            <w:vAlign w:val="center"/>
          </w:tcPr>
          <w:p w14:paraId="5911DE0B" w14:textId="77777777" w:rsidR="00EF2475" w:rsidRPr="00CD75C7" w:rsidRDefault="00EF2475" w:rsidP="00843907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投资者关系活动类别</w:t>
            </w:r>
          </w:p>
        </w:tc>
        <w:tc>
          <w:tcPr>
            <w:tcW w:w="6713" w:type="dxa"/>
          </w:tcPr>
          <w:p w14:paraId="1D803B1E" w14:textId="7A2ED952" w:rsidR="00EF2475" w:rsidRDefault="00FE6763" w:rsidP="00EF2475">
            <w:pPr>
              <w:spacing w:line="360" w:lineRule="auto"/>
              <w:ind w:right="420"/>
              <w:jc w:val="left"/>
            </w:pPr>
            <w:bookmarkStart w:id="0" w:name="OLE_LINK3"/>
            <w:r>
              <w:rPr>
                <w:rFonts w:hint="eastAsia"/>
              </w:rPr>
              <w:t>√</w:t>
            </w:r>
            <w:bookmarkEnd w:id="0"/>
            <w:r w:rsidR="00455E40">
              <w:rPr>
                <w:rFonts w:hint="eastAsia"/>
              </w:rPr>
              <w:t>特定对象</w:t>
            </w:r>
            <w:r w:rsidR="00EF2475">
              <w:t>调研</w:t>
            </w:r>
            <w:r w:rsidR="00EF2475">
              <w:rPr>
                <w:rFonts w:hint="eastAsia"/>
              </w:rPr>
              <w:t xml:space="preserve">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分析</w:t>
            </w:r>
            <w:proofErr w:type="gramStart"/>
            <w:r w:rsidR="00EF2475">
              <w:rPr>
                <w:rFonts w:hint="eastAsia"/>
              </w:rPr>
              <w:t>师会议</w:t>
            </w:r>
            <w:proofErr w:type="gramEnd"/>
            <w:r w:rsidR="00EF2475">
              <w:rPr>
                <w:rFonts w:hint="eastAsia"/>
              </w:rPr>
              <w:t xml:space="preserve">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业绩说明会</w:t>
            </w:r>
          </w:p>
          <w:p w14:paraId="5B68AFAF" w14:textId="77777777" w:rsidR="00EF2475" w:rsidRDefault="00EF2475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</w:t>
            </w:r>
            <w:bookmarkStart w:id="1" w:name="OLE_LINK1"/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路演活动</w:t>
            </w:r>
            <w:bookmarkEnd w:id="1"/>
            <w:r>
              <w:rPr>
                <w:rFonts w:hint="eastAsia"/>
              </w:rPr>
              <w:t xml:space="preserve">   </w:t>
            </w:r>
          </w:p>
          <w:p w14:paraId="5A28B8D8" w14:textId="53F8575A" w:rsidR="00EF2475" w:rsidRPr="00EF2475" w:rsidRDefault="00FE6763" w:rsidP="00EF2475">
            <w:pPr>
              <w:spacing w:line="360" w:lineRule="auto"/>
              <w:ind w:right="420"/>
              <w:jc w:val="left"/>
              <w:rPr>
                <w:u w:val="single"/>
              </w:rPr>
            </w:pPr>
            <w:r>
              <w:rPr>
                <w:rFonts w:hint="eastAsia"/>
              </w:rPr>
              <w:t>√</w:t>
            </w:r>
            <w:r w:rsidR="00455E40">
              <w:rPr>
                <w:rFonts w:hint="eastAsia"/>
              </w:rPr>
              <w:t>现场参观</w:t>
            </w:r>
            <w:r w:rsidR="00455E40"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其他</w:t>
            </w:r>
            <w:r w:rsidR="00EF2475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9B100C" w14:paraId="6747C602" w14:textId="77777777" w:rsidTr="00455E40">
        <w:tc>
          <w:tcPr>
            <w:tcW w:w="1809" w:type="dxa"/>
            <w:vAlign w:val="center"/>
          </w:tcPr>
          <w:p w14:paraId="555B3934" w14:textId="22E0EC6D" w:rsidR="009B100C" w:rsidRPr="00CD75C7" w:rsidRDefault="00455E40" w:rsidP="00843907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参与单位</w:t>
            </w:r>
            <w:r w:rsidR="00FF50DD"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6713" w:type="dxa"/>
          </w:tcPr>
          <w:p w14:paraId="3ACECFBC" w14:textId="77777777" w:rsidR="00E12CC9" w:rsidRDefault="00FE6763" w:rsidP="00576615">
            <w:pPr>
              <w:spacing w:line="360" w:lineRule="auto"/>
              <w:ind w:right="420"/>
              <w:jc w:val="left"/>
            </w:pPr>
            <w:r w:rsidRPr="00FE6763">
              <w:rPr>
                <w:rFonts w:hint="eastAsia"/>
              </w:rPr>
              <w:t>山西证券、长江</w:t>
            </w:r>
            <w:r>
              <w:rPr>
                <w:rFonts w:hint="eastAsia"/>
              </w:rPr>
              <w:t>证券</w:t>
            </w:r>
            <w:r w:rsidRPr="00FE6763">
              <w:rPr>
                <w:rFonts w:hint="eastAsia"/>
              </w:rPr>
              <w:t>资管</w:t>
            </w:r>
            <w:r>
              <w:rPr>
                <w:rFonts w:hint="eastAsia"/>
              </w:rPr>
              <w:t>、</w:t>
            </w:r>
            <w:r w:rsidRPr="00FE6763">
              <w:rPr>
                <w:rFonts w:hint="eastAsia"/>
              </w:rPr>
              <w:t>开源证券、华鑫证券、财通证券、</w:t>
            </w:r>
          </w:p>
          <w:p w14:paraId="27AE5D8E" w14:textId="76C9E7CE" w:rsidR="009B100C" w:rsidRDefault="00FE6763" w:rsidP="00576615">
            <w:pPr>
              <w:spacing w:line="360" w:lineRule="auto"/>
              <w:ind w:right="420"/>
              <w:jc w:val="left"/>
            </w:pPr>
            <w:r w:rsidRPr="00FE6763">
              <w:rPr>
                <w:rFonts w:hint="eastAsia"/>
              </w:rPr>
              <w:t>灵狮投资、</w:t>
            </w:r>
            <w:proofErr w:type="gramStart"/>
            <w:r w:rsidRPr="00FE6763">
              <w:rPr>
                <w:rFonts w:hint="eastAsia"/>
              </w:rPr>
              <w:t>淞</w:t>
            </w:r>
            <w:proofErr w:type="gramEnd"/>
            <w:r w:rsidRPr="00FE6763">
              <w:rPr>
                <w:rFonts w:hint="eastAsia"/>
              </w:rPr>
              <w:t>泓投资、</w:t>
            </w:r>
            <w:proofErr w:type="gramStart"/>
            <w:r w:rsidRPr="00FE6763">
              <w:rPr>
                <w:rFonts w:hint="eastAsia"/>
              </w:rPr>
              <w:t>恒泽投资</w:t>
            </w:r>
            <w:proofErr w:type="gramEnd"/>
            <w:r w:rsidRPr="00FE6763">
              <w:rPr>
                <w:rFonts w:hint="eastAsia"/>
              </w:rPr>
              <w:t>、风实投资</w:t>
            </w:r>
          </w:p>
        </w:tc>
      </w:tr>
      <w:tr w:rsidR="00E305CC" w14:paraId="1AB0B530" w14:textId="77777777" w:rsidTr="00455E40">
        <w:tc>
          <w:tcPr>
            <w:tcW w:w="1809" w:type="dxa"/>
            <w:vAlign w:val="center"/>
          </w:tcPr>
          <w:p w14:paraId="4784281F" w14:textId="64960FA1" w:rsidR="00E305CC" w:rsidRPr="00CD75C7" w:rsidRDefault="00455E40" w:rsidP="005B0CB3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13" w:type="dxa"/>
          </w:tcPr>
          <w:p w14:paraId="34040E98" w14:textId="73D56E64" w:rsidR="00E305CC" w:rsidRDefault="00FE6763" w:rsidP="005B0CB3">
            <w:pPr>
              <w:ind w:right="420"/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EF2475" w14:paraId="2FEBC2B8" w14:textId="77777777" w:rsidTr="00455E40">
        <w:tc>
          <w:tcPr>
            <w:tcW w:w="1809" w:type="dxa"/>
            <w:vAlign w:val="center"/>
          </w:tcPr>
          <w:p w14:paraId="0823AF5C" w14:textId="6B8FEDA6" w:rsidR="00EF2475" w:rsidRPr="00CD75C7" w:rsidRDefault="00455E40" w:rsidP="00843907">
            <w:pPr>
              <w:ind w:right="420"/>
              <w:rPr>
                <w:b/>
              </w:rPr>
            </w:pPr>
            <w:r w:rsidRPr="00CD75C7">
              <w:rPr>
                <w:rFonts w:hint="eastAsia"/>
                <w:b/>
              </w:rPr>
              <w:t>上市公司接待人员</w:t>
            </w:r>
          </w:p>
        </w:tc>
        <w:tc>
          <w:tcPr>
            <w:tcW w:w="6713" w:type="dxa"/>
          </w:tcPr>
          <w:p w14:paraId="586464C8" w14:textId="77777777" w:rsidR="00EF2475" w:rsidRDefault="00FF50DD" w:rsidP="00FE6763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董事会秘书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申杰峰</w:t>
            </w:r>
          </w:p>
          <w:p w14:paraId="2D8DB1D3" w14:textId="72193D35" w:rsidR="00FE6763" w:rsidRPr="00EF2475" w:rsidRDefault="00FE6763" w:rsidP="00FE6763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证券事务代表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高璟琳</w:t>
            </w:r>
          </w:p>
        </w:tc>
      </w:tr>
      <w:tr w:rsidR="00FF50DD" w14:paraId="65C732EA" w14:textId="77777777" w:rsidTr="00455E40">
        <w:tc>
          <w:tcPr>
            <w:tcW w:w="1809" w:type="dxa"/>
            <w:vAlign w:val="center"/>
          </w:tcPr>
          <w:p w14:paraId="0299E93C" w14:textId="1FF763BB" w:rsidR="00FF50DD" w:rsidRPr="00CD75C7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6713" w:type="dxa"/>
          </w:tcPr>
          <w:p w14:paraId="2CE4EF90" w14:textId="4A93C8DB" w:rsidR="00FF50DD" w:rsidRPr="00E84629" w:rsidRDefault="003E2328" w:rsidP="00FF50DD">
            <w:pPr>
              <w:spacing w:beforeLines="50" w:before="156" w:line="360" w:lineRule="auto"/>
              <w:ind w:right="420"/>
              <w:jc w:val="left"/>
            </w:pPr>
            <w:r>
              <w:t>公司行政大楼</w:t>
            </w:r>
            <w:r>
              <w:rPr>
                <w:rFonts w:hint="eastAsia"/>
              </w:rPr>
              <w:t>六楼会议</w:t>
            </w:r>
            <w:r>
              <w:t>室</w:t>
            </w:r>
          </w:p>
        </w:tc>
      </w:tr>
      <w:tr w:rsidR="00FF50DD" w14:paraId="5837586D" w14:textId="77777777" w:rsidTr="00455E40">
        <w:trPr>
          <w:trHeight w:val="6219"/>
        </w:trPr>
        <w:tc>
          <w:tcPr>
            <w:tcW w:w="1809" w:type="dxa"/>
            <w:vAlign w:val="center"/>
          </w:tcPr>
          <w:p w14:paraId="25F91F6A" w14:textId="4C733149" w:rsidR="00FF50DD" w:rsidRPr="00CD75C7" w:rsidRDefault="00FF50DD" w:rsidP="00FF50DD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投资者关系活动主要内容</w:t>
            </w:r>
            <w:r>
              <w:rPr>
                <w:rFonts w:hint="eastAsia"/>
                <w:b/>
              </w:rPr>
              <w:t>介绍</w:t>
            </w:r>
          </w:p>
        </w:tc>
        <w:tc>
          <w:tcPr>
            <w:tcW w:w="6713" w:type="dxa"/>
          </w:tcPr>
          <w:p w14:paraId="52EB195F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 xml:space="preserve">1. </w:t>
            </w:r>
            <w:r w:rsidRPr="00FE6763">
              <w:rPr>
                <w:rFonts w:hint="eastAsia"/>
                <w:b/>
                <w:bCs/>
              </w:rPr>
              <w:t>介绍一下公司业务基本面及发展思路？</w:t>
            </w:r>
          </w:p>
          <w:p w14:paraId="2039449B" w14:textId="77777777" w:rsidR="00FE6763" w:rsidRDefault="00FE6763" w:rsidP="00FE6763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回复：公司的主营业务是多种射频电缆及相关配套产品、显示器件、卫星通信终端以及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基站等产品与服务的研发、制造和销售。目前，各项业务有序推进，传统业务不仅逐步回暖，产品结构也升级迭代，显示器件业务稳步增长，卫星通信终端业务积极布局，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基站运营服务业务稳中有进，公司保持着良好的发展势头。</w:t>
            </w:r>
          </w:p>
          <w:p w14:paraId="1C906DB2" w14:textId="3AC15E5E" w:rsidR="00FE6763" w:rsidRDefault="00FE6763" w:rsidP="00FE6763">
            <w:pPr>
              <w:ind w:right="420"/>
              <w:jc w:val="left"/>
            </w:pPr>
            <w:r>
              <w:rPr>
                <w:rFonts w:hint="eastAsia"/>
              </w:rPr>
              <w:t>当前，是公司业务转型升级的重要阶段，先后完成了传统业务升级、股权结构优化、员工持股计划等工作。业务发展的总体思路：紧扣“有线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无线通信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卫星通信”双轮驱动战略，在保持原有业务升级、持续提升的同时，积极顺应通信行业发展趋势，加速数据线缆、专用线缆和卫星通信终端制造业务布局，提升性能与品质，拓宽应用领域，向高端化、精密化、数字化转型，努力成为通信领域的高端装备及服务供应商。</w:t>
            </w:r>
          </w:p>
          <w:p w14:paraId="6BCCF8B0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>2.</w:t>
            </w:r>
            <w:r w:rsidRPr="00FE6763">
              <w:rPr>
                <w:rFonts w:hint="eastAsia"/>
                <w:b/>
                <w:bCs/>
              </w:rPr>
              <w:t>公司高速铜缆业务布局、生产和市场推广情况？</w:t>
            </w:r>
          </w:p>
          <w:p w14:paraId="316D6C87" w14:textId="77777777" w:rsidR="00FE6763" w:rsidRDefault="00FE6763" w:rsidP="00FE6763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业务布局以数据铜缆为核心，形成涵盖工业以太网数据铜缆线、车载通信系统数据铜缆线、电子铜缆线等产品线布局，产品应用于数据中心、工业自动化生产线、车载通信系统、楼宇自动化，网络综合布线等多个领域。</w:t>
            </w:r>
          </w:p>
          <w:p w14:paraId="4DE942CC" w14:textId="77777777" w:rsidR="00FE6763" w:rsidRDefault="00FE6763" w:rsidP="005734CD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生产方面，公司通过长期的技术积累，掌握数据铜缆的成熟的生产工艺，具备生产满足数据中心高速传输需求的线缆产品的能力，通过加大设备升级投入，提升了生产良率与产能，目前订单充足。</w:t>
            </w:r>
          </w:p>
          <w:p w14:paraId="09A424E1" w14:textId="504323CD" w:rsidR="00FE6763" w:rsidRDefault="00FE6763" w:rsidP="005734CD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市场推广上，公司是国内少数有能力设计制造超六类、七类、超七类、八类等数据电缆的企业，产品销售覆盖国内、新加坡、欧洲、中东、北美、南美、印度等多个国家和地区，未来还将向专业</w:t>
            </w:r>
            <w:r>
              <w:rPr>
                <w:rFonts w:hint="eastAsia"/>
              </w:rPr>
              <w:lastRenderedPageBreak/>
              <w:t>市场拓展。</w:t>
            </w:r>
          </w:p>
          <w:p w14:paraId="792779E4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>3.</w:t>
            </w:r>
            <w:r w:rsidRPr="00FE6763">
              <w:rPr>
                <w:rFonts w:hint="eastAsia"/>
                <w:b/>
                <w:bCs/>
              </w:rPr>
              <w:t>公司持股</w:t>
            </w:r>
            <w:r w:rsidRPr="00FE6763">
              <w:rPr>
                <w:rFonts w:hint="eastAsia"/>
                <w:b/>
                <w:bCs/>
              </w:rPr>
              <w:t>5%</w:t>
            </w:r>
            <w:r w:rsidRPr="00FE6763">
              <w:rPr>
                <w:rFonts w:hint="eastAsia"/>
                <w:b/>
                <w:bCs/>
              </w:rPr>
              <w:t>以上股东国交北斗近期拟减持股票，请问是基于什么样的</w:t>
            </w:r>
            <w:proofErr w:type="gramStart"/>
            <w:r w:rsidRPr="00FE6763">
              <w:rPr>
                <w:rFonts w:hint="eastAsia"/>
                <w:b/>
                <w:bCs/>
              </w:rPr>
              <w:t>考量</w:t>
            </w:r>
            <w:proofErr w:type="gramEnd"/>
            <w:r w:rsidRPr="00FE6763">
              <w:rPr>
                <w:rFonts w:hint="eastAsia"/>
                <w:b/>
                <w:bCs/>
              </w:rPr>
              <w:t>？</w:t>
            </w:r>
          </w:p>
          <w:p w14:paraId="0644ABE6" w14:textId="1FE93280" w:rsidR="00FE6763" w:rsidRDefault="00FE6763" w:rsidP="005734CD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本次拟减持是国交北斗自身的资金安排行为，不会对公司治理结构及持续经营产生影响，与公司经营表现无关，系股东自主、独立判断下的正常权利行使。公司大股东及管理层对公司前景充满信心，公司将坚守主营业务，优化产品结构，加快战略布局，不断提升核心竞争力，力求以稳健且持续增长的经营业绩回报广大投资者。</w:t>
            </w:r>
          </w:p>
          <w:p w14:paraId="1383513A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>4.</w:t>
            </w:r>
            <w:r w:rsidRPr="00FE6763">
              <w:rPr>
                <w:rFonts w:hint="eastAsia"/>
                <w:b/>
                <w:bCs/>
              </w:rPr>
              <w:t>公司卫星通信业务发展方向，当前有哪些市场机会？</w:t>
            </w:r>
          </w:p>
          <w:p w14:paraId="53F14AA8" w14:textId="6A06BF63" w:rsidR="00FE6763" w:rsidRDefault="00FE6763" w:rsidP="005734CD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卫星通信业务是公司培育的第二增长曲线，主要通过自主研发、合作投资的模式，掌握卫星通信终端及关键部件的相关技术，减少对国外技术的依赖，提升国产化水平。在国家安全与科技安全的大背景下，卫星通信产业具有广阔的市场空间，“北斗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创新产品、高通量卫星互联网及低轨卫星通信等细分领域，均有望迎来快速发展，公司将以终端设备研发制造为基础积极拓展相关业务。目前，公司主要围绕北斗规模化应用、海事卫星通信终端研发及生产制造、卫星互联网通信终端设备集成等领域，加大研发投入，开展市场化推广工作。</w:t>
            </w:r>
          </w:p>
          <w:p w14:paraId="6ACA0138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>5.</w:t>
            </w:r>
            <w:r w:rsidRPr="00FE6763">
              <w:rPr>
                <w:rFonts w:hint="eastAsia"/>
                <w:b/>
                <w:bCs/>
              </w:rPr>
              <w:t>公司在市值管理方面有哪些举措？</w:t>
            </w:r>
          </w:p>
          <w:p w14:paraId="580E7581" w14:textId="07873B9E" w:rsidR="00FE6763" w:rsidRDefault="00FE6763" w:rsidP="005734CD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公司高度重视市值管理工作，近年来，公司已陆续实施股份回购、员工持股计划等方案，提升员工积极性，增强投资者信心；同时，公司强化与投资者、投资机构保持沟通和交流，积极传递经营理念和投资价值。后续，公司将结合发展情况，增配专岗人才，加大路演、调研交流等活动频次，依法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运用</w:t>
            </w:r>
            <w:proofErr w:type="gramStart"/>
            <w:r>
              <w:rPr>
                <w:rFonts w:hint="eastAsia"/>
              </w:rPr>
              <w:t>好股份</w:t>
            </w:r>
            <w:proofErr w:type="gramEnd"/>
            <w:r>
              <w:rPr>
                <w:rFonts w:hint="eastAsia"/>
              </w:rPr>
              <w:t>回购、并购重组、股权激励、现金分红、投资者关系管理等方式，多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并举提升上市公司投资价值，增强投资者获得感。</w:t>
            </w:r>
          </w:p>
          <w:p w14:paraId="3DBEB1BA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 xml:space="preserve">6. </w:t>
            </w:r>
            <w:r w:rsidRPr="00FE6763">
              <w:rPr>
                <w:rFonts w:hint="eastAsia"/>
                <w:b/>
                <w:bCs/>
              </w:rPr>
              <w:t>请问公司未来有融资计划吗？</w:t>
            </w:r>
          </w:p>
          <w:p w14:paraId="54FD9040" w14:textId="595E08DF" w:rsidR="00FE6763" w:rsidRDefault="005734CD" w:rsidP="005734CD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</w:t>
            </w:r>
            <w:r w:rsidR="00FE6763">
              <w:rPr>
                <w:rFonts w:hint="eastAsia"/>
              </w:rPr>
              <w:t>公司目前资产结构良好，经营现金流稳定，暂无再融资计划。但是，为了保证战略高效落地，公司将根据经营情况等因素综合考虑而定，如有相关安排，公司将按照相关规定及时履行信息披露义务。</w:t>
            </w:r>
          </w:p>
          <w:p w14:paraId="1E93BF98" w14:textId="77777777" w:rsidR="00FE6763" w:rsidRPr="00FE6763" w:rsidRDefault="00FE6763" w:rsidP="00FE6763">
            <w:pPr>
              <w:ind w:right="420" w:firstLineChars="200" w:firstLine="422"/>
              <w:jc w:val="left"/>
              <w:rPr>
                <w:b/>
                <w:bCs/>
              </w:rPr>
            </w:pPr>
            <w:r w:rsidRPr="00FE6763">
              <w:rPr>
                <w:rFonts w:hint="eastAsia"/>
                <w:b/>
                <w:bCs/>
              </w:rPr>
              <w:t xml:space="preserve">7. </w:t>
            </w:r>
            <w:r w:rsidRPr="00FE6763">
              <w:rPr>
                <w:rFonts w:hint="eastAsia"/>
                <w:b/>
                <w:bCs/>
              </w:rPr>
              <w:t>请问公司未来资产并购规划？</w:t>
            </w:r>
          </w:p>
          <w:p w14:paraId="127972D7" w14:textId="48F85CFE" w:rsidR="00FF50DD" w:rsidRDefault="005734CD" w:rsidP="00FE6763">
            <w:pPr>
              <w:ind w:right="420" w:firstLineChars="200" w:firstLine="420"/>
              <w:jc w:val="left"/>
            </w:pPr>
            <w:r>
              <w:rPr>
                <w:rFonts w:hint="eastAsia"/>
              </w:rPr>
              <w:t>回复：</w:t>
            </w:r>
            <w:r w:rsidR="00FE6763">
              <w:rPr>
                <w:rFonts w:hint="eastAsia"/>
              </w:rPr>
              <w:t>证监会推出“并购六条”等一系列政策，为并购营造了有利环境，公司也一直在关注行业内投资机会。至于未来是否会有相关并购计划，公司将综合</w:t>
            </w:r>
            <w:proofErr w:type="gramStart"/>
            <w:r w:rsidR="00FE6763">
              <w:rPr>
                <w:rFonts w:hint="eastAsia"/>
              </w:rPr>
              <w:t>考量</w:t>
            </w:r>
            <w:proofErr w:type="gramEnd"/>
            <w:r w:rsidR="00FE6763">
              <w:rPr>
                <w:rFonts w:hint="eastAsia"/>
              </w:rPr>
              <w:t>战略目标、业务协同、并购成本等因素，适时开展投资并购活动。如有相关进展，公司将严格按照相关规定及时履行信息披露义务。</w:t>
            </w:r>
          </w:p>
        </w:tc>
      </w:tr>
      <w:tr w:rsidR="00FF50DD" w14:paraId="4D9CE45C" w14:textId="77777777" w:rsidTr="005734CD">
        <w:tc>
          <w:tcPr>
            <w:tcW w:w="1809" w:type="dxa"/>
            <w:vAlign w:val="center"/>
          </w:tcPr>
          <w:p w14:paraId="25FD99CD" w14:textId="25CAF798" w:rsidR="00FF50DD" w:rsidRPr="002734A3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是否涉及应当披露重大信息的说明</w:t>
            </w:r>
          </w:p>
        </w:tc>
        <w:tc>
          <w:tcPr>
            <w:tcW w:w="6713" w:type="dxa"/>
            <w:vAlign w:val="center"/>
          </w:tcPr>
          <w:p w14:paraId="3DCF1D1E" w14:textId="0E0DC397" w:rsidR="00FF50DD" w:rsidRPr="002209CE" w:rsidRDefault="00FF50DD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2209CE" w14:paraId="6A9A77A4" w14:textId="77777777" w:rsidTr="00455E40">
        <w:tc>
          <w:tcPr>
            <w:tcW w:w="1809" w:type="dxa"/>
            <w:vAlign w:val="center"/>
          </w:tcPr>
          <w:p w14:paraId="225F2E43" w14:textId="0FD73693" w:rsidR="002209CE" w:rsidRDefault="002209CE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附件清单</w:t>
            </w:r>
          </w:p>
        </w:tc>
        <w:tc>
          <w:tcPr>
            <w:tcW w:w="6713" w:type="dxa"/>
          </w:tcPr>
          <w:p w14:paraId="387E9157" w14:textId="4E556AB6" w:rsidR="002209CE" w:rsidRPr="002209CE" w:rsidRDefault="002209CE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无</w:t>
            </w:r>
          </w:p>
        </w:tc>
      </w:tr>
    </w:tbl>
    <w:p w14:paraId="16F17CCF" w14:textId="77777777" w:rsidR="00EF2475" w:rsidRDefault="00EF2475" w:rsidP="00EF2475">
      <w:pPr>
        <w:ind w:right="420"/>
        <w:jc w:val="left"/>
      </w:pPr>
    </w:p>
    <w:sectPr w:rsidR="00EF24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A939" w14:textId="77777777" w:rsidR="00EE7830" w:rsidRDefault="00EE7830" w:rsidP="00FC3E86">
      <w:r>
        <w:separator/>
      </w:r>
    </w:p>
  </w:endnote>
  <w:endnote w:type="continuationSeparator" w:id="0">
    <w:p w14:paraId="36AF9A79" w14:textId="77777777" w:rsidR="00EE7830" w:rsidRDefault="00EE7830" w:rsidP="00F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453227"/>
      <w:docPartObj>
        <w:docPartGallery w:val="Page Numbers (Bottom of Page)"/>
        <w:docPartUnique/>
      </w:docPartObj>
    </w:sdtPr>
    <w:sdtEndPr/>
    <w:sdtContent>
      <w:p w14:paraId="06CDD8FA" w14:textId="77777777" w:rsidR="00FC3E86" w:rsidRDefault="00FC3E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15" w:rsidRPr="00576615">
          <w:rPr>
            <w:noProof/>
            <w:lang w:val="zh-CN"/>
          </w:rPr>
          <w:t>5</w:t>
        </w:r>
        <w:r>
          <w:fldChar w:fldCharType="end"/>
        </w:r>
      </w:p>
    </w:sdtContent>
  </w:sdt>
  <w:p w14:paraId="2209B1E2" w14:textId="77777777" w:rsidR="00FC3E86" w:rsidRDefault="00FC3E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4363" w14:textId="77777777" w:rsidR="00EE7830" w:rsidRDefault="00EE7830" w:rsidP="00FC3E86">
      <w:r>
        <w:separator/>
      </w:r>
    </w:p>
  </w:footnote>
  <w:footnote w:type="continuationSeparator" w:id="0">
    <w:p w14:paraId="3ED0E2B4" w14:textId="77777777" w:rsidR="00EE7830" w:rsidRDefault="00EE7830" w:rsidP="00FC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9CD"/>
    <w:multiLevelType w:val="hybridMultilevel"/>
    <w:tmpl w:val="E2EAF060"/>
    <w:lvl w:ilvl="0" w:tplc="0DF025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071B9B"/>
    <w:multiLevelType w:val="hybridMultilevel"/>
    <w:tmpl w:val="6CD48816"/>
    <w:lvl w:ilvl="0" w:tplc="7DA831B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D706F"/>
    <w:multiLevelType w:val="hybridMultilevel"/>
    <w:tmpl w:val="57469F3A"/>
    <w:lvl w:ilvl="0" w:tplc="349A88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4830168">
    <w:abstractNumId w:val="1"/>
  </w:num>
  <w:num w:numId="2" w16cid:durableId="572400137">
    <w:abstractNumId w:val="2"/>
  </w:num>
  <w:num w:numId="3" w16cid:durableId="112272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475"/>
    <w:rsid w:val="00017B83"/>
    <w:rsid w:val="00046892"/>
    <w:rsid w:val="00077216"/>
    <w:rsid w:val="000C36A6"/>
    <w:rsid w:val="000F7C4D"/>
    <w:rsid w:val="00127FDA"/>
    <w:rsid w:val="0016661E"/>
    <w:rsid w:val="002209CE"/>
    <w:rsid w:val="002734A3"/>
    <w:rsid w:val="002A112F"/>
    <w:rsid w:val="002D4C4E"/>
    <w:rsid w:val="002D7350"/>
    <w:rsid w:val="00307628"/>
    <w:rsid w:val="00357728"/>
    <w:rsid w:val="003E2328"/>
    <w:rsid w:val="00411CED"/>
    <w:rsid w:val="004271BD"/>
    <w:rsid w:val="00455E40"/>
    <w:rsid w:val="004A0DCB"/>
    <w:rsid w:val="004C0E5E"/>
    <w:rsid w:val="005734CD"/>
    <w:rsid w:val="00576615"/>
    <w:rsid w:val="005B0CB3"/>
    <w:rsid w:val="005B3E07"/>
    <w:rsid w:val="005C1775"/>
    <w:rsid w:val="005F5508"/>
    <w:rsid w:val="00626218"/>
    <w:rsid w:val="00684697"/>
    <w:rsid w:val="007425AE"/>
    <w:rsid w:val="00794DD8"/>
    <w:rsid w:val="007C65CB"/>
    <w:rsid w:val="00843907"/>
    <w:rsid w:val="008825C0"/>
    <w:rsid w:val="008A3BB1"/>
    <w:rsid w:val="008D2CB9"/>
    <w:rsid w:val="00931230"/>
    <w:rsid w:val="0093464E"/>
    <w:rsid w:val="009433F5"/>
    <w:rsid w:val="00950993"/>
    <w:rsid w:val="009B100C"/>
    <w:rsid w:val="009D2503"/>
    <w:rsid w:val="009D7D42"/>
    <w:rsid w:val="00A5791A"/>
    <w:rsid w:val="00A824F4"/>
    <w:rsid w:val="00AC6934"/>
    <w:rsid w:val="00C814D7"/>
    <w:rsid w:val="00CB64C3"/>
    <w:rsid w:val="00CD6DBC"/>
    <w:rsid w:val="00CD75C7"/>
    <w:rsid w:val="00D356D9"/>
    <w:rsid w:val="00D60A81"/>
    <w:rsid w:val="00D615B0"/>
    <w:rsid w:val="00DE152F"/>
    <w:rsid w:val="00DE54F0"/>
    <w:rsid w:val="00DF2825"/>
    <w:rsid w:val="00DF32C1"/>
    <w:rsid w:val="00E12CC9"/>
    <w:rsid w:val="00E305CC"/>
    <w:rsid w:val="00E84629"/>
    <w:rsid w:val="00EB6B33"/>
    <w:rsid w:val="00EC7282"/>
    <w:rsid w:val="00EE3377"/>
    <w:rsid w:val="00EE7830"/>
    <w:rsid w:val="00EF2475"/>
    <w:rsid w:val="00F20185"/>
    <w:rsid w:val="00F3254F"/>
    <w:rsid w:val="00FC3E86"/>
    <w:rsid w:val="00FE6763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AD5F7F"/>
  <w15:docId w15:val="{65251413-75C5-4F17-9274-D16B9B4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75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4C0E5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0E5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C3E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C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C3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吴lily</dc:creator>
  <cp:lastModifiedBy>gjl</cp:lastModifiedBy>
  <cp:revision>13</cp:revision>
  <cp:lastPrinted>2016-02-23T02:52:00Z</cp:lastPrinted>
  <dcterms:created xsi:type="dcterms:W3CDTF">2015-09-14T08:46:00Z</dcterms:created>
  <dcterms:modified xsi:type="dcterms:W3CDTF">2025-02-26T08:55:00Z</dcterms:modified>
</cp:coreProperties>
</file>