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BCD5">
      <w:pPr>
        <w:spacing w:before="156" w:beforeLines="50" w:after="312" w:afterLines="100" w:line="400" w:lineRule="exact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b/>
          <w:iCs/>
          <w:sz w:val="24"/>
        </w:rPr>
        <w:t>证券代码</w:t>
      </w:r>
      <w:r>
        <w:rPr>
          <w:rFonts w:eastAsia="楷体_GB2312"/>
          <w:b/>
          <w:iCs/>
          <w:sz w:val="24"/>
        </w:rPr>
        <w:t>：</w:t>
      </w:r>
      <w:r>
        <w:rPr>
          <w:rFonts w:hint="eastAsia" w:eastAsia="楷体_GB2312"/>
          <w:b/>
          <w:iCs/>
          <w:sz w:val="24"/>
        </w:rPr>
        <w:t xml:space="preserve">603150                            </w:t>
      </w:r>
      <w:r>
        <w:rPr>
          <w:b/>
          <w:iCs/>
          <w:sz w:val="24"/>
        </w:rPr>
        <w:t>证券简称：</w:t>
      </w:r>
      <w:r>
        <w:rPr>
          <w:rFonts w:hint="eastAsia"/>
          <w:b/>
          <w:iCs/>
          <w:sz w:val="24"/>
        </w:rPr>
        <w:t>万朗磁塑</w:t>
      </w:r>
    </w:p>
    <w:p w14:paraId="0399CE7F">
      <w:pPr>
        <w:spacing w:after="312" w:afterLines="100" w:line="360" w:lineRule="auto"/>
        <w:jc w:val="center"/>
        <w:rPr>
          <w:rFonts w:asciiTheme="minorEastAsia" w:hAnsiTheme="minorEastAsia" w:eastAsiaTheme="minorEastAsia"/>
          <w:b/>
          <w:iCs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iCs/>
          <w:color w:val="000000"/>
          <w:sz w:val="30"/>
          <w:szCs w:val="30"/>
        </w:rPr>
        <w:t>安徽万朗磁塑股份有限公司投资者关系活动记录表</w:t>
      </w:r>
    </w:p>
    <w:p w14:paraId="209CD5D4">
      <w:pPr>
        <w:spacing w:line="360" w:lineRule="auto"/>
        <w:rPr>
          <w:rFonts w:hint="eastAsia" w:asciiTheme="minorEastAsia" w:hAnsiTheme="minorEastAsia" w:eastAsiaTheme="minorEastAsia"/>
          <w:bCs/>
          <w:iCs/>
          <w:color w:val="000000"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bCs/>
          <w:iCs/>
          <w:color w:val="000000"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  <w:szCs w:val="24"/>
        </w:rPr>
        <w:t xml:space="preserve">     </w:t>
      </w:r>
      <w:r>
        <w:rPr>
          <w:rFonts w:asciiTheme="minorEastAsia" w:hAnsiTheme="minorEastAsia" w:eastAsiaTheme="minorEastAsia"/>
          <w:bCs/>
          <w:iCs/>
          <w:color w:val="000000"/>
          <w:sz w:val="24"/>
          <w:szCs w:val="24"/>
        </w:rPr>
        <w:t xml:space="preserve">    编号：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  <w:szCs w:val="24"/>
        </w:rPr>
        <w:t>202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  <w:szCs w:val="24"/>
        </w:rPr>
        <w:t>-00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  <w:szCs w:val="24"/>
          <w:lang w:val="en-US" w:eastAsia="zh-CN"/>
        </w:rPr>
        <w:t>2</w:t>
      </w:r>
    </w:p>
    <w:tbl>
      <w:tblPr>
        <w:tblStyle w:val="8"/>
        <w:tblW w:w="898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6938"/>
      </w:tblGrid>
      <w:tr w14:paraId="5570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AD57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投资者关系</w:t>
            </w:r>
          </w:p>
          <w:p w14:paraId="658C2A6B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FD1CE4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 w:val="0"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分析师会议</w:t>
            </w:r>
          </w:p>
          <w:p w14:paraId="7BE4C00A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业绩说明会</w:t>
            </w:r>
          </w:p>
          <w:p w14:paraId="2BDB81F1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路演活动</w:t>
            </w:r>
          </w:p>
          <w:p w14:paraId="0DDA721D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现场参观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3DA559C5">
            <w:pPr>
              <w:tabs>
                <w:tab w:val="center" w:pos="3199"/>
              </w:tabs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其他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    </w:t>
            </w:r>
          </w:p>
        </w:tc>
      </w:tr>
      <w:tr w14:paraId="1EBE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018A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BF96">
            <w:pPr>
              <w:spacing w:line="360" w:lineRule="auto"/>
              <w:rPr>
                <w:rFonts w:hint="default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华泰柏瑞、华商基金、中邮基金、兴合基金、华夏基金、华泰证券、中信建投、国泰君安、国盛证券、中银国际、建信基金、嘉信天时、中泰证券、甬兴证券、山西证券、嘉实基金、华西证券、东吴基金、申万菱信基金、长城证券、光证资管、国金证券、上海楠溪、勤辰私募基金、进门财经、中意资管、东莞证券、国华兴益保险、光大保德信基金、亚太财产保险、CAPITAL GROUP、东方财富、上海彤源投资、人保资管、中金基金、浙江白鹭资管、北京衍航投资、北京沣沛投资、浙商证券资管、上海斯米克材料、浦银安盛、诺安基金、平安资管、嘉泽（厦门）私募、方正证券、红杉资本、富安达基金、路博迈信息咨询、上海趣时资管、前海人寿保险、青骊投资、广东正圆私募、中英人寿、深圳港丽投资、中金、长江证券、华富基金、中信保诚基金、信泰人寿保险、长江养老保险、华夏理财、Pinpoint Asset 、</w:t>
            </w:r>
            <w:r>
              <w:rPr>
                <w:rFonts w:hint="eastAsia"/>
                <w:bCs/>
                <w:iCs/>
                <w:sz w:val="24"/>
                <w:szCs w:val="24"/>
              </w:rPr>
              <w:t>国寿安保基金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、富国基金、北京鸿道投资、</w:t>
            </w:r>
            <w:r>
              <w:rPr>
                <w:rFonts w:hint="eastAsia"/>
                <w:bCs/>
                <w:iCs/>
                <w:sz w:val="24"/>
                <w:szCs w:val="24"/>
              </w:rPr>
              <w:t>上海玖鹏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资管、</w:t>
            </w:r>
            <w:r>
              <w:rPr>
                <w:rFonts w:hint="eastAsia"/>
                <w:bCs/>
                <w:iCs/>
                <w:sz w:val="24"/>
                <w:szCs w:val="24"/>
              </w:rPr>
              <w:t>西部利得基金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sz w:val="24"/>
                <w:szCs w:val="24"/>
              </w:rPr>
              <w:t>上海途灵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资管、</w:t>
            </w:r>
            <w:r>
              <w:rPr>
                <w:rFonts w:hint="eastAsia"/>
                <w:bCs/>
                <w:iCs/>
                <w:sz w:val="24"/>
                <w:szCs w:val="24"/>
              </w:rPr>
              <w:t>仁桥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资管、</w:t>
            </w:r>
            <w:r>
              <w:rPr>
                <w:rFonts w:hint="eastAsia"/>
                <w:bCs/>
                <w:iCs/>
                <w:sz w:val="24"/>
                <w:szCs w:val="24"/>
              </w:rPr>
              <w:t>兴银理财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sz w:val="24"/>
                <w:szCs w:val="24"/>
              </w:rPr>
              <w:t>长城财富保险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、鹏华基金、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华宝基金、上海证券、泰合资本</w:t>
            </w:r>
          </w:p>
        </w:tc>
      </w:tr>
      <w:tr w14:paraId="7908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B26E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7F0599">
            <w:pPr>
              <w:spacing w:line="360" w:lineRule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2025年2月1日-2025年2月28日</w:t>
            </w:r>
          </w:p>
        </w:tc>
      </w:tr>
      <w:tr w14:paraId="311E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124A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0E5F0D">
            <w:pPr>
              <w:spacing w:line="360" w:lineRule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/>
                <w:lang w:eastAsia="zh-CN"/>
              </w:rPr>
              <w:t>（按会议时间排序）线上方式、</w:t>
            </w:r>
            <w:r>
              <w:rPr>
                <w:rFonts w:hint="eastAsia" w:cs="Times New Roman" w:asciiTheme="minorEastAsia" w:hAnsiTheme="minorEastAsia" w:eastAsiaTheme="minorEastAsia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公司会议室</w:t>
            </w:r>
          </w:p>
        </w:tc>
      </w:tr>
      <w:tr w14:paraId="7EFC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C2AF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上市公司</w:t>
            </w:r>
          </w:p>
          <w:p w14:paraId="757838B0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接待人员姓名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7A7D10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董事长、总经理：万和国</w:t>
            </w:r>
          </w:p>
          <w:p w14:paraId="668E5E46">
            <w:pPr>
              <w:spacing w:line="360" w:lineRule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董事会秘书：张小梅</w:t>
            </w:r>
          </w:p>
        </w:tc>
      </w:tr>
      <w:tr w14:paraId="12D0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2830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投资者关系活动</w:t>
            </w:r>
          </w:p>
          <w:p w14:paraId="23D9EC2D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主要内容介绍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511DA6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中国汽车EPS市场规模及国产化率有多少？</w:t>
            </w:r>
          </w:p>
          <w:p w14:paraId="3D6D15D2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参考智研咨询数据，2023年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汽车EPS行业市场规模约为357.68亿元。C-EPS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已逐步</w:t>
            </w:r>
            <w:r>
              <w:rPr>
                <w:rFonts w:hint="eastAsia" w:ascii="宋体" w:hAnsi="宋体" w:cs="宋体"/>
                <w:sz w:val="24"/>
                <w:szCs w:val="24"/>
              </w:rPr>
              <w:t>实现国产替代，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="宋体" w:hAnsi="宋体" w:cs="宋体"/>
                <w:sz w:val="24"/>
                <w:szCs w:val="24"/>
              </w:rPr>
              <w:t>R/DP-EPS 国产化率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仍非常低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 w14:paraId="78B1C01B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2、国太阳公司目前客户有哪些？</w:t>
            </w:r>
          </w:p>
          <w:p w14:paraId="687FF7D0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国太阳已成为上汽通用五菱、奇瑞、东风、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创维、</w:t>
            </w:r>
            <w:r>
              <w:rPr>
                <w:rFonts w:hint="eastAsia" w:ascii="宋体" w:hAnsi="宋体" w:cs="宋体"/>
                <w:sz w:val="24"/>
                <w:szCs w:val="24"/>
              </w:rPr>
              <w:t>奥德斯等汽车主机厂合格供方。</w:t>
            </w:r>
          </w:p>
          <w:p w14:paraId="4FE0B18E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3、国太阳公司目前产线设置情况？研发团队有多少人？</w:t>
            </w:r>
          </w:p>
          <w:p w14:paraId="691291FA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国太阳公司目前有2条C-EPS产线已经投入生产，1条电动循环球生产线已安装调试具备生产能力，已投资的1条D/R-EPS产线近期将到工厂。现有研发人员六十余人。</w:t>
            </w:r>
          </w:p>
          <w:p w14:paraId="066346C9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4、国太阳公司目前线控转向主要运用于什么车型？研发进展如何？</w:t>
            </w:r>
          </w:p>
          <w:p w14:paraId="32A3E671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国太阳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线控转向系统（SBW）目前预研产品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主要运用在新能源乘用车，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设计方案得到了部分主机厂认可</w:t>
            </w:r>
            <w:r>
              <w:rPr>
                <w:rFonts w:hint="eastAsia" w:ascii="宋体" w:hAnsi="宋体" w:cs="宋体"/>
                <w:sz w:val="24"/>
                <w:szCs w:val="24"/>
              </w:rPr>
              <w:t>并已取得定点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。</w:t>
            </w:r>
          </w:p>
          <w:p w14:paraId="0815D0FB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公司海外开拓情况？</w:t>
            </w:r>
          </w:p>
          <w:p w14:paraId="2D556531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公司在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泰国、越南、墨西哥、波兰、埃及、韩国、巴西、印度尼西亚、塞尔维亚等国建立了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个生产基地。</w:t>
            </w:r>
          </w:p>
          <w:p w14:paraId="216C70DC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6、公司目前在传感器方面有哪些布局？</w:t>
            </w:r>
          </w:p>
          <w:p w14:paraId="6C2BCFE4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公司控股子公司</w:t>
            </w:r>
            <w:r>
              <w:rPr>
                <w:rFonts w:hint="default" w:ascii="宋体" w:hAnsi="宋体" w:cs="宋体"/>
                <w:sz w:val="24"/>
                <w:szCs w:val="24"/>
              </w:rPr>
              <w:t>主要以温度传感器等为主，其中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六安厂区主要生产NTC传感器，主要客户为家电，合肥</w:t>
            </w:r>
            <w:r>
              <w:rPr>
                <w:rFonts w:hint="default" w:ascii="宋体" w:hAnsi="宋体" w:cs="宋体"/>
                <w:sz w:val="24"/>
                <w:szCs w:val="24"/>
              </w:rPr>
              <w:t>万朗感知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工厂主要产品为高端</w:t>
            </w:r>
            <w:r>
              <w:rPr>
                <w:rFonts w:hint="eastAsia" w:ascii="宋体" w:hAnsi="宋体" w:cs="宋体"/>
                <w:sz w:val="24"/>
                <w:szCs w:val="24"/>
              </w:rPr>
              <w:t>温度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传感器</w:t>
            </w:r>
            <w:r>
              <w:rPr>
                <w:rFonts w:hint="default" w:ascii="宋体" w:hAnsi="宋体" w:cs="宋体"/>
                <w:sz w:val="24"/>
                <w:szCs w:val="24"/>
              </w:rPr>
              <w:t>薄膜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铂</w:t>
            </w:r>
            <w:r>
              <w:rPr>
                <w:rFonts w:hint="default" w:ascii="宋体" w:hAnsi="宋体" w:cs="宋体"/>
                <w:sz w:val="24"/>
                <w:szCs w:val="24"/>
              </w:rPr>
              <w:t>电阻的研发、生产，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宋体" w:hAnsi="宋体" w:cs="宋体"/>
                <w:sz w:val="24"/>
                <w:szCs w:val="24"/>
              </w:rPr>
              <w:t>传感器业务尚在起步阶段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收入较少</w:t>
            </w:r>
            <w:r>
              <w:rPr>
                <w:rFonts w:hint="default" w:ascii="宋体" w:hAnsi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另外公司参股公司晟泰克</w:t>
            </w:r>
            <w:r>
              <w:rPr>
                <w:rFonts w:hint="eastAsia" w:ascii="宋体" w:hAnsi="宋体" w:cs="宋体"/>
                <w:sz w:val="24"/>
                <w:szCs w:val="24"/>
              </w:rPr>
              <w:t>传感器产品主要为智能驾驶环境感知传感器和车载传感器，包括超声波传感器及系统、图像传感器及系统、毫米波传感器及系统、胎压传感器及系统、车速传感器及系统等。</w:t>
            </w:r>
          </w:p>
          <w:p w14:paraId="0A0D88F7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7、公司家电业务渗透率提升的逻辑？</w:t>
            </w:r>
          </w:p>
          <w:p w14:paraId="563DC54B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一是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公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司核心产品冰箱门封通过持续扩大海外布局，不断开拓新市场； 二是公司门封外其他家电零部件竞争力不断提升，市场份额快速增长；三是公司对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家电主业“横向扩展、纵向延伸”，进一步向上游原材料、下游小家电等开拓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积累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已具有良好的成长基础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7EE3186B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8、公司持股晟泰克公司的比例？是否有收购的计划？</w:t>
            </w:r>
          </w:p>
          <w:p w14:paraId="7F9A6067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公司目前持有晟泰克13.53%股权，主要为财务投资，暂无进一步投资计划。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1B4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4EB2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824F69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14:paraId="1190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81F0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8F5BE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59A086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957EC"/>
    <w:multiLevelType w:val="singleLevel"/>
    <w:tmpl w:val="D83957EC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zZmMwOGU4ZTM0ZWQyNDQyNDc3MzkzY2VlNzhhZjQifQ=="/>
    <w:docVar w:name="KSO_WPS_MARK_KEY" w:val="737904d8-829f-4917-9f43-474fc6a7928c"/>
  </w:docVars>
  <w:rsids>
    <w:rsidRoot w:val="4832659F"/>
    <w:rsid w:val="0012365C"/>
    <w:rsid w:val="002E2C9B"/>
    <w:rsid w:val="003143D5"/>
    <w:rsid w:val="00350524"/>
    <w:rsid w:val="00467149"/>
    <w:rsid w:val="00470F63"/>
    <w:rsid w:val="00582A54"/>
    <w:rsid w:val="00682EDC"/>
    <w:rsid w:val="00790A93"/>
    <w:rsid w:val="00826230"/>
    <w:rsid w:val="00927B95"/>
    <w:rsid w:val="009A0EE5"/>
    <w:rsid w:val="00B07329"/>
    <w:rsid w:val="00B47BA3"/>
    <w:rsid w:val="00B62DF1"/>
    <w:rsid w:val="00C036E0"/>
    <w:rsid w:val="00C558CA"/>
    <w:rsid w:val="00CA0D84"/>
    <w:rsid w:val="00DD5494"/>
    <w:rsid w:val="00E4170F"/>
    <w:rsid w:val="00E73E3B"/>
    <w:rsid w:val="00E9213B"/>
    <w:rsid w:val="02A72159"/>
    <w:rsid w:val="032955E8"/>
    <w:rsid w:val="03811033"/>
    <w:rsid w:val="03A85425"/>
    <w:rsid w:val="06521820"/>
    <w:rsid w:val="080A69CA"/>
    <w:rsid w:val="092C54F6"/>
    <w:rsid w:val="098B2462"/>
    <w:rsid w:val="0C0A7D7F"/>
    <w:rsid w:val="0C474148"/>
    <w:rsid w:val="0C480560"/>
    <w:rsid w:val="0D3832E2"/>
    <w:rsid w:val="107E3331"/>
    <w:rsid w:val="11401B02"/>
    <w:rsid w:val="11B42641"/>
    <w:rsid w:val="12A85AF3"/>
    <w:rsid w:val="1542063E"/>
    <w:rsid w:val="15CC380C"/>
    <w:rsid w:val="16F2086E"/>
    <w:rsid w:val="18680E8B"/>
    <w:rsid w:val="1B58445D"/>
    <w:rsid w:val="1BFC6750"/>
    <w:rsid w:val="1D795467"/>
    <w:rsid w:val="1E501C47"/>
    <w:rsid w:val="1FEA75E9"/>
    <w:rsid w:val="234376DB"/>
    <w:rsid w:val="24087836"/>
    <w:rsid w:val="247E20E7"/>
    <w:rsid w:val="27392065"/>
    <w:rsid w:val="288C1F91"/>
    <w:rsid w:val="297728A6"/>
    <w:rsid w:val="298C7903"/>
    <w:rsid w:val="2B7C6EB4"/>
    <w:rsid w:val="2BBA3D30"/>
    <w:rsid w:val="2C36153F"/>
    <w:rsid w:val="2F8166FA"/>
    <w:rsid w:val="30B20F7F"/>
    <w:rsid w:val="31BF4323"/>
    <w:rsid w:val="321E1594"/>
    <w:rsid w:val="32962052"/>
    <w:rsid w:val="33891202"/>
    <w:rsid w:val="33D3177D"/>
    <w:rsid w:val="35604526"/>
    <w:rsid w:val="3579416E"/>
    <w:rsid w:val="362F0D66"/>
    <w:rsid w:val="365E3A65"/>
    <w:rsid w:val="388166EA"/>
    <w:rsid w:val="38D162E7"/>
    <w:rsid w:val="390D4C60"/>
    <w:rsid w:val="394F0285"/>
    <w:rsid w:val="39FA615A"/>
    <w:rsid w:val="3A626E2A"/>
    <w:rsid w:val="3A716B68"/>
    <w:rsid w:val="3AF01E3A"/>
    <w:rsid w:val="3B8C2286"/>
    <w:rsid w:val="406377FC"/>
    <w:rsid w:val="40B448A5"/>
    <w:rsid w:val="42137F30"/>
    <w:rsid w:val="42480385"/>
    <w:rsid w:val="437D7E59"/>
    <w:rsid w:val="44262B45"/>
    <w:rsid w:val="46054AED"/>
    <w:rsid w:val="46464E24"/>
    <w:rsid w:val="46466974"/>
    <w:rsid w:val="47F768FB"/>
    <w:rsid w:val="483052A4"/>
    <w:rsid w:val="4832149E"/>
    <w:rsid w:val="4832659F"/>
    <w:rsid w:val="4972708D"/>
    <w:rsid w:val="498719BE"/>
    <w:rsid w:val="4A253068"/>
    <w:rsid w:val="4A732E35"/>
    <w:rsid w:val="4C175619"/>
    <w:rsid w:val="4CB85809"/>
    <w:rsid w:val="4DF27420"/>
    <w:rsid w:val="4E9C1B4B"/>
    <w:rsid w:val="4F0979BF"/>
    <w:rsid w:val="4F796D30"/>
    <w:rsid w:val="506F6AFA"/>
    <w:rsid w:val="53077A03"/>
    <w:rsid w:val="543B0BDF"/>
    <w:rsid w:val="555B4975"/>
    <w:rsid w:val="55E4432E"/>
    <w:rsid w:val="55F54D13"/>
    <w:rsid w:val="580D2D0A"/>
    <w:rsid w:val="5B414448"/>
    <w:rsid w:val="5BE0024D"/>
    <w:rsid w:val="5C45471C"/>
    <w:rsid w:val="5D3B2012"/>
    <w:rsid w:val="5E8C3858"/>
    <w:rsid w:val="5F41229A"/>
    <w:rsid w:val="5F727C38"/>
    <w:rsid w:val="604103BE"/>
    <w:rsid w:val="60AF55FF"/>
    <w:rsid w:val="60BE089C"/>
    <w:rsid w:val="62A03D40"/>
    <w:rsid w:val="63C20E58"/>
    <w:rsid w:val="63F47DD9"/>
    <w:rsid w:val="64DA7669"/>
    <w:rsid w:val="653C47A6"/>
    <w:rsid w:val="65871A13"/>
    <w:rsid w:val="6624407A"/>
    <w:rsid w:val="66B904B4"/>
    <w:rsid w:val="6758161D"/>
    <w:rsid w:val="679C6BCD"/>
    <w:rsid w:val="68727A48"/>
    <w:rsid w:val="6D9A0E07"/>
    <w:rsid w:val="6DAB276F"/>
    <w:rsid w:val="6F590FC7"/>
    <w:rsid w:val="6FCC7FFC"/>
    <w:rsid w:val="71127CFF"/>
    <w:rsid w:val="7343262D"/>
    <w:rsid w:val="73DB710C"/>
    <w:rsid w:val="77CF5D00"/>
    <w:rsid w:val="781047D4"/>
    <w:rsid w:val="794527BE"/>
    <w:rsid w:val="7A146390"/>
    <w:rsid w:val="7ACD7534"/>
    <w:rsid w:val="7C61105B"/>
    <w:rsid w:val="7CB77A73"/>
    <w:rsid w:val="7D3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1385</Words>
  <Characters>1487</Characters>
  <Lines>9</Lines>
  <Paragraphs>2</Paragraphs>
  <TotalTime>99</TotalTime>
  <ScaleCrop>false</ScaleCrop>
  <LinksUpToDate>false</LinksUpToDate>
  <CharactersWithSpaces>2701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2022-12-06T08:33:00Z</dcterms:created>
  <dc:creator>赵冠双</dc:creator>
  <cp:lastModifiedBy>YM</cp:lastModifiedBy>
  <dcterms:modified xsi:type="dcterms:W3CDTF">2025-03-07T11:05:03Z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944CB842B3EC45439294BA1B163474A5_13</vt:lpwstr>
  </property>
  <property fmtid="{D5CDD505-2E9C-101B-9397-08002B2CF9AE}" pid="4" name="KSOTemplateDocerSaveRecord">
    <vt:lpwstr>eyJoZGlkIjoiODAwODk0ZjlkZTQ2YjJhMDkwZjY4YTc2YzYxM2Q3YjAiLCJ1c2VySWQiOiIzNDc5NzIyNjAifQ==</vt:lpwstr>
  </property>
</Properties>
</file>