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7B6D" w:rsidRPr="006431A6" w:rsidRDefault="00037B6D" w:rsidP="006431A6">
      <w:pPr>
        <w:pStyle w:val="a3"/>
        <w:spacing w:before="0" w:beforeAutospacing="0" w:after="0" w:afterAutospacing="0" w:line="360" w:lineRule="auto"/>
        <w:jc w:val="both"/>
        <w:rPr>
          <w:b/>
          <w:bCs/>
        </w:rPr>
      </w:pPr>
      <w:r w:rsidRPr="006431A6">
        <w:rPr>
          <w:rFonts w:hint="eastAsia"/>
          <w:b/>
          <w:bCs/>
        </w:rPr>
        <w:t>证券代码：</w:t>
      </w:r>
      <w:r w:rsidR="006431A6" w:rsidRPr="006431A6">
        <w:rPr>
          <w:rFonts w:hint="eastAsia"/>
          <w:b/>
          <w:bCs/>
        </w:rPr>
        <w:t>6</w:t>
      </w:r>
      <w:r w:rsidR="006431A6" w:rsidRPr="006431A6">
        <w:rPr>
          <w:b/>
          <w:bCs/>
        </w:rPr>
        <w:t>03190</w:t>
      </w:r>
      <w:r w:rsidRPr="006431A6">
        <w:rPr>
          <w:rFonts w:hint="eastAsia"/>
          <w:b/>
          <w:bCs/>
        </w:rPr>
        <w:t xml:space="preserve">                        </w:t>
      </w:r>
      <w:r w:rsidR="006431A6">
        <w:rPr>
          <w:b/>
          <w:bCs/>
        </w:rPr>
        <w:t xml:space="preserve">           </w:t>
      </w:r>
      <w:r w:rsidRPr="006431A6">
        <w:rPr>
          <w:rFonts w:hint="eastAsia"/>
          <w:b/>
          <w:bCs/>
        </w:rPr>
        <w:t>证券简称：</w:t>
      </w:r>
      <w:r w:rsidR="006431A6" w:rsidRPr="006431A6">
        <w:rPr>
          <w:rFonts w:hint="eastAsia"/>
          <w:b/>
          <w:bCs/>
        </w:rPr>
        <w:t>亚通精工</w:t>
      </w:r>
      <w:r w:rsidR="00AE0820" w:rsidRPr="006431A6">
        <w:rPr>
          <w:b/>
          <w:bCs/>
        </w:rPr>
        <w:t xml:space="preserve"> </w:t>
      </w:r>
    </w:p>
    <w:p w:rsidR="00EB153F" w:rsidRDefault="006431A6" w:rsidP="00EB153F">
      <w:pPr>
        <w:pStyle w:val="a3"/>
        <w:spacing w:beforeLines="100" w:before="312" w:beforeAutospacing="0" w:after="0" w:afterAutospacing="0"/>
        <w:ind w:firstLineChars="200" w:firstLine="723"/>
        <w:jc w:val="center"/>
        <w:rPr>
          <w:b/>
          <w:sz w:val="36"/>
          <w:szCs w:val="36"/>
        </w:rPr>
      </w:pPr>
      <w:r w:rsidRPr="00EB153F">
        <w:rPr>
          <w:rFonts w:hint="eastAsia"/>
          <w:b/>
          <w:sz w:val="36"/>
          <w:szCs w:val="36"/>
        </w:rPr>
        <w:t>烟台亚通精工机械</w:t>
      </w:r>
      <w:r w:rsidR="00037B6D" w:rsidRPr="00EB153F">
        <w:rPr>
          <w:rFonts w:hint="eastAsia"/>
          <w:b/>
          <w:sz w:val="36"/>
          <w:szCs w:val="36"/>
        </w:rPr>
        <w:t>股份有限公司</w:t>
      </w:r>
    </w:p>
    <w:p w:rsidR="00037B6D" w:rsidRPr="00EB153F" w:rsidRDefault="00037B6D" w:rsidP="00EB153F">
      <w:pPr>
        <w:pStyle w:val="a3"/>
        <w:spacing w:before="0" w:beforeAutospacing="0" w:after="0" w:afterAutospacing="0"/>
        <w:ind w:firstLineChars="200" w:firstLine="723"/>
        <w:jc w:val="center"/>
        <w:rPr>
          <w:b/>
          <w:sz w:val="36"/>
          <w:szCs w:val="36"/>
        </w:rPr>
      </w:pPr>
      <w:r w:rsidRPr="00EB153F">
        <w:rPr>
          <w:rFonts w:hint="eastAsia"/>
          <w:b/>
          <w:sz w:val="36"/>
          <w:szCs w:val="36"/>
        </w:rPr>
        <w:t>投资者关系活动记录表</w:t>
      </w:r>
    </w:p>
    <w:p w:rsidR="00037B6D" w:rsidRDefault="00037B6D" w:rsidP="00037B6D">
      <w:pPr>
        <w:pStyle w:val="a3"/>
        <w:spacing w:before="0" w:beforeAutospacing="0" w:after="0" w:afterAutospacing="0" w:line="360" w:lineRule="auto"/>
        <w:ind w:firstLineChars="200" w:firstLine="480"/>
        <w:jc w:val="right"/>
      </w:pPr>
      <w:r>
        <w:rPr>
          <w:rFonts w:hint="eastAsia"/>
        </w:rPr>
        <w:t>编号：</w:t>
      </w:r>
      <w:r w:rsidR="006431A6">
        <w:rPr>
          <w:rFonts w:hint="eastAsia"/>
        </w:rPr>
        <w:t>2</w:t>
      </w:r>
      <w:r w:rsidR="006431A6">
        <w:t>02</w:t>
      </w:r>
      <w:r w:rsidR="00E152B7">
        <w:t>5</w:t>
      </w:r>
      <w:r w:rsidR="006431A6">
        <w:t>-</w:t>
      </w:r>
      <w:r w:rsidR="00EC0098">
        <w:rPr>
          <w:rFonts w:hint="eastAsia"/>
        </w:rPr>
        <w:t>0</w:t>
      </w:r>
      <w:r w:rsidR="00EC0098">
        <w:t>0</w:t>
      </w:r>
      <w:r w:rsidR="00F96A5A"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996"/>
      </w:tblGrid>
      <w:tr w:rsidR="00037B6D" w:rsidTr="008752C3">
        <w:tc>
          <w:tcPr>
            <w:tcW w:w="1526" w:type="dxa"/>
          </w:tcPr>
          <w:p w:rsidR="00037B6D" w:rsidRDefault="00037B6D" w:rsidP="005A06BD">
            <w:pPr>
              <w:pStyle w:val="a3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投资者关系活动类别</w:t>
            </w:r>
          </w:p>
        </w:tc>
        <w:tc>
          <w:tcPr>
            <w:tcW w:w="6996" w:type="dxa"/>
          </w:tcPr>
          <w:p w:rsidR="00037B6D" w:rsidRDefault="006431A6" w:rsidP="005A06BD">
            <w:pPr>
              <w:pStyle w:val="a3"/>
              <w:spacing w:line="360" w:lineRule="auto"/>
            </w:pPr>
            <w:r>
              <w:rPr>
                <w:rFonts w:hint="eastAsia"/>
              </w:rPr>
              <w:sym w:font="Wingdings 2" w:char="F052"/>
            </w:r>
            <w:r w:rsidR="00037B6D">
              <w:rPr>
                <w:rFonts w:hint="eastAsia"/>
              </w:rPr>
              <w:t xml:space="preserve">特定对象调研 </w:t>
            </w:r>
            <w:r w:rsidR="00E152B7">
              <w:t xml:space="preserve">   </w:t>
            </w:r>
            <w:r w:rsidR="00037B6D">
              <w:rPr>
                <w:rFonts w:hint="eastAsia"/>
              </w:rPr>
              <w:t>□分析师会议</w:t>
            </w:r>
          </w:p>
          <w:p w:rsidR="00037B6D" w:rsidRDefault="00037B6D" w:rsidP="005A06BD">
            <w:pPr>
              <w:pStyle w:val="a3"/>
              <w:spacing w:line="360" w:lineRule="auto"/>
            </w:pPr>
            <w:r>
              <w:rPr>
                <w:rFonts w:hint="eastAsia"/>
              </w:rPr>
              <w:t xml:space="preserve">□媒体采访 </w:t>
            </w:r>
            <w:r w:rsidR="00E152B7">
              <w:t xml:space="preserve">       </w:t>
            </w:r>
            <w:r>
              <w:rPr>
                <w:rFonts w:hint="eastAsia"/>
              </w:rPr>
              <w:t>□业绩说明会</w:t>
            </w:r>
          </w:p>
          <w:p w:rsidR="00037B6D" w:rsidRDefault="00037B6D" w:rsidP="005A06BD">
            <w:pPr>
              <w:pStyle w:val="a3"/>
              <w:spacing w:line="360" w:lineRule="auto"/>
            </w:pPr>
            <w:r>
              <w:rPr>
                <w:rFonts w:hint="eastAsia"/>
              </w:rPr>
              <w:t xml:space="preserve">□新闻发布会 </w:t>
            </w:r>
            <w:r w:rsidR="00E152B7">
              <w:t xml:space="preserve">     </w:t>
            </w:r>
            <w:r>
              <w:rPr>
                <w:rFonts w:hint="eastAsia"/>
              </w:rPr>
              <w:t>□路演活动</w:t>
            </w:r>
          </w:p>
          <w:p w:rsidR="00037B6D" w:rsidRDefault="00037B6D" w:rsidP="00E152B7">
            <w:pPr>
              <w:pStyle w:val="a3"/>
              <w:spacing w:line="360" w:lineRule="auto"/>
            </w:pPr>
            <w:r>
              <w:rPr>
                <w:rFonts w:hint="eastAsia"/>
              </w:rPr>
              <w:t>□现场参观</w:t>
            </w:r>
            <w:r w:rsidR="00E152B7">
              <w:rPr>
                <w:rFonts w:hint="eastAsia"/>
              </w:rPr>
              <w:t xml:space="preserve"> </w:t>
            </w:r>
            <w:r w:rsidR="00E152B7">
              <w:t xml:space="preserve">       </w:t>
            </w:r>
            <w:r>
              <w:rPr>
                <w:rFonts w:hint="eastAsia"/>
              </w:rPr>
              <w:t>□其他 （</w:t>
            </w:r>
            <w:proofErr w:type="gramStart"/>
            <w:r>
              <w:rPr>
                <w:rFonts w:hint="eastAsia"/>
              </w:rPr>
              <w:t>请文字</w:t>
            </w:r>
            <w:proofErr w:type="gramEnd"/>
            <w:r>
              <w:rPr>
                <w:rFonts w:hint="eastAsia"/>
              </w:rPr>
              <w:t>说明其他活动内容）</w:t>
            </w:r>
          </w:p>
        </w:tc>
      </w:tr>
      <w:tr w:rsidR="00037B6D" w:rsidTr="00A23983">
        <w:trPr>
          <w:trHeight w:val="587"/>
        </w:trPr>
        <w:tc>
          <w:tcPr>
            <w:tcW w:w="1526" w:type="dxa"/>
          </w:tcPr>
          <w:p w:rsidR="00037B6D" w:rsidRDefault="00037B6D" w:rsidP="005A06BD">
            <w:pPr>
              <w:pStyle w:val="a3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参与单位</w:t>
            </w:r>
          </w:p>
        </w:tc>
        <w:tc>
          <w:tcPr>
            <w:tcW w:w="6996" w:type="dxa"/>
          </w:tcPr>
          <w:p w:rsidR="00037B6D" w:rsidRDefault="00F96A5A" w:rsidP="005A06BD">
            <w:pPr>
              <w:pStyle w:val="a3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泰康资产</w:t>
            </w:r>
          </w:p>
        </w:tc>
      </w:tr>
      <w:tr w:rsidR="00037B6D" w:rsidTr="002530D7">
        <w:trPr>
          <w:trHeight w:val="590"/>
        </w:trPr>
        <w:tc>
          <w:tcPr>
            <w:tcW w:w="1526" w:type="dxa"/>
          </w:tcPr>
          <w:p w:rsidR="00037B6D" w:rsidRDefault="00037B6D" w:rsidP="005A06BD">
            <w:pPr>
              <w:pStyle w:val="a3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时间</w:t>
            </w:r>
          </w:p>
        </w:tc>
        <w:tc>
          <w:tcPr>
            <w:tcW w:w="6996" w:type="dxa"/>
          </w:tcPr>
          <w:p w:rsidR="00037B6D" w:rsidRDefault="00EC0098" w:rsidP="005A06BD">
            <w:pPr>
              <w:pStyle w:val="a3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2</w:t>
            </w:r>
            <w:r>
              <w:t>025</w:t>
            </w:r>
            <w:r>
              <w:rPr>
                <w:rFonts w:hint="eastAsia"/>
              </w:rPr>
              <w:t>年3月</w:t>
            </w:r>
            <w:r w:rsidR="00F96A5A">
              <w:t>7</w:t>
            </w:r>
            <w:r>
              <w:rPr>
                <w:rFonts w:hint="eastAsia"/>
              </w:rPr>
              <w:t>日</w:t>
            </w:r>
          </w:p>
        </w:tc>
      </w:tr>
      <w:tr w:rsidR="00037B6D" w:rsidTr="002530D7">
        <w:trPr>
          <w:trHeight w:val="590"/>
        </w:trPr>
        <w:tc>
          <w:tcPr>
            <w:tcW w:w="1526" w:type="dxa"/>
          </w:tcPr>
          <w:p w:rsidR="00037B6D" w:rsidRDefault="00037B6D" w:rsidP="005A06BD">
            <w:pPr>
              <w:pStyle w:val="a3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地点</w:t>
            </w:r>
          </w:p>
        </w:tc>
        <w:tc>
          <w:tcPr>
            <w:tcW w:w="6996" w:type="dxa"/>
          </w:tcPr>
          <w:p w:rsidR="00037B6D" w:rsidRDefault="00EC0098" w:rsidP="005A06BD">
            <w:pPr>
              <w:pStyle w:val="a3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线上</w:t>
            </w:r>
          </w:p>
        </w:tc>
      </w:tr>
      <w:tr w:rsidR="00037B6D" w:rsidTr="00812DBE">
        <w:trPr>
          <w:trHeight w:val="911"/>
        </w:trPr>
        <w:tc>
          <w:tcPr>
            <w:tcW w:w="1526" w:type="dxa"/>
          </w:tcPr>
          <w:p w:rsidR="00037B6D" w:rsidRDefault="00037B6D" w:rsidP="00812DBE">
            <w:pPr>
              <w:pStyle w:val="a3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上市公司接待人员姓名</w:t>
            </w:r>
          </w:p>
        </w:tc>
        <w:tc>
          <w:tcPr>
            <w:tcW w:w="6996" w:type="dxa"/>
          </w:tcPr>
          <w:p w:rsidR="00037B6D" w:rsidRDefault="00EC0098" w:rsidP="005A06BD">
            <w:pPr>
              <w:pStyle w:val="a3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 xml:space="preserve">董事会秘书/财务总监 </w:t>
            </w:r>
            <w:proofErr w:type="gramStart"/>
            <w:r>
              <w:rPr>
                <w:rFonts w:hint="eastAsia"/>
              </w:rPr>
              <w:t>任典进</w:t>
            </w:r>
            <w:proofErr w:type="gramEnd"/>
          </w:p>
        </w:tc>
      </w:tr>
      <w:tr w:rsidR="00037B6D" w:rsidTr="008752C3">
        <w:trPr>
          <w:trHeight w:val="2816"/>
        </w:trPr>
        <w:tc>
          <w:tcPr>
            <w:tcW w:w="1526" w:type="dxa"/>
          </w:tcPr>
          <w:p w:rsidR="00037B6D" w:rsidRDefault="00037B6D" w:rsidP="005A06BD">
            <w:pPr>
              <w:pStyle w:val="a3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投资者关系活动主要内容介绍</w:t>
            </w:r>
          </w:p>
        </w:tc>
        <w:tc>
          <w:tcPr>
            <w:tcW w:w="6996" w:type="dxa"/>
          </w:tcPr>
          <w:p w:rsidR="008752C3" w:rsidRDefault="000B5D81" w:rsidP="009641A1">
            <w:pPr>
              <w:pStyle w:val="a3"/>
              <w:spacing w:before="0" w:beforeAutospacing="0" w:after="0" w:afterAutospacing="0" w:line="360" w:lineRule="auto"/>
              <w:ind w:firstLineChars="200" w:firstLine="480"/>
            </w:pPr>
            <w:r>
              <w:rPr>
                <w:rFonts w:hint="eastAsia"/>
              </w:rPr>
              <w:t>公司领导介绍了</w:t>
            </w:r>
            <w:r w:rsidR="00E91115">
              <w:rPr>
                <w:rFonts w:hint="eastAsia"/>
              </w:rPr>
              <w:t>相关</w:t>
            </w:r>
            <w:r>
              <w:rPr>
                <w:rFonts w:hint="eastAsia"/>
              </w:rPr>
              <w:t>业务</w:t>
            </w:r>
            <w:r w:rsidR="00E91115">
              <w:rPr>
                <w:rFonts w:hint="eastAsia"/>
              </w:rPr>
              <w:t>情况</w:t>
            </w:r>
            <w:r>
              <w:rPr>
                <w:rFonts w:hint="eastAsia"/>
              </w:rPr>
              <w:t>并就以下</w:t>
            </w:r>
            <w:r w:rsidR="00DA2EBD">
              <w:rPr>
                <w:rFonts w:hint="eastAsia"/>
              </w:rPr>
              <w:t>内容</w:t>
            </w:r>
            <w:r>
              <w:rPr>
                <w:rFonts w:hint="eastAsia"/>
              </w:rPr>
              <w:t>进行了沟通：</w:t>
            </w:r>
          </w:p>
          <w:p w:rsidR="0053361E" w:rsidRDefault="00D304C4" w:rsidP="0053361E">
            <w:pPr>
              <w:pStyle w:val="a3"/>
              <w:spacing w:before="0" w:beforeAutospacing="0" w:after="0" w:afterAutospacing="0" w:line="360" w:lineRule="auto"/>
              <w:ind w:firstLineChars="200" w:firstLine="480"/>
            </w:pPr>
            <w:r w:rsidRPr="00D304C4">
              <w:rPr>
                <w:rFonts w:hint="eastAsia"/>
              </w:rPr>
              <w:t>公司商用车零部件客户有中国重汽、</w:t>
            </w:r>
            <w:proofErr w:type="gramStart"/>
            <w:r w:rsidRPr="00D304C4">
              <w:rPr>
                <w:rFonts w:hint="eastAsia"/>
              </w:rPr>
              <w:t>一汽解放</w:t>
            </w:r>
            <w:proofErr w:type="gramEnd"/>
            <w:r w:rsidRPr="00D304C4">
              <w:rPr>
                <w:rFonts w:hint="eastAsia"/>
              </w:rPr>
              <w:t>等，产品主要涉及驾驶室顶盖总成、保险杠等大型焊接总成</w:t>
            </w:r>
            <w:r w:rsidR="00931DD4">
              <w:rPr>
                <w:rFonts w:hint="eastAsia"/>
              </w:rPr>
              <w:t>。</w:t>
            </w:r>
            <w:r w:rsidR="0053361E">
              <w:rPr>
                <w:rFonts w:hint="eastAsia"/>
              </w:rPr>
              <w:t>乘用车零部件的客户主要是上汽集团、上汽通用</w:t>
            </w:r>
            <w:r w:rsidR="00110097">
              <w:rPr>
                <w:rFonts w:hint="eastAsia"/>
              </w:rPr>
              <w:t>及部分新能源汽车企业</w:t>
            </w:r>
            <w:bookmarkStart w:id="0" w:name="_GoBack"/>
            <w:bookmarkEnd w:id="0"/>
            <w:r w:rsidR="0053361E">
              <w:rPr>
                <w:rFonts w:hint="eastAsia"/>
              </w:rPr>
              <w:t>。</w:t>
            </w:r>
          </w:p>
          <w:p w:rsidR="00D304C4" w:rsidRDefault="00D304C4" w:rsidP="0053361E">
            <w:pPr>
              <w:pStyle w:val="a3"/>
              <w:spacing w:before="0" w:beforeAutospacing="0" w:after="0" w:afterAutospacing="0" w:line="360" w:lineRule="auto"/>
              <w:ind w:firstLineChars="200" w:firstLine="480"/>
            </w:pPr>
            <w:r w:rsidRPr="00D304C4">
              <w:rPr>
                <w:rFonts w:hint="eastAsia"/>
              </w:rPr>
              <w:t>近几年得益于天然气卡车的销量</w:t>
            </w:r>
            <w:r w:rsidR="0053361E">
              <w:rPr>
                <w:rFonts w:hint="eastAsia"/>
              </w:rPr>
              <w:t>提升</w:t>
            </w:r>
            <w:r w:rsidRPr="00D304C4">
              <w:rPr>
                <w:rFonts w:hint="eastAsia"/>
              </w:rPr>
              <w:t>及</w:t>
            </w:r>
            <w:r w:rsidR="0053361E">
              <w:rPr>
                <w:rFonts w:hint="eastAsia"/>
              </w:rPr>
              <w:t>中国</w:t>
            </w:r>
            <w:r w:rsidRPr="00D304C4">
              <w:rPr>
                <w:rFonts w:hint="eastAsia"/>
              </w:rPr>
              <w:t>重汽在重卡市场的占有率提高，我司在商用车零部件生产销售方面保持乐观，收入持续稳中有升；在乘用车零部件方面在新客户及新工艺开发方面取得更多的突破，商务</w:t>
            </w:r>
            <w:r w:rsidR="0053361E">
              <w:rPr>
                <w:rFonts w:hint="eastAsia"/>
              </w:rPr>
              <w:t>部门</w:t>
            </w:r>
            <w:r w:rsidRPr="00D304C4">
              <w:rPr>
                <w:rFonts w:hint="eastAsia"/>
              </w:rPr>
              <w:t>陆续接洽了新的产品，工艺由原来单纯的冲焊成功</w:t>
            </w:r>
            <w:r w:rsidR="00093451">
              <w:rPr>
                <w:rFonts w:hint="eastAsia"/>
              </w:rPr>
              <w:t>拓展</w:t>
            </w:r>
            <w:r w:rsidR="00971119">
              <w:rPr>
                <w:rFonts w:hint="eastAsia"/>
              </w:rPr>
              <w:t>为</w:t>
            </w:r>
            <w:r w:rsidRPr="00D304C4">
              <w:rPr>
                <w:rFonts w:hint="eastAsia"/>
              </w:rPr>
              <w:t>冲焊及高压铸铝、综合机械加工，</w:t>
            </w:r>
            <w:r w:rsidR="00E644A2">
              <w:rPr>
                <w:rFonts w:hint="eastAsia"/>
              </w:rPr>
              <w:t>提升</w:t>
            </w:r>
            <w:r w:rsidRPr="00D304C4">
              <w:rPr>
                <w:rFonts w:hint="eastAsia"/>
              </w:rPr>
              <w:t>了公司在新产品承接中的竞争能力</w:t>
            </w:r>
            <w:r w:rsidR="00F96A5A">
              <w:rPr>
                <w:rFonts w:hint="eastAsia"/>
              </w:rPr>
              <w:t>。</w:t>
            </w:r>
          </w:p>
          <w:p w:rsidR="00D304C4" w:rsidRDefault="00D304C4" w:rsidP="009641A1">
            <w:pPr>
              <w:pStyle w:val="a3"/>
              <w:spacing w:before="0" w:beforeAutospacing="0" w:after="0" w:afterAutospacing="0" w:line="360" w:lineRule="auto"/>
              <w:ind w:firstLineChars="200" w:firstLine="480"/>
            </w:pPr>
            <w:r>
              <w:rPr>
                <w:rFonts w:hint="eastAsia"/>
              </w:rPr>
              <w:t>公司近年来在自动化生产方面</w:t>
            </w:r>
            <w:r w:rsidR="0053361E">
              <w:rPr>
                <w:rFonts w:hint="eastAsia"/>
              </w:rPr>
              <w:t>不断</w:t>
            </w:r>
            <w:r>
              <w:rPr>
                <w:rFonts w:hint="eastAsia"/>
              </w:rPr>
              <w:t>加大投入，在济南亚通、常熟亚通增加了自动冲压串联生产线，在烟台亚通新增机器人焊接柔性生产线，从而提升了生产效率，降低了生产成本，为后续拓产提供了保障。</w:t>
            </w:r>
          </w:p>
          <w:p w:rsidR="00922537" w:rsidRPr="00922537" w:rsidRDefault="007D21CD" w:rsidP="009641A1">
            <w:pPr>
              <w:pStyle w:val="a3"/>
              <w:spacing w:before="0" w:beforeAutospacing="0" w:after="0" w:afterAutospacing="0" w:line="360" w:lineRule="auto"/>
              <w:ind w:firstLineChars="200" w:firstLine="480"/>
            </w:pPr>
            <w:r w:rsidRPr="007D21CD">
              <w:rPr>
                <w:rFonts w:hint="eastAsia"/>
              </w:rPr>
              <w:lastRenderedPageBreak/>
              <w:t>汽车产业</w:t>
            </w:r>
            <w:r w:rsidR="00E91115">
              <w:rPr>
                <w:rFonts w:hint="eastAsia"/>
              </w:rPr>
              <w:t>是</w:t>
            </w:r>
            <w:r w:rsidRPr="007D21CD">
              <w:rPr>
                <w:rFonts w:hint="eastAsia"/>
              </w:rPr>
              <w:t>国民经济的重要支柱产业，</w:t>
            </w:r>
            <w:r w:rsidR="00E91115">
              <w:rPr>
                <w:rFonts w:hint="eastAsia"/>
              </w:rPr>
              <w:t>汽车零部件企业是</w:t>
            </w:r>
            <w:r w:rsidRPr="007D21CD">
              <w:rPr>
                <w:rFonts w:hint="eastAsia"/>
              </w:rPr>
              <w:t>造车企业的技术体系支撑和经营活动的重要组成部分</w:t>
            </w:r>
            <w:r w:rsidRPr="007D21CD">
              <w:rPr>
                <w:rFonts w:ascii="MS Gothic" w:eastAsia="MS Gothic" w:hAnsi="MS Gothic" w:cs="MS Gothic" w:hint="eastAsia"/>
              </w:rPr>
              <w:t>‌</w:t>
            </w:r>
            <w:r w:rsidRPr="007D21CD">
              <w:rPr>
                <w:rFonts w:cs="宋体" w:hint="eastAsia"/>
              </w:rPr>
              <w:t>，直接影响产业韧性与竞争力，</w:t>
            </w:r>
            <w:r w:rsidR="00E91115">
              <w:rPr>
                <w:rFonts w:cs="宋体" w:hint="eastAsia"/>
              </w:rPr>
              <w:t>公司以就近建厂为原则，在整车厂周边布局几大生产基地，有效提高了响应的及时性，随着汽车行业的不断发展，我们对未来</w:t>
            </w:r>
            <w:r>
              <w:rPr>
                <w:rFonts w:cs="宋体" w:hint="eastAsia"/>
              </w:rPr>
              <w:t>充满信心。</w:t>
            </w:r>
          </w:p>
        </w:tc>
      </w:tr>
      <w:tr w:rsidR="00037B6D" w:rsidTr="008752C3">
        <w:tc>
          <w:tcPr>
            <w:tcW w:w="1526" w:type="dxa"/>
          </w:tcPr>
          <w:p w:rsidR="00037B6D" w:rsidRDefault="00037B6D" w:rsidP="00BB4CAD">
            <w:pPr>
              <w:pStyle w:val="a3"/>
              <w:spacing w:before="0" w:beforeAutospacing="0" w:after="0" w:afterAutospacing="0"/>
            </w:pPr>
            <w:r>
              <w:rPr>
                <w:rFonts w:hint="eastAsia"/>
              </w:rPr>
              <w:lastRenderedPageBreak/>
              <w:t>附件清单（如有）</w:t>
            </w:r>
          </w:p>
        </w:tc>
        <w:tc>
          <w:tcPr>
            <w:tcW w:w="6996" w:type="dxa"/>
          </w:tcPr>
          <w:p w:rsidR="00037B6D" w:rsidRDefault="00E24753" w:rsidP="005A06BD">
            <w:pPr>
              <w:pStyle w:val="a3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无</w:t>
            </w:r>
          </w:p>
        </w:tc>
      </w:tr>
      <w:tr w:rsidR="00037B6D" w:rsidTr="008752C3">
        <w:tc>
          <w:tcPr>
            <w:tcW w:w="1526" w:type="dxa"/>
          </w:tcPr>
          <w:p w:rsidR="00037B6D" w:rsidRDefault="00037B6D" w:rsidP="005A06BD">
            <w:pPr>
              <w:pStyle w:val="a3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日期</w:t>
            </w:r>
          </w:p>
        </w:tc>
        <w:tc>
          <w:tcPr>
            <w:tcW w:w="6996" w:type="dxa"/>
          </w:tcPr>
          <w:p w:rsidR="00037B6D" w:rsidRDefault="00EC0098" w:rsidP="005A06BD">
            <w:pPr>
              <w:pStyle w:val="a3"/>
              <w:spacing w:before="0" w:beforeAutospacing="0" w:after="0" w:afterAutospacing="0" w:line="360" w:lineRule="auto"/>
            </w:pPr>
            <w:r>
              <w:rPr>
                <w:rFonts w:hint="eastAsia"/>
              </w:rPr>
              <w:t>2</w:t>
            </w:r>
            <w:r>
              <w:t>025</w:t>
            </w:r>
            <w:r>
              <w:rPr>
                <w:rFonts w:hint="eastAsia"/>
              </w:rPr>
              <w:t>年3月</w:t>
            </w:r>
            <w:r w:rsidR="00FE394A">
              <w:t>7</w:t>
            </w:r>
            <w:r>
              <w:rPr>
                <w:rFonts w:hint="eastAsia"/>
              </w:rPr>
              <w:t>日</w:t>
            </w:r>
          </w:p>
        </w:tc>
      </w:tr>
    </w:tbl>
    <w:p w:rsidR="00BC2743" w:rsidRDefault="00BC2743" w:rsidP="009641A1"/>
    <w:sectPr w:rsidR="00BC2743" w:rsidSect="008752C3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3B15" w:rsidRDefault="00563B15" w:rsidP="00AE0820">
      <w:r>
        <w:separator/>
      </w:r>
    </w:p>
  </w:endnote>
  <w:endnote w:type="continuationSeparator" w:id="0">
    <w:p w:rsidR="00563B15" w:rsidRDefault="00563B15" w:rsidP="00AE0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3B15" w:rsidRDefault="00563B15" w:rsidP="00AE0820">
      <w:r>
        <w:separator/>
      </w:r>
    </w:p>
  </w:footnote>
  <w:footnote w:type="continuationSeparator" w:id="0">
    <w:p w:rsidR="00563B15" w:rsidRDefault="00563B15" w:rsidP="00AE0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7B6D"/>
    <w:rsid w:val="00037B6D"/>
    <w:rsid w:val="00065C7B"/>
    <w:rsid w:val="00093451"/>
    <w:rsid w:val="000B5D81"/>
    <w:rsid w:val="00110097"/>
    <w:rsid w:val="0011089E"/>
    <w:rsid w:val="00176115"/>
    <w:rsid w:val="002530D7"/>
    <w:rsid w:val="002D04EC"/>
    <w:rsid w:val="0030437D"/>
    <w:rsid w:val="00357377"/>
    <w:rsid w:val="003C49EF"/>
    <w:rsid w:val="00453C62"/>
    <w:rsid w:val="00484794"/>
    <w:rsid w:val="00491063"/>
    <w:rsid w:val="0053361E"/>
    <w:rsid w:val="00563B15"/>
    <w:rsid w:val="005C40AD"/>
    <w:rsid w:val="006431A6"/>
    <w:rsid w:val="00687B6C"/>
    <w:rsid w:val="00690C27"/>
    <w:rsid w:val="006A46E8"/>
    <w:rsid w:val="00716161"/>
    <w:rsid w:val="00780796"/>
    <w:rsid w:val="007D21CD"/>
    <w:rsid w:val="00812DBE"/>
    <w:rsid w:val="00834534"/>
    <w:rsid w:val="008752C3"/>
    <w:rsid w:val="00922537"/>
    <w:rsid w:val="00931DD4"/>
    <w:rsid w:val="009641A1"/>
    <w:rsid w:val="00971119"/>
    <w:rsid w:val="009A4032"/>
    <w:rsid w:val="00A23983"/>
    <w:rsid w:val="00AE0820"/>
    <w:rsid w:val="00B4123E"/>
    <w:rsid w:val="00B5583C"/>
    <w:rsid w:val="00BB4CAD"/>
    <w:rsid w:val="00BC2743"/>
    <w:rsid w:val="00BD5F23"/>
    <w:rsid w:val="00CF488D"/>
    <w:rsid w:val="00D304C4"/>
    <w:rsid w:val="00DA2EBD"/>
    <w:rsid w:val="00DA5686"/>
    <w:rsid w:val="00E152B7"/>
    <w:rsid w:val="00E24753"/>
    <w:rsid w:val="00E644A2"/>
    <w:rsid w:val="00E91115"/>
    <w:rsid w:val="00EB153F"/>
    <w:rsid w:val="00EC0098"/>
    <w:rsid w:val="00F730F1"/>
    <w:rsid w:val="00F96A5A"/>
    <w:rsid w:val="00FE394A"/>
    <w:rsid w:val="00FE52C7"/>
    <w:rsid w:val="00FF0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1EFB7"/>
  <w15:docId w15:val="{BC3F8B3A-6ED7-4676-AC30-BB267208D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7B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37B6D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AE0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E0820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E0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E082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E7A7E-B4BE-4F09-9FA2-A3191B1FE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</dc:creator>
  <cp:lastModifiedBy>CC.</cp:lastModifiedBy>
  <cp:revision>34</cp:revision>
  <dcterms:created xsi:type="dcterms:W3CDTF">2015-07-17T02:32:00Z</dcterms:created>
  <dcterms:modified xsi:type="dcterms:W3CDTF">2025-03-10T08:26:00Z</dcterms:modified>
</cp:coreProperties>
</file>