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A81AD">
      <w:pPr>
        <w:spacing w:before="120" w:beforeLines="50" w:after="120" w:afterLines="50" w:line="400" w:lineRule="exact"/>
        <w:rPr>
          <w:rFonts w:hint="eastAsia" w:ascii="宋体" w:hAnsi="宋体" w:eastAsia="宋体"/>
          <w:bCs/>
          <w:iCs/>
          <w:sz w:val="24"/>
          <w:szCs w:val="24"/>
        </w:rPr>
      </w:pPr>
      <w:r>
        <w:rPr>
          <w:rFonts w:hint="eastAsia" w:ascii="宋体" w:hAnsi="宋体" w:eastAsia="宋体"/>
          <w:bCs/>
          <w:iCs/>
          <w:sz w:val="24"/>
          <w:szCs w:val="24"/>
        </w:rPr>
        <w:t>证券代码：603051               证券简称：鹿山新材               编号：2025-001</w:t>
      </w:r>
    </w:p>
    <w:p w14:paraId="698D8ACF">
      <w:pPr>
        <w:spacing w:before="120" w:beforeLines="50" w:after="120" w:afterLines="50" w:line="400" w:lineRule="exact"/>
        <w:jc w:val="center"/>
        <w:rPr>
          <w:rFonts w:hint="eastAsia" w:ascii="宋体" w:hAnsi="宋体" w:eastAsia="宋体"/>
          <w:b/>
          <w:bCs/>
          <w:iCs/>
          <w:sz w:val="24"/>
          <w:szCs w:val="24"/>
        </w:rPr>
      </w:pPr>
    </w:p>
    <w:p w14:paraId="7613138B">
      <w:pPr>
        <w:spacing w:before="120" w:beforeLines="50" w:after="120" w:afterLines="50" w:line="400" w:lineRule="exact"/>
        <w:jc w:val="center"/>
        <w:rPr>
          <w:rFonts w:hint="eastAsia" w:ascii="宋体" w:hAnsi="宋体"/>
          <w:b/>
          <w:bCs/>
          <w:iCs/>
          <w:sz w:val="36"/>
          <w:szCs w:val="36"/>
        </w:rPr>
      </w:pPr>
      <w:r>
        <w:rPr>
          <w:rFonts w:hint="eastAsia" w:ascii="宋体" w:hAnsi="宋体"/>
          <w:b/>
          <w:bCs/>
          <w:iCs/>
          <w:sz w:val="36"/>
          <w:szCs w:val="36"/>
        </w:rPr>
        <w:t>广州鹿山新材料股份有限公司投资者关系活动记录表</w:t>
      </w:r>
    </w:p>
    <w:p w14:paraId="54E1AE5C">
      <w:pPr>
        <w:spacing w:line="400" w:lineRule="exact"/>
        <w:rPr>
          <w:rFonts w:hint="eastAsia" w:ascii="宋体" w:hAnsi="宋体"/>
          <w:bCs/>
          <w:iCs/>
          <w:sz w:val="24"/>
        </w:rPr>
      </w:pPr>
    </w:p>
    <w:tbl>
      <w:tblPr>
        <w:tblStyle w:val="8"/>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079"/>
      </w:tblGrid>
      <w:tr w14:paraId="289DD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70EAEACB">
            <w:pPr>
              <w:spacing w:line="360" w:lineRule="auto"/>
              <w:jc w:val="center"/>
              <w:rPr>
                <w:rFonts w:hint="eastAsia" w:ascii="宋体" w:hAnsi="宋体" w:eastAsia="宋体"/>
                <w:bCs/>
                <w:iCs/>
                <w:sz w:val="24"/>
                <w:szCs w:val="24"/>
              </w:rPr>
            </w:pPr>
            <w:r>
              <w:rPr>
                <w:rFonts w:hint="eastAsia" w:ascii="宋体" w:hAnsi="宋体" w:eastAsia="宋体"/>
                <w:sz w:val="24"/>
                <w:szCs w:val="24"/>
              </w:rPr>
              <w:t>投资者关系活动类别</w:t>
            </w:r>
          </w:p>
        </w:tc>
        <w:tc>
          <w:tcPr>
            <w:tcW w:w="8079" w:type="dxa"/>
            <w:tcBorders>
              <w:top w:val="single" w:color="auto" w:sz="4" w:space="0"/>
              <w:left w:val="single" w:color="auto" w:sz="4" w:space="0"/>
              <w:bottom w:val="single" w:color="auto" w:sz="4" w:space="0"/>
              <w:right w:val="single" w:color="auto" w:sz="4" w:space="0"/>
            </w:tcBorders>
            <w:shd w:val="clear" w:color="auto" w:fill="auto"/>
          </w:tcPr>
          <w:p w14:paraId="7F3E52BF">
            <w:pPr>
              <w:spacing w:line="360" w:lineRule="auto"/>
              <w:rPr>
                <w:rFonts w:hint="eastAsia" w:ascii="宋体" w:hAnsi="宋体" w:eastAsia="宋体"/>
                <w:bCs/>
                <w:iCs/>
                <w:sz w:val="24"/>
                <w:szCs w:val="24"/>
              </w:rPr>
            </w:pPr>
            <w:r>
              <w:rPr>
                <w:rFonts w:ascii="宋体" w:hAnsi="宋体" w:eastAsia="宋体"/>
                <w:sz w:val="24"/>
                <w:szCs w:val="24"/>
              </w:rPr>
              <w:sym w:font="Wingdings" w:char="F0FE"/>
            </w:r>
            <w:r>
              <w:rPr>
                <w:rFonts w:hint="eastAsia" w:ascii="宋体" w:hAnsi="宋体" w:eastAsia="宋体"/>
                <w:sz w:val="24"/>
                <w:szCs w:val="24"/>
              </w:rPr>
              <w:t>特定对象调研</w:t>
            </w:r>
            <w:r>
              <w:rPr>
                <w:rFonts w:hint="eastAsia" w:ascii="宋体" w:hAnsi="宋体" w:eastAsia="宋体"/>
                <w:bCs/>
                <w:iCs/>
                <w:sz w:val="24"/>
                <w:szCs w:val="24"/>
              </w:rPr>
              <w:t xml:space="preserve">         □分析师会议</w:t>
            </w:r>
          </w:p>
          <w:p w14:paraId="14F963E6">
            <w:pPr>
              <w:spacing w:line="360" w:lineRule="auto"/>
              <w:rPr>
                <w:rFonts w:hint="eastAsia" w:ascii="宋体" w:hAnsi="宋体" w:eastAsia="宋体"/>
                <w:bCs/>
                <w:iCs/>
                <w:sz w:val="24"/>
                <w:szCs w:val="24"/>
              </w:rPr>
            </w:pPr>
            <w:r>
              <w:rPr>
                <w:rFonts w:ascii="宋体" w:hAnsi="宋体" w:eastAsia="宋体"/>
                <w:sz w:val="24"/>
                <w:szCs w:val="24"/>
              </w:rPr>
              <w:t>□</w:t>
            </w:r>
            <w:r>
              <w:rPr>
                <w:rFonts w:hint="eastAsia" w:ascii="宋体" w:hAnsi="宋体" w:eastAsia="宋体"/>
                <w:bCs/>
                <w:iCs/>
                <w:sz w:val="24"/>
                <w:szCs w:val="24"/>
              </w:rPr>
              <w:t xml:space="preserve">媒体采访             □新闻发布会         </w:t>
            </w:r>
          </w:p>
          <w:p w14:paraId="3E7A216E">
            <w:pPr>
              <w:spacing w:line="360" w:lineRule="auto"/>
              <w:rPr>
                <w:rFonts w:hint="eastAsia" w:ascii="宋体" w:hAnsi="宋体" w:eastAsia="宋体"/>
                <w:bCs/>
                <w:iCs/>
                <w:sz w:val="24"/>
                <w:szCs w:val="24"/>
              </w:rPr>
            </w:pPr>
            <w:r>
              <w:rPr>
                <w:rFonts w:hint="eastAsia" w:ascii="宋体" w:hAnsi="宋体" w:eastAsia="宋体"/>
                <w:bCs/>
                <w:iCs/>
                <w:sz w:val="24"/>
                <w:szCs w:val="24"/>
              </w:rPr>
              <w:t>□现场参观</w:t>
            </w:r>
            <w:r>
              <w:rPr>
                <w:rFonts w:hint="eastAsia" w:ascii="宋体" w:hAnsi="宋体" w:eastAsia="宋体"/>
                <w:bCs/>
                <w:iCs/>
                <w:sz w:val="24"/>
                <w:szCs w:val="24"/>
              </w:rPr>
              <w:tab/>
            </w:r>
            <w:r>
              <w:rPr>
                <w:rFonts w:hint="eastAsia" w:ascii="宋体" w:hAnsi="宋体" w:eastAsia="宋体"/>
                <w:bCs/>
                <w:iCs/>
                <w:sz w:val="24"/>
                <w:szCs w:val="24"/>
              </w:rPr>
              <w:t xml:space="preserve">           □业绩说明会</w:t>
            </w:r>
          </w:p>
          <w:p w14:paraId="6E615F9C">
            <w:pPr>
              <w:spacing w:line="360" w:lineRule="auto"/>
              <w:rPr>
                <w:rFonts w:hint="eastAsia" w:ascii="宋体" w:hAnsi="宋体" w:eastAsia="宋体"/>
                <w:bCs/>
                <w:iCs/>
                <w:sz w:val="24"/>
                <w:szCs w:val="24"/>
              </w:rPr>
            </w:pPr>
            <w:r>
              <w:rPr>
                <w:rFonts w:ascii="宋体" w:hAnsi="宋体" w:eastAsia="宋体"/>
                <w:sz w:val="24"/>
                <w:szCs w:val="24"/>
              </w:rPr>
              <w:t>□</w:t>
            </w:r>
            <w:r>
              <w:rPr>
                <w:rFonts w:hint="eastAsia" w:ascii="宋体" w:hAnsi="宋体" w:eastAsia="宋体"/>
                <w:sz w:val="24"/>
                <w:szCs w:val="24"/>
              </w:rPr>
              <w:t>其他</w:t>
            </w:r>
            <w:r>
              <w:rPr>
                <w:rFonts w:hint="eastAsia" w:ascii="宋体" w:hAnsi="宋体" w:eastAsia="宋体"/>
                <w:bCs/>
                <w:iCs/>
                <w:sz w:val="24"/>
                <w:szCs w:val="24"/>
                <w:u w:val="single"/>
              </w:rPr>
              <w:t xml:space="preserve"> </w:t>
            </w:r>
            <w:r>
              <w:rPr>
                <w:rFonts w:hint="eastAsia" w:ascii="宋体" w:hAnsi="宋体" w:eastAsia="宋体"/>
                <w:bCs/>
                <w:iCs/>
                <w:sz w:val="24"/>
                <w:szCs w:val="24"/>
              </w:rPr>
              <w:t xml:space="preserve">    </w:t>
            </w:r>
          </w:p>
        </w:tc>
      </w:tr>
      <w:tr w14:paraId="3A3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B5BA435">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参与单位名称</w:t>
            </w:r>
          </w:p>
          <w:p w14:paraId="15B77427">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及人员姓名</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39EFA90D">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参与单位名称及人员姓名详见后续附表</w:t>
            </w:r>
          </w:p>
        </w:tc>
      </w:tr>
      <w:tr w14:paraId="5484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498E00C">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时间</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17D7FFFB">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2025年2月25日-2025年3月14日</w:t>
            </w:r>
          </w:p>
        </w:tc>
      </w:tr>
      <w:tr w14:paraId="03EA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93DBCFD">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rPr>
              <w:t>会议方式</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008831C5">
            <w:pPr>
              <w:spacing w:line="360" w:lineRule="auto"/>
              <w:rPr>
                <w:rFonts w:hint="eastAsia" w:ascii="宋体" w:hAnsi="宋体" w:eastAsia="宋体"/>
                <w:color w:val="000000"/>
                <w:sz w:val="24"/>
                <w:szCs w:val="24"/>
              </w:rPr>
            </w:pPr>
            <w:r>
              <w:rPr>
                <w:rFonts w:hint="eastAsia" w:ascii="宋体" w:hAnsi="宋体" w:eastAsia="宋体"/>
                <w:color w:val="000000"/>
                <w:sz w:val="24"/>
                <w:szCs w:val="24"/>
              </w:rPr>
              <w:t>现场交流、电话会议</w:t>
            </w:r>
          </w:p>
        </w:tc>
      </w:tr>
      <w:tr w14:paraId="3913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56974FC">
            <w:pPr>
              <w:spacing w:line="360" w:lineRule="auto"/>
              <w:jc w:val="center"/>
              <w:rPr>
                <w:rFonts w:hint="eastAsia" w:ascii="宋体" w:hAnsi="宋体" w:eastAsia="宋体"/>
                <w:sz w:val="24"/>
                <w:szCs w:val="24"/>
              </w:rPr>
            </w:pPr>
            <w:r>
              <w:rPr>
                <w:rFonts w:hint="eastAsia" w:ascii="宋体" w:hAnsi="宋体" w:eastAsia="宋体"/>
                <w:sz w:val="24"/>
                <w:szCs w:val="24"/>
              </w:rPr>
              <w:t>上市公司接待人员姓名</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79B9D1E6">
            <w:pPr>
              <w:jc w:val="both"/>
              <w:rPr>
                <w:rFonts w:hint="eastAsia" w:ascii="宋体" w:hAnsi="宋体" w:eastAsia="宋体"/>
                <w:sz w:val="24"/>
                <w:szCs w:val="24"/>
              </w:rPr>
            </w:pPr>
            <w:r>
              <w:rPr>
                <w:rFonts w:hint="eastAsia" w:ascii="宋体" w:hAnsi="宋体" w:eastAsia="宋体"/>
                <w:sz w:val="24"/>
                <w:szCs w:val="24"/>
              </w:rPr>
              <w:t>副总经理兼董事会秘书唐小军先生、证券事务代表唐翠女士、证券事务助</w:t>
            </w:r>
          </w:p>
          <w:p w14:paraId="68B66A26">
            <w:pPr>
              <w:jc w:val="both"/>
              <w:rPr>
                <w:rFonts w:hint="eastAsia" w:ascii="宋体" w:hAnsi="宋体" w:eastAsia="宋体"/>
                <w:sz w:val="24"/>
                <w:szCs w:val="24"/>
              </w:rPr>
            </w:pPr>
            <w:r>
              <w:rPr>
                <w:rFonts w:hint="eastAsia" w:ascii="宋体" w:hAnsi="宋体" w:eastAsia="宋体"/>
                <w:sz w:val="24"/>
                <w:szCs w:val="24"/>
              </w:rPr>
              <w:t>理何利君女士</w:t>
            </w:r>
          </w:p>
        </w:tc>
      </w:tr>
      <w:tr w14:paraId="68BA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2FFB8B32">
            <w:pPr>
              <w:spacing w:line="360" w:lineRule="auto"/>
              <w:jc w:val="center"/>
              <w:rPr>
                <w:rFonts w:hint="eastAsia" w:ascii="宋体" w:hAnsi="宋体" w:eastAsia="宋体"/>
                <w:sz w:val="24"/>
                <w:szCs w:val="24"/>
              </w:rPr>
            </w:pPr>
            <w:r>
              <w:rPr>
                <w:rFonts w:hint="eastAsia" w:ascii="宋体" w:hAnsi="宋体" w:eastAsia="宋体"/>
                <w:sz w:val="24"/>
                <w:szCs w:val="24"/>
              </w:rPr>
              <w:t>投资者关系活动记录</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6017BBE1">
            <w:pPr>
              <w:numPr>
                <w:ilvl w:val="0"/>
                <w:numId w:val="1"/>
              </w:numPr>
              <w:spacing w:beforeAutospacing="1" w:line="360" w:lineRule="auto"/>
              <w:rPr>
                <w:rFonts w:hint="eastAsia" w:ascii="宋体" w:hAnsi="宋体" w:eastAsia="宋体"/>
                <w:b/>
                <w:bCs/>
                <w:sz w:val="24"/>
              </w:rPr>
            </w:pPr>
            <w:bookmarkStart w:id="0" w:name="OLE_LINK3"/>
            <w:r>
              <w:rPr>
                <w:rFonts w:hint="eastAsia" w:ascii="宋体" w:hAnsi="宋体" w:eastAsia="宋体"/>
                <w:b/>
                <w:bCs/>
                <w:sz w:val="24"/>
              </w:rPr>
              <w:t>公司OCA光学胶膜有哪些竞争优势？</w:t>
            </w:r>
            <w:bookmarkStart w:id="3" w:name="_GoBack"/>
            <w:bookmarkEnd w:id="3"/>
          </w:p>
          <w:p w14:paraId="098F81DB">
            <w:pPr>
              <w:spacing w:line="360" w:lineRule="auto"/>
              <w:ind w:firstLine="480" w:firstLineChars="200"/>
              <w:jc w:val="both"/>
              <w:rPr>
                <w:rFonts w:ascii="宋体" w:hAnsi="宋体" w:eastAsia="宋体"/>
                <w:sz w:val="24"/>
                <w:szCs w:val="24"/>
                <w:lang w:val="zh-CN"/>
              </w:rPr>
            </w:pPr>
            <w:r>
              <w:rPr>
                <w:rFonts w:hint="eastAsia" w:ascii="宋体" w:hAnsi="宋体" w:eastAsia="宋体"/>
                <w:sz w:val="24"/>
                <w:szCs w:val="24"/>
                <w:lang w:val="zh-CN"/>
              </w:rPr>
              <w:t>回复：尊敬的投资者，您好！在柔性显示器件领域，折叠屏手机和高端智能手机因其创新性和高端体验受到消费者热烈追捧，而公</w:t>
            </w:r>
            <w:r>
              <w:rPr>
                <w:rFonts w:hint="eastAsia" w:ascii="宋体" w:hAnsi="宋体" w:eastAsia="宋体"/>
                <w:sz w:val="24"/>
                <w:szCs w:val="24"/>
              </w:rPr>
              <w:t>司推出的柔性折叠OLED全贴合用光学胶专为柔性折叠光学器件的全贴合应用而设计。公司折叠屏OCA光学胶膜在水滴型铰链应用中，动态弯折曲率半径为1.5-3mm时，常温测试耐弯折次数超20万次，且在高湿热（60℃/90%RH）或低温（-40℃）环境下仍可以承受超5万次弯折，产品性能优异</w:t>
            </w:r>
            <w:r>
              <w:rPr>
                <w:rFonts w:hint="eastAsia" w:ascii="宋体" w:hAnsi="宋体" w:eastAsia="宋体"/>
                <w:sz w:val="24"/>
                <w:shd w:val="clear" w:color="auto" w:fill="FFFFFF"/>
              </w:rPr>
              <w:t>。</w:t>
            </w:r>
            <w:r>
              <w:rPr>
                <w:rFonts w:hint="eastAsia" w:ascii="宋体" w:hAnsi="宋体" w:eastAsia="宋体"/>
                <w:sz w:val="24"/>
                <w:szCs w:val="24"/>
                <w:lang w:val="zh-CN"/>
              </w:rPr>
              <w:t>感谢您对公司的关注</w:t>
            </w:r>
            <w:r>
              <w:rPr>
                <w:rFonts w:ascii="宋体" w:hAnsi="宋体" w:eastAsia="宋体"/>
                <w:sz w:val="24"/>
                <w:szCs w:val="24"/>
                <w:lang w:val="zh-CN"/>
              </w:rPr>
              <w:t>！</w:t>
            </w:r>
          </w:p>
          <w:p w14:paraId="226E61E7">
            <w:pPr>
              <w:spacing w:line="360" w:lineRule="auto"/>
              <w:ind w:firstLine="480" w:firstLineChars="200"/>
              <w:jc w:val="both"/>
              <w:rPr>
                <w:rFonts w:hint="eastAsia" w:ascii="宋体" w:hAnsi="宋体" w:eastAsia="宋体"/>
                <w:sz w:val="24"/>
                <w:szCs w:val="24"/>
                <w:lang w:val="zh-CN"/>
              </w:rPr>
            </w:pPr>
          </w:p>
          <w:bookmarkEnd w:id="0"/>
          <w:p w14:paraId="61755D3D">
            <w:pPr>
              <w:numPr>
                <w:ilvl w:val="0"/>
                <w:numId w:val="1"/>
              </w:numPr>
              <w:spacing w:line="360" w:lineRule="auto"/>
              <w:jc w:val="both"/>
              <w:rPr>
                <w:rFonts w:hint="eastAsia" w:ascii="宋体" w:hAnsi="宋体" w:eastAsia="宋体"/>
                <w:b/>
                <w:bCs/>
                <w:sz w:val="24"/>
              </w:rPr>
            </w:pPr>
            <w:bookmarkStart w:id="1" w:name="OLE_LINK2"/>
            <w:bookmarkStart w:id="2" w:name="OLE_LINK1"/>
            <w:r>
              <w:rPr>
                <w:rFonts w:hint="eastAsia" w:ascii="宋体" w:hAnsi="宋体" w:eastAsia="宋体"/>
                <w:b/>
                <w:bCs/>
                <w:sz w:val="24"/>
              </w:rPr>
              <w:t>太阳能电池封装胶膜</w:t>
            </w:r>
            <w:bookmarkEnd w:id="1"/>
            <w:r>
              <w:rPr>
                <w:rFonts w:hint="eastAsia" w:ascii="宋体" w:hAnsi="宋体" w:eastAsia="宋体"/>
                <w:b/>
                <w:bCs/>
                <w:sz w:val="24"/>
              </w:rPr>
              <w:t>目前价格情况？预计今年价格趋势如何？</w:t>
            </w:r>
          </w:p>
          <w:bookmarkEnd w:id="2"/>
          <w:p w14:paraId="6E86CD37">
            <w:pPr>
              <w:spacing w:line="360" w:lineRule="auto"/>
              <w:ind w:firstLine="480" w:firstLineChars="200"/>
              <w:jc w:val="both"/>
              <w:rPr>
                <w:rFonts w:hint="eastAsia" w:ascii="宋体" w:hAnsi="宋体" w:eastAsia="宋体"/>
                <w:sz w:val="24"/>
                <w:szCs w:val="24"/>
                <w:lang w:val="zh-CN"/>
              </w:rPr>
            </w:pPr>
            <w:r>
              <w:rPr>
                <w:rFonts w:hint="eastAsia" w:ascii="宋体" w:hAnsi="宋体" w:eastAsia="宋体"/>
                <w:sz w:val="24"/>
                <w:szCs w:val="24"/>
                <w:lang w:val="zh-CN"/>
              </w:rPr>
              <w:t>回复：尊敬的投资者，您好！目前光伏行业多个环节都在呼吁限产自律并上调价格，这表明行业正在积极应对市场变化，寻求健康、可持续的发展。随着行业产能出清逐步完成，我们预计今年太阳能电池封装胶膜利润有望得到修复。感谢您的关注</w:t>
            </w:r>
            <w:r>
              <w:rPr>
                <w:rFonts w:hint="eastAsia" w:ascii="宋体" w:hAnsi="宋体" w:eastAsia="宋体"/>
                <w:sz w:val="24"/>
                <w:szCs w:val="24"/>
              </w:rPr>
              <w:t>！</w:t>
            </w:r>
            <w:r>
              <w:rPr>
                <w:rFonts w:ascii="Helvetica" w:hAnsi="Helvetica" w:eastAsia="Helvetica" w:cs="Helvetica"/>
                <w:color w:val="666666"/>
                <w:sz w:val="27"/>
                <w:szCs w:val="27"/>
                <w:shd w:val="clear" w:color="auto" w:fill="FFFFFF"/>
              </w:rPr>
              <w:fldChar w:fldCharType="begin"/>
            </w:r>
            <w:r>
              <w:rPr>
                <w:rFonts w:ascii="Helvetica" w:hAnsi="Helvetica" w:eastAsia="Helvetica" w:cs="Helvetica"/>
                <w:color w:val="666666"/>
                <w:sz w:val="27"/>
                <w:szCs w:val="27"/>
                <w:shd w:val="clear" w:color="auto" w:fill="FFFFFF"/>
              </w:rPr>
              <w:instrText xml:space="preserve"> HYPERLINK "https://603051.in-hope.cn/investor/questions/ff776689f4564bd9ad85900907319383" \t "https://603051.in-hope.cn/investor/_blank" </w:instrText>
            </w:r>
            <w:r>
              <w:rPr>
                <w:rFonts w:ascii="Helvetica" w:hAnsi="Helvetica" w:eastAsia="Helvetica" w:cs="Helvetica"/>
                <w:color w:val="666666"/>
                <w:sz w:val="27"/>
                <w:szCs w:val="27"/>
                <w:shd w:val="clear" w:color="auto" w:fill="FFFFFF"/>
              </w:rPr>
              <w:fldChar w:fldCharType="separate"/>
            </w:r>
          </w:p>
          <w:p w14:paraId="447BB1F0">
            <w:pPr>
              <w:numPr>
                <w:ilvl w:val="0"/>
                <w:numId w:val="1"/>
              </w:numPr>
              <w:spacing w:line="360" w:lineRule="auto"/>
              <w:jc w:val="both"/>
              <w:rPr>
                <w:rFonts w:hint="eastAsia" w:ascii="宋体" w:hAnsi="宋体" w:eastAsia="宋体"/>
                <w:b/>
                <w:bCs/>
                <w:sz w:val="24"/>
              </w:rPr>
            </w:pPr>
            <w:r>
              <w:rPr>
                <w:rFonts w:ascii="宋体" w:hAnsi="宋体" w:eastAsia="宋体"/>
                <w:b/>
                <w:bCs/>
                <w:sz w:val="24"/>
              </w:rPr>
              <w:t>目前公司固态电池材料进展怎么样？</w:t>
            </w:r>
          </w:p>
          <w:p w14:paraId="586620DF">
            <w:pPr>
              <w:spacing w:line="360" w:lineRule="auto"/>
              <w:ind w:firstLine="540" w:firstLineChars="200"/>
              <w:jc w:val="both"/>
              <w:rPr>
                <w:rFonts w:hint="eastAsia" w:ascii="宋体" w:hAnsi="宋体" w:eastAsia="宋体"/>
                <w:sz w:val="24"/>
                <w:szCs w:val="24"/>
                <w:lang w:val="zh-CN"/>
              </w:rPr>
            </w:pPr>
            <w:r>
              <w:rPr>
                <w:rFonts w:ascii="Helvetica" w:hAnsi="Helvetica" w:eastAsia="Helvetica" w:cs="Helvetica"/>
                <w:color w:val="666666"/>
                <w:sz w:val="27"/>
                <w:szCs w:val="27"/>
                <w:shd w:val="clear" w:color="auto" w:fill="FFFFFF"/>
              </w:rPr>
              <w:fldChar w:fldCharType="end"/>
            </w:r>
            <w:r>
              <w:rPr>
                <w:rFonts w:hint="eastAsia" w:ascii="宋体" w:hAnsi="宋体" w:eastAsia="宋体"/>
                <w:sz w:val="24"/>
                <w:szCs w:val="24"/>
                <w:lang w:val="zh-CN"/>
              </w:rPr>
              <w:t>回复：尊敬的投资者，您好。公司开发的硅碳负极功能粘接材料（PAA）用于液态和固态锂电池中硅基负极极片的粘接。目前，PAA负极胶已经完成3C电子客户的系统性验证，性能优异。对于动力电池应用，已</w:t>
            </w:r>
            <w:r>
              <w:rPr>
                <w:rFonts w:hint="eastAsia" w:ascii="宋体" w:hAnsi="宋体" w:eastAsia="宋体"/>
                <w:sz w:val="24"/>
                <w:szCs w:val="24"/>
                <w:lang w:val="en-US" w:eastAsia="zh-CN"/>
              </w:rPr>
              <w:t>完成</w:t>
            </w:r>
            <w:r>
              <w:rPr>
                <w:rFonts w:hint="eastAsia" w:ascii="宋体" w:hAnsi="宋体" w:eastAsia="宋体"/>
                <w:sz w:val="24"/>
                <w:szCs w:val="24"/>
                <w:lang w:val="zh-CN"/>
              </w:rPr>
              <w:t>动力汽车客户小试验证，对于提升动力电池稳定性有显著效果，目前开展系统性中试验证中。感谢您的关注！</w:t>
            </w:r>
          </w:p>
          <w:p w14:paraId="6107FF4C">
            <w:pPr>
              <w:spacing w:line="360" w:lineRule="auto"/>
              <w:ind w:left="440"/>
              <w:jc w:val="both"/>
              <w:rPr>
                <w:rFonts w:hint="eastAsia" w:ascii="宋体" w:hAnsi="宋体" w:eastAsia="宋体"/>
                <w:b/>
                <w:bCs/>
                <w:sz w:val="24"/>
              </w:rPr>
            </w:pPr>
            <w:r>
              <w:rPr>
                <w:rFonts w:hint="eastAsia" w:ascii="宋体" w:hAnsi="宋体" w:eastAsia="宋体"/>
                <w:b/>
                <w:bCs/>
                <w:sz w:val="24"/>
              </w:rPr>
              <w:t>四、请问公司OCA光学胶膜客户有哪些？</w:t>
            </w:r>
          </w:p>
          <w:p w14:paraId="0ADA0338">
            <w:pPr>
              <w:spacing w:line="360" w:lineRule="auto"/>
              <w:ind w:firstLine="480" w:firstLineChars="200"/>
              <w:jc w:val="both"/>
              <w:rPr>
                <w:rFonts w:hint="eastAsia" w:ascii="宋体" w:hAnsi="宋体" w:eastAsia="宋体"/>
                <w:sz w:val="24"/>
                <w:szCs w:val="24"/>
                <w:lang w:val="zh-CN"/>
              </w:rPr>
            </w:pPr>
            <w:r>
              <w:rPr>
                <w:rFonts w:hint="eastAsia" w:ascii="宋体" w:hAnsi="宋体" w:eastAsia="宋体"/>
                <w:sz w:val="24"/>
                <w:szCs w:val="24"/>
                <w:lang w:val="zh-CN"/>
              </w:rPr>
              <w:t>回复：尊敬的投资者，您好。公司OCA光学胶膜已经实现批量出货。目前，与国内外众多知名企业建立了联系，部分客户正处于产品测试与导入阶段。鉴于公司与客户签订了保密合同，在此不便透露具体客户信息。具体业务情况请您以公司对外披露的定期报告和相关公告为准。感谢您的关注！</w:t>
            </w:r>
          </w:p>
        </w:tc>
      </w:tr>
      <w:tr w14:paraId="38E9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4A079B6F">
            <w:pPr>
              <w:jc w:val="center"/>
              <w:rPr>
                <w:rFonts w:hint="eastAsia" w:ascii="宋体" w:hAnsi="宋体" w:eastAsia="宋体"/>
                <w:bCs/>
                <w:iCs/>
                <w:sz w:val="24"/>
                <w:szCs w:val="24"/>
              </w:rPr>
            </w:pPr>
            <w:r>
              <w:rPr>
                <w:rFonts w:hint="eastAsia" w:ascii="宋体" w:hAnsi="宋体" w:eastAsia="宋体"/>
                <w:bCs/>
                <w:iCs/>
                <w:sz w:val="24"/>
                <w:szCs w:val="24"/>
              </w:rPr>
              <w:t>资料清单（如有）</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20E2D3EF">
            <w:pPr>
              <w:rPr>
                <w:rFonts w:hint="eastAsia" w:ascii="宋体" w:hAnsi="宋体" w:eastAsia="宋体"/>
                <w:bCs/>
                <w:iCs/>
                <w:sz w:val="24"/>
                <w:szCs w:val="24"/>
              </w:rPr>
            </w:pPr>
            <w:r>
              <w:rPr>
                <w:rFonts w:hint="eastAsia" w:ascii="宋体" w:hAnsi="宋体" w:eastAsia="宋体"/>
                <w:sz w:val="24"/>
                <w:szCs w:val="24"/>
              </w:rPr>
              <w:t>无</w:t>
            </w:r>
          </w:p>
        </w:tc>
      </w:tr>
      <w:tr w14:paraId="2AFC8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Borders>
              <w:top w:val="single" w:color="auto" w:sz="4" w:space="0"/>
              <w:left w:val="single" w:color="auto" w:sz="4" w:space="0"/>
              <w:bottom w:val="single" w:color="auto" w:sz="4" w:space="0"/>
              <w:right w:val="single" w:color="auto" w:sz="4" w:space="0"/>
            </w:tcBorders>
            <w:shd w:val="clear" w:color="auto" w:fill="auto"/>
            <w:vAlign w:val="center"/>
          </w:tcPr>
          <w:p w14:paraId="6468780E">
            <w:pPr>
              <w:jc w:val="center"/>
              <w:rPr>
                <w:rFonts w:hint="eastAsia" w:ascii="宋体" w:hAnsi="宋体" w:eastAsia="宋体"/>
                <w:bCs/>
                <w:iCs/>
                <w:sz w:val="24"/>
                <w:szCs w:val="24"/>
              </w:rPr>
            </w:pPr>
            <w:r>
              <w:rPr>
                <w:rFonts w:hint="eastAsia" w:ascii="宋体" w:hAnsi="宋体" w:eastAsia="宋体"/>
                <w:bCs/>
                <w:iCs/>
                <w:sz w:val="24"/>
                <w:szCs w:val="24"/>
              </w:rPr>
              <w:t>日期</w:t>
            </w:r>
          </w:p>
        </w:tc>
        <w:tc>
          <w:tcPr>
            <w:tcW w:w="8079" w:type="dxa"/>
            <w:tcBorders>
              <w:top w:val="single" w:color="auto" w:sz="4" w:space="0"/>
              <w:left w:val="single" w:color="auto" w:sz="4" w:space="0"/>
              <w:bottom w:val="single" w:color="auto" w:sz="4" w:space="0"/>
              <w:right w:val="single" w:color="auto" w:sz="4" w:space="0"/>
            </w:tcBorders>
            <w:shd w:val="clear" w:color="auto" w:fill="auto"/>
            <w:vAlign w:val="center"/>
          </w:tcPr>
          <w:p w14:paraId="16D2AB26">
            <w:pPr>
              <w:rPr>
                <w:rFonts w:hint="eastAsia" w:ascii="宋体" w:hAnsi="宋体" w:eastAsia="宋体"/>
                <w:bCs/>
                <w:iCs/>
                <w:sz w:val="24"/>
                <w:szCs w:val="24"/>
              </w:rPr>
            </w:pPr>
            <w:r>
              <w:rPr>
                <w:rFonts w:hint="eastAsia" w:ascii="宋体" w:hAnsi="宋体" w:eastAsia="宋体"/>
                <w:color w:val="000000"/>
                <w:sz w:val="24"/>
                <w:szCs w:val="24"/>
              </w:rPr>
              <w:t>2025年2月25日-2025年3月14日</w:t>
            </w:r>
          </w:p>
        </w:tc>
      </w:tr>
    </w:tbl>
    <w:p w14:paraId="33CD76F1">
      <w:pPr>
        <w:adjustRightInd/>
        <w:snapToGrid/>
        <w:spacing w:after="0"/>
        <w:rPr>
          <w:rFonts w:hint="eastAsia" w:ascii="宋体" w:hAnsi="宋体" w:eastAsia="宋体"/>
          <w:b/>
          <w:color w:val="000000"/>
          <w:sz w:val="24"/>
          <w:szCs w:val="24"/>
        </w:rPr>
      </w:pPr>
    </w:p>
    <w:p w14:paraId="6C58D16B">
      <w:pPr>
        <w:adjustRightInd/>
        <w:snapToGrid/>
        <w:spacing w:after="0"/>
        <w:rPr>
          <w:rFonts w:hint="eastAsia" w:ascii="宋体" w:hAnsi="宋体" w:eastAsia="宋体"/>
          <w:b/>
          <w:color w:val="000000"/>
          <w:sz w:val="24"/>
          <w:szCs w:val="24"/>
        </w:rPr>
      </w:pPr>
    </w:p>
    <w:p w14:paraId="2666D5DB">
      <w:pPr>
        <w:adjustRightInd/>
        <w:snapToGrid/>
        <w:spacing w:after="0"/>
        <w:rPr>
          <w:rFonts w:hint="eastAsia" w:ascii="宋体" w:hAnsi="宋体" w:eastAsia="宋体"/>
          <w:b/>
          <w:color w:val="000000"/>
          <w:sz w:val="24"/>
          <w:szCs w:val="24"/>
        </w:rPr>
      </w:pPr>
      <w:r>
        <w:rPr>
          <w:rFonts w:hint="eastAsia" w:ascii="宋体" w:hAnsi="宋体" w:eastAsia="宋体"/>
          <w:b/>
          <w:color w:val="000000"/>
          <w:sz w:val="24"/>
          <w:szCs w:val="24"/>
        </w:rPr>
        <w:t>附：参与单位名称及人员姓名</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5517"/>
        <w:gridCol w:w="3210"/>
      </w:tblGrid>
      <w:tr w14:paraId="5C67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52270042">
            <w:pPr>
              <w:adjustRightInd/>
              <w:snapToGrid/>
              <w:spacing w:after="0"/>
              <w:jc w:val="center"/>
              <w:rPr>
                <w:rFonts w:hint="eastAsia" w:ascii="宋体" w:hAnsi="宋体" w:eastAsia="宋体"/>
                <w:bCs/>
                <w:color w:val="000000"/>
                <w:kern w:val="2"/>
                <w:sz w:val="24"/>
                <w:szCs w:val="24"/>
              </w:rPr>
            </w:pPr>
            <w:r>
              <w:rPr>
                <w:rFonts w:hint="eastAsia" w:ascii="宋体" w:hAnsi="宋体" w:eastAsia="宋体"/>
                <w:bCs/>
                <w:color w:val="000000"/>
                <w:kern w:val="2"/>
                <w:sz w:val="24"/>
                <w:szCs w:val="24"/>
              </w:rPr>
              <w:t>序号</w:t>
            </w:r>
          </w:p>
        </w:tc>
        <w:tc>
          <w:tcPr>
            <w:tcW w:w="5517" w:type="dxa"/>
          </w:tcPr>
          <w:p w14:paraId="3D41CBAE">
            <w:pPr>
              <w:adjustRightInd/>
              <w:snapToGrid/>
              <w:spacing w:after="0"/>
              <w:jc w:val="center"/>
              <w:rPr>
                <w:rFonts w:hint="eastAsia" w:ascii="宋体" w:hAnsi="宋体" w:eastAsia="宋体"/>
                <w:bCs/>
                <w:color w:val="000000"/>
                <w:kern w:val="2"/>
                <w:sz w:val="24"/>
                <w:szCs w:val="24"/>
              </w:rPr>
            </w:pPr>
            <w:r>
              <w:rPr>
                <w:rFonts w:hint="eastAsia" w:ascii="宋体" w:hAnsi="宋体" w:eastAsia="宋体"/>
                <w:bCs/>
                <w:color w:val="000000"/>
                <w:kern w:val="2"/>
                <w:sz w:val="24"/>
                <w:szCs w:val="24"/>
              </w:rPr>
              <w:t>姓名</w:t>
            </w:r>
          </w:p>
        </w:tc>
        <w:tc>
          <w:tcPr>
            <w:tcW w:w="3210" w:type="dxa"/>
          </w:tcPr>
          <w:p w14:paraId="202F94AD">
            <w:pPr>
              <w:adjustRightInd/>
              <w:snapToGrid/>
              <w:spacing w:after="0"/>
              <w:jc w:val="center"/>
              <w:rPr>
                <w:rFonts w:hint="eastAsia" w:ascii="宋体" w:hAnsi="宋体" w:eastAsia="宋体"/>
                <w:bCs/>
                <w:color w:val="000000"/>
                <w:kern w:val="2"/>
                <w:sz w:val="24"/>
                <w:szCs w:val="24"/>
              </w:rPr>
            </w:pPr>
            <w:r>
              <w:rPr>
                <w:rFonts w:hint="eastAsia" w:ascii="宋体" w:hAnsi="宋体" w:eastAsia="宋体"/>
                <w:bCs/>
                <w:color w:val="000000"/>
                <w:kern w:val="2"/>
                <w:sz w:val="24"/>
                <w:szCs w:val="24"/>
              </w:rPr>
              <w:t>公司</w:t>
            </w:r>
          </w:p>
        </w:tc>
      </w:tr>
      <w:tr w14:paraId="1BEE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D24D95B">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09B37C76">
            <w:pPr>
              <w:adjustRightInd/>
              <w:snapToGrid/>
              <w:spacing w:after="0"/>
              <w:jc w:val="center"/>
              <w:rPr>
                <w:rFonts w:hint="eastAsia" w:ascii="宋体" w:hAnsi="宋体" w:eastAsia="宋体"/>
                <w:kern w:val="2"/>
                <w:sz w:val="24"/>
                <w:szCs w:val="24"/>
              </w:rPr>
            </w:pPr>
            <w:r>
              <w:rPr>
                <w:rFonts w:hint="eastAsia" w:ascii="宋体" w:hAnsi="宋体" w:eastAsia="宋体"/>
                <w:kern w:val="2"/>
                <w:sz w:val="24"/>
                <w:szCs w:val="24"/>
              </w:rPr>
              <w:t>侯婧</w:t>
            </w:r>
          </w:p>
        </w:tc>
        <w:tc>
          <w:tcPr>
            <w:tcW w:w="3210" w:type="dxa"/>
          </w:tcPr>
          <w:p w14:paraId="45BA6CD8">
            <w:pPr>
              <w:adjustRightInd/>
              <w:snapToGrid/>
              <w:spacing w:after="0"/>
              <w:jc w:val="center"/>
              <w:rPr>
                <w:rFonts w:hint="eastAsia" w:ascii="宋体" w:hAnsi="宋体" w:eastAsia="宋体"/>
                <w:kern w:val="2"/>
                <w:sz w:val="24"/>
                <w:szCs w:val="24"/>
              </w:rPr>
            </w:pPr>
            <w:r>
              <w:rPr>
                <w:rFonts w:hint="eastAsia" w:ascii="宋体" w:hAnsi="宋体" w:eastAsia="宋体"/>
                <w:bCs/>
                <w:color w:val="000000"/>
                <w:kern w:val="2"/>
                <w:sz w:val="24"/>
                <w:szCs w:val="24"/>
              </w:rPr>
              <w:t>摩根士丹利</w:t>
            </w:r>
          </w:p>
        </w:tc>
      </w:tr>
      <w:tr w14:paraId="7231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690C59E5">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19E19A68">
            <w:pPr>
              <w:adjustRightInd/>
              <w:snapToGrid/>
              <w:spacing w:after="0"/>
              <w:jc w:val="center"/>
              <w:rPr>
                <w:rFonts w:hint="eastAsia" w:ascii="宋体" w:hAnsi="宋体" w:eastAsia="宋体"/>
                <w:kern w:val="2"/>
                <w:sz w:val="24"/>
                <w:szCs w:val="24"/>
              </w:rPr>
            </w:pPr>
            <w:r>
              <w:rPr>
                <w:rFonts w:hint="eastAsia" w:ascii="宋体" w:hAnsi="宋体" w:eastAsia="宋体"/>
                <w:kern w:val="2"/>
                <w:sz w:val="24"/>
                <w:szCs w:val="24"/>
              </w:rPr>
              <w:t>王子瑷</w:t>
            </w:r>
          </w:p>
        </w:tc>
        <w:tc>
          <w:tcPr>
            <w:tcW w:w="3210" w:type="dxa"/>
          </w:tcPr>
          <w:p w14:paraId="7EED570D">
            <w:pPr>
              <w:adjustRightInd/>
              <w:snapToGrid/>
              <w:spacing w:after="0"/>
              <w:jc w:val="center"/>
              <w:rPr>
                <w:rFonts w:hint="eastAsia" w:ascii="宋体" w:hAnsi="宋体" w:eastAsia="宋体"/>
                <w:kern w:val="2"/>
                <w:sz w:val="24"/>
                <w:szCs w:val="24"/>
              </w:rPr>
            </w:pPr>
            <w:r>
              <w:rPr>
                <w:rFonts w:hint="eastAsia" w:ascii="宋体" w:hAnsi="宋体" w:eastAsia="宋体"/>
                <w:kern w:val="2"/>
                <w:sz w:val="24"/>
                <w:szCs w:val="24"/>
              </w:rPr>
              <w:t>摩根士丹利</w:t>
            </w:r>
          </w:p>
        </w:tc>
      </w:tr>
      <w:tr w14:paraId="13EA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BEC065A">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48BC6D62">
            <w:pPr>
              <w:adjustRightInd/>
              <w:snapToGrid/>
              <w:spacing w:after="0"/>
              <w:jc w:val="center"/>
              <w:rPr>
                <w:rFonts w:hint="eastAsia" w:ascii="宋体" w:hAnsi="宋体" w:eastAsia="宋体"/>
                <w:kern w:val="2"/>
                <w:sz w:val="24"/>
                <w:szCs w:val="24"/>
              </w:rPr>
            </w:pPr>
            <w:r>
              <w:rPr>
                <w:rFonts w:hint="eastAsia" w:ascii="宋体" w:hAnsi="宋体" w:eastAsia="宋体"/>
                <w:kern w:val="2"/>
                <w:sz w:val="24"/>
                <w:szCs w:val="24"/>
              </w:rPr>
              <w:t>李凌霄</w:t>
            </w:r>
          </w:p>
        </w:tc>
        <w:tc>
          <w:tcPr>
            <w:tcW w:w="3210" w:type="dxa"/>
          </w:tcPr>
          <w:p w14:paraId="7FBD1566">
            <w:pPr>
              <w:adjustRightInd/>
              <w:snapToGrid/>
              <w:spacing w:after="0"/>
              <w:jc w:val="center"/>
              <w:rPr>
                <w:rFonts w:hint="eastAsia" w:ascii="宋体" w:hAnsi="宋体" w:eastAsia="宋体"/>
                <w:kern w:val="2"/>
                <w:sz w:val="24"/>
                <w:szCs w:val="24"/>
              </w:rPr>
            </w:pPr>
            <w:r>
              <w:rPr>
                <w:rFonts w:hint="eastAsia" w:ascii="宋体" w:hAnsi="宋体" w:eastAsia="宋体"/>
                <w:kern w:val="2"/>
                <w:sz w:val="24"/>
                <w:szCs w:val="24"/>
              </w:rPr>
              <w:t>易方达</w:t>
            </w:r>
          </w:p>
        </w:tc>
      </w:tr>
      <w:tr w14:paraId="2D0C3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62A2E33">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1B3B009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鲁娜</w:t>
            </w:r>
          </w:p>
        </w:tc>
        <w:tc>
          <w:tcPr>
            <w:tcW w:w="3210" w:type="dxa"/>
          </w:tcPr>
          <w:p w14:paraId="4192852F">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盈泰基金</w:t>
            </w:r>
          </w:p>
        </w:tc>
      </w:tr>
      <w:tr w14:paraId="52FA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49BC3553">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54568D77">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谭智汩</w:t>
            </w:r>
          </w:p>
        </w:tc>
        <w:tc>
          <w:tcPr>
            <w:tcW w:w="3210" w:type="dxa"/>
          </w:tcPr>
          <w:p w14:paraId="177DDFAE">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金信基金</w:t>
            </w:r>
          </w:p>
        </w:tc>
      </w:tr>
      <w:tr w14:paraId="34D7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CA4B940">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5663BD3E">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甘翠苗</w:t>
            </w:r>
          </w:p>
        </w:tc>
        <w:tc>
          <w:tcPr>
            <w:tcW w:w="3210" w:type="dxa"/>
          </w:tcPr>
          <w:p w14:paraId="4B5FCA11">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西部证券</w:t>
            </w:r>
          </w:p>
        </w:tc>
      </w:tr>
      <w:tr w14:paraId="407F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53F340B4">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36061D7F">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黄侃</w:t>
            </w:r>
          </w:p>
        </w:tc>
        <w:tc>
          <w:tcPr>
            <w:tcW w:w="3210" w:type="dxa"/>
          </w:tcPr>
          <w:p w14:paraId="23A65E64">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西部证券</w:t>
            </w:r>
          </w:p>
        </w:tc>
      </w:tr>
      <w:tr w14:paraId="41CCA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4C99F89">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45FA006B">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李妍</w:t>
            </w:r>
          </w:p>
        </w:tc>
        <w:tc>
          <w:tcPr>
            <w:tcW w:w="3210" w:type="dxa"/>
          </w:tcPr>
          <w:p w14:paraId="22EEE4CF">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西部证券</w:t>
            </w:r>
          </w:p>
        </w:tc>
      </w:tr>
      <w:tr w14:paraId="5BE4D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644280B5">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66509ED5">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陈越</w:t>
            </w:r>
          </w:p>
        </w:tc>
        <w:tc>
          <w:tcPr>
            <w:tcW w:w="3210" w:type="dxa"/>
          </w:tcPr>
          <w:p w14:paraId="3DEA2D9E">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赛富资管</w:t>
            </w:r>
          </w:p>
        </w:tc>
      </w:tr>
      <w:tr w14:paraId="4BBB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42E1057">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2635DA2F">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柯正泰</w:t>
            </w:r>
          </w:p>
        </w:tc>
        <w:tc>
          <w:tcPr>
            <w:tcW w:w="3210" w:type="dxa"/>
          </w:tcPr>
          <w:p w14:paraId="7B000B39">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路翔投资</w:t>
            </w:r>
          </w:p>
        </w:tc>
      </w:tr>
      <w:tr w14:paraId="329E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17EC5CE">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27775E4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刘昊</w:t>
            </w:r>
          </w:p>
        </w:tc>
        <w:tc>
          <w:tcPr>
            <w:tcW w:w="3210" w:type="dxa"/>
          </w:tcPr>
          <w:p w14:paraId="2968C01B">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南传私募</w:t>
            </w:r>
          </w:p>
        </w:tc>
      </w:tr>
      <w:tr w14:paraId="5D4DB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A2ECF86">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40DC0AD1">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李泓桦</w:t>
            </w:r>
          </w:p>
        </w:tc>
        <w:tc>
          <w:tcPr>
            <w:tcW w:w="3210" w:type="dxa"/>
          </w:tcPr>
          <w:p w14:paraId="5497C42C">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上海泾溪投资</w:t>
            </w:r>
          </w:p>
        </w:tc>
      </w:tr>
      <w:tr w14:paraId="266C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632CEA2D">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4D20B9E2">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席建国</w:t>
            </w:r>
          </w:p>
        </w:tc>
        <w:tc>
          <w:tcPr>
            <w:tcW w:w="3210" w:type="dxa"/>
          </w:tcPr>
          <w:p w14:paraId="7B87DE67">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广东莲花私募</w:t>
            </w:r>
          </w:p>
        </w:tc>
      </w:tr>
      <w:tr w14:paraId="6B82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8EE444F">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07BF5CF9">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肖海涛</w:t>
            </w:r>
          </w:p>
        </w:tc>
        <w:tc>
          <w:tcPr>
            <w:tcW w:w="3210" w:type="dxa"/>
          </w:tcPr>
          <w:p w14:paraId="535E80DE">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广东莲花私募</w:t>
            </w:r>
          </w:p>
        </w:tc>
      </w:tr>
      <w:tr w14:paraId="01FC9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0C185DD2">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1DD3F12C">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李旭明</w:t>
            </w:r>
          </w:p>
        </w:tc>
        <w:tc>
          <w:tcPr>
            <w:tcW w:w="3210" w:type="dxa"/>
          </w:tcPr>
          <w:p w14:paraId="66D7DB15">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广东燊茂私募</w:t>
            </w:r>
          </w:p>
        </w:tc>
      </w:tr>
      <w:tr w14:paraId="15C7A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51C719B2">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5E319D01">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陈九宇</w:t>
            </w:r>
          </w:p>
        </w:tc>
        <w:tc>
          <w:tcPr>
            <w:tcW w:w="3210" w:type="dxa"/>
          </w:tcPr>
          <w:p w14:paraId="306109F4">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广州市知本复利</w:t>
            </w:r>
          </w:p>
        </w:tc>
      </w:tr>
      <w:tr w14:paraId="334A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265C4D9C">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3E1A2BA5">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李正</w:t>
            </w:r>
          </w:p>
        </w:tc>
        <w:tc>
          <w:tcPr>
            <w:tcW w:w="3210" w:type="dxa"/>
          </w:tcPr>
          <w:p w14:paraId="0D0927D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广州路翔投资</w:t>
            </w:r>
          </w:p>
        </w:tc>
      </w:tr>
      <w:tr w14:paraId="31C8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439AAFDE">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2059BBE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陈思广</w:t>
            </w:r>
          </w:p>
        </w:tc>
        <w:tc>
          <w:tcPr>
            <w:tcW w:w="3210" w:type="dxa"/>
          </w:tcPr>
          <w:p w14:paraId="2D8A681B">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广州私募基金协会</w:t>
            </w:r>
          </w:p>
        </w:tc>
      </w:tr>
      <w:tr w14:paraId="5B06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7B0DE739">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5F6C710A">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易小科</w:t>
            </w:r>
          </w:p>
        </w:tc>
        <w:tc>
          <w:tcPr>
            <w:tcW w:w="3210" w:type="dxa"/>
          </w:tcPr>
          <w:p w14:paraId="5E3965DF">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德海基金</w:t>
            </w:r>
          </w:p>
        </w:tc>
      </w:tr>
      <w:tr w14:paraId="5BCC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0A107C1">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0CB3425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苏章海</w:t>
            </w:r>
          </w:p>
        </w:tc>
        <w:tc>
          <w:tcPr>
            <w:tcW w:w="3210" w:type="dxa"/>
          </w:tcPr>
          <w:p w14:paraId="5404EB88">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深圳嘉顺私募</w:t>
            </w:r>
          </w:p>
        </w:tc>
      </w:tr>
      <w:tr w14:paraId="68CA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1BB0656B">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592F834D">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苏云华</w:t>
            </w:r>
          </w:p>
        </w:tc>
        <w:tc>
          <w:tcPr>
            <w:tcW w:w="3210" w:type="dxa"/>
          </w:tcPr>
          <w:p w14:paraId="0ECCFB1D">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穗开投资</w:t>
            </w:r>
          </w:p>
        </w:tc>
      </w:tr>
      <w:tr w14:paraId="0449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tcPr>
          <w:p w14:paraId="343AB1C0">
            <w:pPr>
              <w:numPr>
                <w:ilvl w:val="0"/>
                <w:numId w:val="2"/>
              </w:numPr>
              <w:adjustRightInd/>
              <w:snapToGrid/>
              <w:spacing w:after="0"/>
              <w:jc w:val="center"/>
              <w:rPr>
                <w:rFonts w:hint="eastAsia" w:ascii="宋体" w:hAnsi="宋体" w:eastAsia="宋体"/>
                <w:bCs/>
                <w:color w:val="000000"/>
                <w:kern w:val="2"/>
                <w:sz w:val="24"/>
                <w:szCs w:val="24"/>
              </w:rPr>
            </w:pPr>
          </w:p>
        </w:tc>
        <w:tc>
          <w:tcPr>
            <w:tcW w:w="5517" w:type="dxa"/>
          </w:tcPr>
          <w:p w14:paraId="4AC1E279">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王琰</w:t>
            </w:r>
          </w:p>
        </w:tc>
        <w:tc>
          <w:tcPr>
            <w:tcW w:w="3210" w:type="dxa"/>
          </w:tcPr>
          <w:p w14:paraId="0B1A1FFD">
            <w:pPr>
              <w:adjustRightInd/>
              <w:snapToGrid/>
              <w:spacing w:after="0"/>
              <w:jc w:val="center"/>
              <w:rPr>
                <w:rFonts w:hint="eastAsia" w:ascii="宋体" w:hAnsi="宋体" w:eastAsia="宋体"/>
                <w:bCs/>
                <w:color w:val="000000"/>
                <w:kern w:val="2"/>
                <w:sz w:val="24"/>
                <w:szCs w:val="24"/>
              </w:rPr>
            </w:pPr>
            <w:r>
              <w:rPr>
                <w:rFonts w:hint="eastAsia" w:ascii="宋体" w:hAnsi="宋体" w:eastAsia="宋体"/>
                <w:kern w:val="2"/>
                <w:sz w:val="24"/>
                <w:szCs w:val="24"/>
              </w:rPr>
              <w:t>世纪证券</w:t>
            </w:r>
          </w:p>
        </w:tc>
      </w:tr>
    </w:tbl>
    <w:p w14:paraId="2403872E">
      <w:pPr>
        <w:adjustRightInd/>
        <w:snapToGrid/>
        <w:spacing w:after="0"/>
        <w:rPr>
          <w:rFonts w:hint="eastAsia" w:ascii="宋体" w:hAnsi="宋体" w:eastAsia="宋体"/>
          <w:b/>
          <w:color w:val="000000"/>
          <w:sz w:val="24"/>
          <w:szCs w:val="24"/>
        </w:rPr>
      </w:pPr>
    </w:p>
    <w:sectPr>
      <w:headerReference r:id="rId4" w:type="default"/>
      <w:footerReference r:id="rId5" w:type="default"/>
      <w:pgSz w:w="11906" w:h="16838"/>
      <w:pgMar w:top="1701" w:right="1134" w:bottom="1332"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151C">
    <w:pPr>
      <w:spacing w:line="220" w:lineRule="atLeast"/>
      <w:rPr>
        <w:rFonts w:hint="eastAsia" w:ascii="微软雅黑" w:hAnsi="微软雅黑"/>
        <w:color w:val="5A5A5A"/>
        <w:sz w:val="14"/>
        <w:szCs w:val="14"/>
        <w:shd w:val="clear" w:color="auto" w:fill="FFFFFF"/>
      </w:rPr>
    </w:pPr>
    <w:r>
      <w:rPr>
        <w:sz w:val="15"/>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2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E67827D">
                          <w:pPr>
                            <w:pStyle w:val="5"/>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文本框 102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NprA1MYBAACKAwAADgAAAAAAAAABACAAAAAfAQAAZHJzL2Uyb0RvYy54&#10;bWxQSwUGAAAAAAYABgBZAQAAVwUAAAAA&#10;">
              <v:fill on="f" focussize="0,0"/>
              <v:stroke on="f"/>
              <v:imagedata o:title=""/>
              <o:lock v:ext="edit" aspectratio="f"/>
              <v:textbox inset="0mm,0mm,0mm,0mm" style="mso-fit-shape-to-text:t;">
                <w:txbxContent>
                  <w:p w14:paraId="2E67827D">
                    <w:pPr>
                      <w:pStyle w:val="5"/>
                    </w:pPr>
                    <w:r>
                      <w:fldChar w:fldCharType="begin"/>
                    </w:r>
                    <w:r>
                      <w:instrText xml:space="preserve"> PAGE  \* MERGEFORMAT </w:instrText>
                    </w:r>
                    <w:r>
                      <w:fldChar w:fldCharType="separate"/>
                    </w:r>
                    <w:r>
                      <w:t>1</w:t>
                    </w:r>
                    <w:r>
                      <w:fldChar w:fldCharType="end"/>
                    </w:r>
                  </w:p>
                </w:txbxContent>
              </v:textbox>
            </v:rect>
          </w:pict>
        </mc:Fallback>
      </mc:AlternateContent>
    </w:r>
    <w:r>
      <w:rPr>
        <w:sz w:val="15"/>
        <w:szCs w:val="15"/>
      </w:rPr>
      <mc:AlternateContent>
        <mc:Choice Requires="wps">
          <w:drawing>
            <wp:anchor distT="0" distB="0" distL="0" distR="0" simplePos="0" relativeHeight="251659264" behindDoc="0" locked="0" layoutInCell="1" allowOverlap="1">
              <wp:simplePos x="0" y="0"/>
              <wp:positionH relativeFrom="margin">
                <wp:posOffset>1645285</wp:posOffset>
              </wp:positionH>
              <wp:positionV relativeFrom="paragraph">
                <wp:posOffset>-122555</wp:posOffset>
              </wp:positionV>
              <wp:extent cx="1600200" cy="627380"/>
              <wp:effectExtent l="0" t="0" r="0" b="0"/>
              <wp:wrapNone/>
              <wp:docPr id="4100" name="4100"/>
              <wp:cNvGraphicFramePr/>
              <a:graphic xmlns:a="http://schemas.openxmlformats.org/drawingml/2006/main">
                <a:graphicData uri="http://schemas.microsoft.com/office/word/2010/wordprocessingShape">
                  <wps:wsp>
                    <wps:cNvSpPr/>
                    <wps:spPr>
                      <a:xfrm>
                        <a:off x="0" y="0"/>
                        <a:ext cx="1600200" cy="627380"/>
                      </a:xfrm>
                      <a:prstGeom prst="rect">
                        <a:avLst/>
                      </a:prstGeom>
                      <a:ln>
                        <a:noFill/>
                      </a:ln>
                    </wps:spPr>
                    <wps:txbx>
                      <w:txbxContent>
                        <w:p w14:paraId="7D378411">
                          <w:pPr>
                            <w:spacing w:after="0"/>
                            <w:rPr>
                              <w:rFonts w:hint="eastAsia"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wps:txbx>
                    <wps:bodyPr upright="1"/>
                  </wps:wsp>
                </a:graphicData>
              </a:graphic>
            </wp:anchor>
          </w:drawing>
        </mc:Choice>
        <mc:Fallback>
          <w:pict>
            <v:rect id="4100" o:spid="_x0000_s1026" o:spt="1" style="position:absolute;left:0pt;margin-left:129.55pt;margin-top:-9.65pt;height:49.4pt;width:126pt;mso-position-horizontal-relative:margin;z-index:251659264;mso-width-relative:page;mso-height-relative:page;" filled="f" stroked="f" coordsize="21600,21600" o:gfxdata="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&#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">
              <v:fill on="f" focussize="0,0"/>
              <v:stroke on="f"/>
              <v:imagedata o:title=""/>
              <o:lock v:ext="edit" aspectratio="f"/>
              <v:textbox>
                <w:txbxContent>
                  <w:p w14:paraId="7D378411">
                    <w:pPr>
                      <w:spacing w:after="0"/>
                      <w:rPr>
                        <w:rFonts w:hint="eastAsia" w:ascii="微软雅黑" w:hAnsi="微软雅黑"/>
                        <w:sz w:val="14"/>
                        <w:szCs w:val="14"/>
                      </w:rPr>
                    </w:pPr>
                    <w:r>
                      <w:rPr>
                        <w:rFonts w:hint="eastAsia" w:ascii="微软雅黑" w:hAnsi="微软雅黑"/>
                        <w:color w:val="595757"/>
                        <w:sz w:val="12"/>
                        <w:szCs w:val="12"/>
                      </w:rPr>
                      <w:t xml:space="preserve">电话：(020)-8226 6168 </w:t>
                    </w:r>
                    <w:r>
                      <w:rPr>
                        <w:rFonts w:hint="eastAsia" w:ascii="微软雅黑" w:hAnsi="微软雅黑"/>
                        <w:color w:val="595757"/>
                        <w:sz w:val="14"/>
                        <w:szCs w:val="14"/>
                      </w:rPr>
                      <w:t xml:space="preserve">www.cnlushan.com   </w:t>
                    </w:r>
                  </w:p>
                </w:txbxContent>
              </v:textbox>
            </v:rect>
          </w:pict>
        </mc:Fallback>
      </mc:AlternateContent>
    </w:r>
    <w:r>
      <w:rPr>
        <w:sz w:val="15"/>
        <w:szCs w:val="15"/>
      </w:rPr>
      <mc:AlternateContent>
        <mc:Choice Requires="wps">
          <w:drawing>
            <wp:anchor distT="0" distB="0" distL="0" distR="0" simplePos="0" relativeHeight="251659264" behindDoc="0" locked="0" layoutInCell="1" allowOverlap="1">
              <wp:simplePos x="0" y="0"/>
              <wp:positionH relativeFrom="margin">
                <wp:posOffset>0</wp:posOffset>
              </wp:positionH>
              <wp:positionV relativeFrom="paragraph">
                <wp:posOffset>-122555</wp:posOffset>
              </wp:positionV>
              <wp:extent cx="1600200" cy="626745"/>
              <wp:effectExtent l="0" t="0" r="0" b="0"/>
              <wp:wrapNone/>
              <wp:docPr id="4101" name="4101"/>
              <wp:cNvGraphicFramePr/>
              <a:graphic xmlns:a="http://schemas.openxmlformats.org/drawingml/2006/main">
                <a:graphicData uri="http://schemas.microsoft.com/office/word/2010/wordprocessingShape">
                  <wps:wsp>
                    <wps:cNvSpPr/>
                    <wps:spPr>
                      <a:xfrm>
                        <a:off x="0" y="0"/>
                        <a:ext cx="1600200" cy="626745"/>
                      </a:xfrm>
                      <a:prstGeom prst="rect">
                        <a:avLst/>
                      </a:prstGeom>
                      <a:ln>
                        <a:noFill/>
                      </a:ln>
                    </wps:spPr>
                    <wps:txbx>
                      <w:txbxContent>
                        <w:p w14:paraId="062C8B3B">
                          <w:pPr>
                            <w:spacing w:after="0"/>
                            <w:rPr>
                              <w:rFonts w:hint="eastAsia"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75E60171">
                          <w:pPr>
                            <w:spacing w:after="0"/>
                            <w:rPr>
                              <w:rFonts w:hint="eastAsia" w:ascii="微软雅黑" w:hAnsi="微软雅黑"/>
                              <w:sz w:val="12"/>
                              <w:szCs w:val="12"/>
                            </w:rPr>
                          </w:pPr>
                          <w:r>
                            <w:rPr>
                              <w:rFonts w:hint="eastAsia" w:ascii="微软雅黑" w:hAnsi="微软雅黑"/>
                              <w:color w:val="595757"/>
                              <w:sz w:val="12"/>
                              <w:szCs w:val="12"/>
                            </w:rPr>
                            <w:t>广州市黄埔区云埔工业区埔北路22号</w:t>
                          </w:r>
                        </w:p>
                      </w:txbxContent>
                    </wps:txbx>
                    <wps:bodyPr upright="1"/>
                  </wps:wsp>
                </a:graphicData>
              </a:graphic>
            </wp:anchor>
          </w:drawing>
        </mc:Choice>
        <mc:Fallback>
          <w:pict>
            <v:rect id="4101" o:spid="_x0000_s1026" o:spt="1" style="position:absolute;left:0pt;margin-left:0pt;margin-top:-9.65pt;height:49.35pt;width:126pt;mso-position-horizontal-relative:margin;z-index:251659264;mso-width-relative:page;mso-height-relative:page;" filled="f" stroked="f" coordsize="21600,21600" o:gfxdata="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eo5tnYAAAABwEAAA8AAAAAAAAAAQAgAAAAIgAAAGRycy9k&#10;b3ducmV2LnhtbFBLAQIUABQAAAAIAIdO4kC+JtGckAEAADUDAAAOAAAAAAAAAAEAIAAAACcBAABk&#10;cnMvZTJvRG9jLnhtbFBLBQYAAAAABgAGAFkBAAApBQAAAAA=&#10;">
              <v:fill on="f" focussize="0,0"/>
              <v:stroke on="f"/>
              <v:imagedata o:title=""/>
              <o:lock v:ext="edit" aspectratio="f"/>
              <v:textbox>
                <w:txbxContent>
                  <w:p w14:paraId="062C8B3B">
                    <w:pPr>
                      <w:spacing w:after="0"/>
                      <w:rPr>
                        <w:rFonts w:hint="eastAsia" w:ascii="微软雅黑" w:hAnsi="微软雅黑"/>
                        <w:color w:val="595757"/>
                        <w:sz w:val="12"/>
                        <w:szCs w:val="12"/>
                      </w:rPr>
                    </w:pPr>
                    <w:r>
                      <w:rPr>
                        <w:rFonts w:hint="eastAsia" w:ascii="微软雅黑" w:hAnsi="微软雅黑"/>
                        <w:color w:val="595757"/>
                        <w:sz w:val="12"/>
                        <w:szCs w:val="12"/>
                      </w:rPr>
                      <w:t xml:space="preserve">广州鹿山新材料股份有限公司 </w:t>
                    </w:r>
                  </w:p>
                  <w:p w14:paraId="75E60171">
                    <w:pPr>
                      <w:spacing w:after="0"/>
                      <w:rPr>
                        <w:rFonts w:hint="eastAsia" w:ascii="微软雅黑" w:hAnsi="微软雅黑"/>
                        <w:sz w:val="12"/>
                        <w:szCs w:val="12"/>
                      </w:rPr>
                    </w:pPr>
                    <w:r>
                      <w:rPr>
                        <w:rFonts w:hint="eastAsia" w:ascii="微软雅黑" w:hAnsi="微软雅黑"/>
                        <w:color w:val="595757"/>
                        <w:sz w:val="12"/>
                        <w:szCs w:val="12"/>
                      </w:rPr>
                      <w:t>广州市黄埔区云埔工业区埔北路22号</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E31D0">
    <w:pPr>
      <w:pStyle w:val="6"/>
      <w:pBdr>
        <w:bottom w:val="none" w:color="auto" w:sz="0" w:space="0"/>
      </w:pBdr>
    </w:pPr>
    <w:r>
      <w:drawing>
        <wp:anchor distT="0" distB="0" distL="0" distR="0" simplePos="0" relativeHeight="251659264" behindDoc="0" locked="0" layoutInCell="1" allowOverlap="1">
          <wp:simplePos x="0" y="0"/>
          <wp:positionH relativeFrom="column">
            <wp:posOffset>5715</wp:posOffset>
          </wp:positionH>
          <wp:positionV relativeFrom="paragraph">
            <wp:posOffset>109220</wp:posOffset>
          </wp:positionV>
          <wp:extent cx="885825" cy="361950"/>
          <wp:effectExtent l="0" t="0" r="0" b="0"/>
          <wp:wrapNone/>
          <wp:docPr id="4097" name="图片 10"/>
          <wp:cNvGraphicFramePr/>
          <a:graphic xmlns:a="http://schemas.openxmlformats.org/drawingml/2006/main">
            <a:graphicData uri="http://schemas.openxmlformats.org/drawingml/2006/picture">
              <pic:pic xmlns:pic="http://schemas.openxmlformats.org/drawingml/2006/picture">
                <pic:nvPicPr>
                  <pic:cNvPr id="4097" name="图片 10"/>
                  <pic:cNvPicPr/>
                </pic:nvPicPr>
                <pic:blipFill>
                  <a:blip r:embed="rId1" cstate="print"/>
                  <a:srcRect/>
                  <a:stretch>
                    <a:fillRect/>
                  </a:stretch>
                </pic:blipFill>
                <pic:spPr>
                  <a:xfrm>
                    <a:off x="0" y="0"/>
                    <a:ext cx="885825" cy="361949"/>
                  </a:xfrm>
                  <a:prstGeom prst="rect">
                    <a:avLst/>
                  </a:prstGeom>
                  <a:ln>
                    <a:noFill/>
                  </a:ln>
                </pic:spPr>
              </pic:pic>
            </a:graphicData>
          </a:graphic>
        </wp:anchor>
      </w:drawing>
    </w:r>
    <w:r>
      <w:drawing>
        <wp:anchor distT="0" distB="0" distL="0" distR="0" simplePos="0" relativeHeight="251659264" behindDoc="0" locked="0" layoutInCell="1" allowOverlap="1">
          <wp:simplePos x="0" y="0"/>
          <wp:positionH relativeFrom="page">
            <wp:posOffset>0</wp:posOffset>
          </wp:positionH>
          <wp:positionV relativeFrom="paragraph">
            <wp:posOffset>-443865</wp:posOffset>
          </wp:positionV>
          <wp:extent cx="7562215" cy="10691495"/>
          <wp:effectExtent l="0" t="0" r="635" b="0"/>
          <wp:wrapNone/>
          <wp:docPr id="4098" name="图片 7" descr="E:\高雪盈\2017\LS-鹿山新材料\完稿文件\未标题-1-01.png"/>
          <wp:cNvGraphicFramePr/>
          <a:graphic xmlns:a="http://schemas.openxmlformats.org/drawingml/2006/main">
            <a:graphicData uri="http://schemas.openxmlformats.org/drawingml/2006/picture">
              <pic:pic xmlns:pic="http://schemas.openxmlformats.org/drawingml/2006/picture">
                <pic:nvPicPr>
                  <pic:cNvPr id="4098" name="图片 7" descr="E:\高雪盈\2017\LS-鹿山新材料\完稿文件\未标题-1-01.png"/>
                  <pic:cNvPicPr/>
                </pic:nvPicPr>
                <pic:blipFill>
                  <a:blip r:embed="rId2" cstate="print"/>
                  <a:srcRect/>
                  <a:stretch>
                    <a:fillRect/>
                  </a:stretch>
                </pic:blipFill>
                <pic:spPr>
                  <a:xfrm>
                    <a:off x="0" y="0"/>
                    <a:ext cx="7562215" cy="106914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ind w:left="425" w:hanging="425"/>
      </w:pPr>
      <w:rPr>
        <w:rFonts w:hint="default"/>
      </w:rPr>
    </w:lvl>
  </w:abstractNum>
  <w:abstractNum w:abstractNumId="1">
    <w:nsid w:val="0053208E"/>
    <w:multiLevelType w:val="multilevel"/>
    <w:tmpl w:val="0053208E"/>
    <w:lvl w:ilvl="0" w:tentative="0">
      <w:start w:val="1"/>
      <w:numFmt w:val="chineseCounting"/>
      <w:suff w:val="nothing"/>
      <w:lvlText w:val="%1、"/>
      <w:lvlJc w:val="left"/>
      <w:pPr>
        <w:ind w:left="20" w:firstLine="420"/>
      </w:pPr>
      <w:rPr>
        <w:rFonts w:hint="eastAsia" w:ascii="宋体" w:hAnsi="宋体" w:eastAsia="宋体" w:cs="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26"/>
    <w:rsid w:val="000D16FD"/>
    <w:rsid w:val="00704F9F"/>
    <w:rsid w:val="00871726"/>
    <w:rsid w:val="009A3D9D"/>
    <w:rsid w:val="00EA6CFF"/>
    <w:rsid w:val="04F23B68"/>
    <w:rsid w:val="532B3BC6"/>
    <w:rsid w:val="5CEE7C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1"/>
    <w:qFormat/>
    <w:uiPriority w:val="0"/>
  </w:style>
  <w:style w:type="paragraph" w:styleId="3">
    <w:name w:val="Body Text"/>
    <w:basedOn w:val="1"/>
    <w:qFormat/>
    <w:uiPriority w:val="1"/>
    <w:rPr>
      <w:rFonts w:ascii="仿宋" w:hAnsi="仿宋" w:eastAsia="仿宋" w:cs="仿宋"/>
      <w:sz w:val="24"/>
      <w:szCs w:val="24"/>
      <w:lang w:val="zh-CN" w:bidi="zh-CN"/>
    </w:rPr>
  </w:style>
  <w:style w:type="paragraph" w:styleId="4">
    <w:name w:val="Balloon Text"/>
    <w:basedOn w:val="1"/>
    <w:link w:val="16"/>
    <w:qFormat/>
    <w:uiPriority w:val="99"/>
    <w:pPr>
      <w:spacing w:after="0"/>
    </w:pPr>
    <w:rPr>
      <w:sz w:val="18"/>
      <w:szCs w:val="18"/>
    </w:rPr>
  </w:style>
  <w:style w:type="paragraph" w:styleId="5">
    <w:name w:val="footer"/>
    <w:basedOn w:val="1"/>
    <w:link w:val="18"/>
    <w:qFormat/>
    <w:uiPriority w:val="99"/>
    <w:pPr>
      <w:tabs>
        <w:tab w:val="center" w:pos="4153"/>
        <w:tab w:val="right" w:pos="8306"/>
      </w:tabs>
    </w:pPr>
    <w:rPr>
      <w:sz w:val="18"/>
      <w:szCs w:val="18"/>
    </w:rPr>
  </w:style>
  <w:style w:type="paragraph" w:styleId="6">
    <w:name w:val="header"/>
    <w:basedOn w:val="1"/>
    <w:link w:val="17"/>
    <w:qFormat/>
    <w:uiPriority w:val="99"/>
    <w:pPr>
      <w:pBdr>
        <w:bottom w:val="single" w:color="auto" w:sz="6" w:space="1"/>
      </w:pBdr>
      <w:tabs>
        <w:tab w:val="center" w:pos="4153"/>
        <w:tab w:val="right" w:pos="8306"/>
      </w:tabs>
      <w:jc w:val="center"/>
    </w:pPr>
    <w:rPr>
      <w:sz w:val="18"/>
      <w:szCs w:val="18"/>
    </w:rPr>
  </w:style>
  <w:style w:type="paragraph" w:styleId="7">
    <w:name w:val="annotation subject"/>
    <w:basedOn w:val="2"/>
    <w:next w:val="2"/>
    <w:link w:val="22"/>
    <w:qFormat/>
    <w:uiPriority w:val="0"/>
    <w:rPr>
      <w:b/>
      <w:bCs/>
    </w:rPr>
  </w:style>
  <w:style w:type="table" w:styleId="9">
    <w:name w:val="Table Grid"/>
    <w:basedOn w:val="8"/>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rFonts w:ascii="宋体" w:hAnsi="宋体"/>
      <w:bCs/>
      <w:sz w:val="28"/>
      <w:szCs w:val="28"/>
    </w:rPr>
  </w:style>
  <w:style w:type="character" w:styleId="12">
    <w:name w:val="Emphasis"/>
    <w:basedOn w:val="10"/>
    <w:qFormat/>
    <w:uiPriority w:val="20"/>
    <w:rPr>
      <w:i/>
      <w:iCs/>
    </w:rPr>
  </w:style>
  <w:style w:type="character" w:styleId="13">
    <w:name w:val="Hyperlink"/>
    <w:basedOn w:val="10"/>
    <w:qFormat/>
    <w:uiPriority w:val="0"/>
    <w:rPr>
      <w:color w:val="0000FF"/>
      <w:u w:val="single"/>
    </w:rPr>
  </w:style>
  <w:style w:type="character" w:styleId="14">
    <w:name w:val="annotation reference"/>
    <w:basedOn w:val="10"/>
    <w:qFormat/>
    <w:uiPriority w:val="0"/>
    <w:rPr>
      <w:sz w:val="21"/>
      <w:szCs w:val="21"/>
    </w:rPr>
  </w:style>
  <w:style w:type="paragraph" w:customStyle="1" w:styleId="15">
    <w:name w:val="列出段落1"/>
    <w:basedOn w:val="1"/>
    <w:qFormat/>
    <w:uiPriority w:val="34"/>
    <w:pPr>
      <w:ind w:firstLine="420" w:firstLineChars="200"/>
    </w:pPr>
  </w:style>
  <w:style w:type="character" w:customStyle="1" w:styleId="16">
    <w:name w:val="批注框文本 字符"/>
    <w:basedOn w:val="10"/>
    <w:link w:val="4"/>
    <w:qFormat/>
    <w:uiPriority w:val="99"/>
    <w:rPr>
      <w:rFonts w:ascii="Tahoma" w:hAnsi="Tahoma"/>
      <w:sz w:val="18"/>
      <w:szCs w:val="18"/>
    </w:rPr>
  </w:style>
  <w:style w:type="character" w:customStyle="1" w:styleId="17">
    <w:name w:val="页眉 字符"/>
    <w:basedOn w:val="10"/>
    <w:link w:val="6"/>
    <w:qFormat/>
    <w:uiPriority w:val="99"/>
    <w:rPr>
      <w:rFonts w:ascii="Tahoma" w:hAnsi="Tahoma"/>
      <w:sz w:val="18"/>
      <w:szCs w:val="18"/>
    </w:rPr>
  </w:style>
  <w:style w:type="character" w:customStyle="1" w:styleId="18">
    <w:name w:val="页脚 字符"/>
    <w:basedOn w:val="10"/>
    <w:link w:val="5"/>
    <w:qFormat/>
    <w:uiPriority w:val="99"/>
    <w:rPr>
      <w:rFonts w:ascii="Tahoma" w:hAnsi="Tahoma"/>
      <w:sz w:val="18"/>
      <w:szCs w:val="18"/>
    </w:rPr>
  </w:style>
  <w:style w:type="paragraph" w:customStyle="1" w:styleId="19">
    <w:name w:val="表格文字"/>
    <w:basedOn w:val="1"/>
    <w:qFormat/>
    <w:uiPriority w:val="0"/>
    <w:pPr>
      <w:widowControl w:val="0"/>
      <w:adjustRightInd/>
      <w:snapToGrid/>
      <w:spacing w:after="0" w:line="300" w:lineRule="auto"/>
      <w:jc w:val="both"/>
    </w:pPr>
    <w:rPr>
      <w:rFonts w:ascii="Times New Roman" w:hAnsi="Times New Roman" w:eastAsia="宋体" w:cs="Times New Roman"/>
      <w:spacing w:val="10"/>
      <w:kern w:val="2"/>
      <w:sz w:val="21"/>
      <w:szCs w:val="24"/>
    </w:rPr>
  </w:style>
  <w:style w:type="paragraph" w:customStyle="1" w:styleId="20">
    <w:name w:val="005正文"/>
    <w:qFormat/>
    <w:uiPriority w:val="0"/>
    <w:pPr>
      <w:widowControl w:val="0"/>
      <w:spacing w:beforeLines="50" w:line="360" w:lineRule="auto"/>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1">
    <w:name w:val="批注文字 字符"/>
    <w:basedOn w:val="10"/>
    <w:link w:val="2"/>
    <w:qFormat/>
    <w:uiPriority w:val="0"/>
    <w:rPr>
      <w:rFonts w:ascii="Tahoma" w:hAnsi="Tahoma" w:eastAsia="微软雅黑" w:cs="宋体"/>
      <w:sz w:val="22"/>
      <w:szCs w:val="22"/>
    </w:rPr>
  </w:style>
  <w:style w:type="character" w:customStyle="1" w:styleId="22">
    <w:name w:val="批注主题 字符"/>
    <w:basedOn w:val="21"/>
    <w:link w:val="7"/>
    <w:qFormat/>
    <w:uiPriority w:val="0"/>
    <w:rPr>
      <w:rFonts w:ascii="Tahoma" w:hAnsi="Tahoma" w:eastAsia="微软雅黑" w:cs="宋体"/>
      <w:b/>
      <w:bCs/>
      <w:sz w:val="22"/>
      <w:szCs w:val="22"/>
    </w:rPr>
  </w:style>
  <w:style w:type="paragraph" w:customStyle="1" w:styleId="23">
    <w:name w:val="列出段落2"/>
    <w:basedOn w:val="1"/>
    <w:qFormat/>
    <w:uiPriority w:val="99"/>
    <w:pPr>
      <w:ind w:firstLine="420" w:firstLineChars="200"/>
    </w:pPr>
  </w:style>
  <w:style w:type="paragraph" w:customStyle="1" w:styleId="24">
    <w:name w:val="修订1"/>
    <w:qFormat/>
    <w:uiPriority w:val="99"/>
    <w:rPr>
      <w:rFonts w:ascii="Tahoma" w:hAnsi="Tahoma" w:eastAsia="微软雅黑" w:cs="宋体"/>
      <w:sz w:val="22"/>
      <w:szCs w:val="22"/>
      <w:lang w:val="en-US" w:eastAsia="zh-CN" w:bidi="ar-SA"/>
    </w:rPr>
  </w:style>
  <w:style w:type="character" w:customStyle="1" w:styleId="25">
    <w:name w:val="font21"/>
    <w:basedOn w:val="10"/>
    <w:qFormat/>
    <w:uiPriority w:val="0"/>
    <w:rPr>
      <w:rFonts w:hint="eastAsia" w:ascii="宋体" w:hAnsi="宋体" w:eastAsia="宋体" w:cs="宋体"/>
      <w:color w:val="000000"/>
      <w:sz w:val="21"/>
      <w:szCs w:val="21"/>
      <w:u w:val="none"/>
    </w:rPr>
  </w:style>
  <w:style w:type="paragraph" w:customStyle="1" w:styleId="26">
    <w:name w:val="修订2"/>
    <w:qFormat/>
    <w:uiPriority w:val="99"/>
    <w:rPr>
      <w:rFonts w:ascii="Tahoma" w:hAnsi="Tahoma" w:eastAsia="微软雅黑" w:cs="宋体"/>
      <w:sz w:val="22"/>
      <w:szCs w:val="22"/>
      <w:lang w:val="en-US" w:eastAsia="zh-CN" w:bidi="ar-SA"/>
    </w:rPr>
  </w:style>
  <w:style w:type="paragraph" w:customStyle="1" w:styleId="27">
    <w:name w:val="列出段落3"/>
    <w:basedOn w:val="1"/>
    <w:qFormat/>
    <w:uiPriority w:val="34"/>
    <w:pPr>
      <w:ind w:firstLine="420" w:firstLineChars="200"/>
    </w:pPr>
  </w:style>
  <w:style w:type="table" w:customStyle="1" w:styleId="28">
    <w:name w:val="TableGrid"/>
    <w:qFormat/>
    <w:uiPriority w:val="0"/>
    <w:tblPr>
      <w:tblCellMar>
        <w:top w:w="0" w:type="dxa"/>
        <w:left w:w="0" w:type="dxa"/>
        <w:bottom w:w="0" w:type="dxa"/>
        <w:right w:w="0" w:type="dxa"/>
      </w:tblCellMar>
    </w:tblPr>
  </w:style>
  <w:style w:type="paragraph" w:customStyle="1" w:styleId="2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
    <w:name w:val="【0正文中信建投】"/>
    <w:qFormat/>
    <w:uiPriority w:val="0"/>
    <w:pPr>
      <w:spacing w:beforeLines="50" w:line="360" w:lineRule="auto"/>
      <w:ind w:firstLine="200" w:firstLineChars="200"/>
      <w:jc w:val="both"/>
    </w:pPr>
    <w:rPr>
      <w:rFonts w:ascii="Times New Roman" w:hAnsi="Times New Roman" w:eastAsia="宋体" w:cs="Times New Roman"/>
      <w:kern w:val="2"/>
      <w:sz w:val="24"/>
      <w:szCs w:val="21"/>
      <w:lang w:val="en-US" w:eastAsia="zh-CN" w:bidi="ar-SA"/>
    </w:rPr>
  </w:style>
  <w:style w:type="paragraph" w:styleId="31">
    <w:name w:val="List Paragraph"/>
    <w:basedOn w:val="1"/>
    <w:qFormat/>
    <w:uiPriority w:val="99"/>
    <w:pPr>
      <w:ind w:firstLine="420" w:firstLineChars="200"/>
    </w:pPr>
  </w:style>
  <w:style w:type="paragraph" w:customStyle="1" w:styleId="32">
    <w:name w:val="修订3"/>
    <w:qFormat/>
    <w:uiPriority w:val="99"/>
    <w:rPr>
      <w:rFonts w:ascii="Tahoma" w:hAnsi="Tahoma" w:eastAsia="微软雅黑" w:cs="宋体"/>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1049</Words>
  <Characters>1110</Characters>
  <Lines>10</Lines>
  <Paragraphs>2</Paragraphs>
  <TotalTime>271</TotalTime>
  <ScaleCrop>false</ScaleCrop>
  <LinksUpToDate>false</LinksUpToDate>
  <CharactersWithSpaces>1188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2025-03-12T02:22:00Z</dcterms:created>
  <dc:creator>Administrator</dc:creator>
  <cp:lastModifiedBy>何利君</cp:lastModifiedBy>
  <cp:lastPrinted>2022-09-29T10:35:00Z</cp:lastPrinted>
  <dcterms:modified xsi:type="dcterms:W3CDTF">2025-03-17T00:43:04Z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43f1f7b288314c9db0d966d26d061c92_23</vt:lpwstr>
  </property>
  <property fmtid="{D5CDD505-2E9C-101B-9397-08002B2CF9AE}" pid="4" name="KSOTemplateDocerSaveRecord">
    <vt:lpwstr>eyJoZGlkIjoiODQwOTMxMjRjNDI5M2RhM2RiMWI4MWNhZmM5ZWUxNWMiLCJ1c2VySWQiOiIyMzkyODA4ODUifQ==</vt:lpwstr>
  </property>
</Properties>
</file>