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FD656" w14:textId="77777777" w:rsidR="007D5E64" w:rsidRDefault="00E22C92" w:rsidP="00BE0A69">
      <w:pPr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证券代码：688132                                   证券简称：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邦彦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技术</w:t>
      </w:r>
    </w:p>
    <w:p w14:paraId="58DE94DB" w14:textId="77777777" w:rsidR="007D5E64" w:rsidRDefault="00E22C92">
      <w:pPr>
        <w:spacing w:line="360" w:lineRule="auto"/>
        <w:ind w:firstLineChars="0" w:firstLine="0"/>
        <w:jc w:val="center"/>
        <w:rPr>
          <w:rFonts w:ascii="宋体" w:eastAsia="宋体" w:hAnsi="宋体" w:cs="宋体" w:hint="eastAsia"/>
          <w:b/>
          <w:iCs/>
          <w:color w:val="000000"/>
          <w:sz w:val="44"/>
          <w:szCs w:val="44"/>
        </w:rPr>
      </w:pPr>
      <w:proofErr w:type="gramStart"/>
      <w:r>
        <w:rPr>
          <w:rFonts w:ascii="宋体" w:eastAsia="宋体" w:hAnsi="宋体" w:cs="宋体" w:hint="eastAsia"/>
          <w:b/>
          <w:iCs/>
          <w:color w:val="000000"/>
          <w:sz w:val="44"/>
          <w:szCs w:val="44"/>
        </w:rPr>
        <w:t>邦</w:t>
      </w:r>
      <w:proofErr w:type="gramEnd"/>
      <w:r>
        <w:rPr>
          <w:rFonts w:ascii="宋体" w:eastAsia="宋体" w:hAnsi="宋体" w:cs="宋体" w:hint="eastAsia"/>
          <w:b/>
          <w:iCs/>
          <w:color w:val="000000"/>
          <w:sz w:val="44"/>
          <w:szCs w:val="44"/>
        </w:rPr>
        <w:t>彦技术股份有限公司</w:t>
      </w:r>
    </w:p>
    <w:p w14:paraId="6E0179E3" w14:textId="77777777" w:rsidR="007D5E64" w:rsidRDefault="00E22C92">
      <w:pPr>
        <w:spacing w:line="360" w:lineRule="auto"/>
        <w:ind w:firstLineChars="0" w:firstLine="0"/>
        <w:jc w:val="center"/>
        <w:rPr>
          <w:rFonts w:ascii="宋体" w:eastAsia="宋体" w:hAnsi="宋体" w:cs="宋体" w:hint="eastAsia"/>
          <w:b/>
          <w:iCs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iCs/>
          <w:color w:val="000000"/>
          <w:sz w:val="44"/>
          <w:szCs w:val="44"/>
        </w:rPr>
        <w:t>投资者关系活动记录表</w:t>
      </w:r>
    </w:p>
    <w:p w14:paraId="49ADDB9F" w14:textId="5C4FA7FA" w:rsidR="007D5E64" w:rsidRDefault="00E22C92">
      <w:pPr>
        <w:spacing w:line="360" w:lineRule="auto"/>
        <w:ind w:firstLineChars="0" w:firstLine="0"/>
        <w:jc w:val="center"/>
        <w:rPr>
          <w:rFonts w:ascii="宋体" w:eastAsia="宋体" w:hAnsi="宋体" w:cs="宋体" w:hint="eastAsia"/>
          <w:b/>
          <w:iCs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iCs/>
          <w:color w:val="000000"/>
          <w:sz w:val="44"/>
          <w:szCs w:val="44"/>
        </w:rPr>
        <w:t>（202</w:t>
      </w:r>
      <w:r>
        <w:rPr>
          <w:rFonts w:ascii="宋体" w:eastAsia="宋体" w:hAnsi="宋体" w:cs="宋体"/>
          <w:b/>
          <w:iCs/>
          <w:color w:val="000000"/>
          <w:sz w:val="44"/>
          <w:szCs w:val="44"/>
        </w:rPr>
        <w:t>5</w:t>
      </w:r>
      <w:r>
        <w:rPr>
          <w:rFonts w:ascii="宋体" w:eastAsia="宋体" w:hAnsi="宋体" w:cs="宋体" w:hint="eastAsia"/>
          <w:b/>
          <w:iCs/>
          <w:color w:val="000000"/>
          <w:sz w:val="44"/>
          <w:szCs w:val="44"/>
        </w:rPr>
        <w:t>年</w:t>
      </w:r>
      <w:r w:rsidR="00610A99">
        <w:rPr>
          <w:rFonts w:ascii="宋体" w:eastAsia="宋体" w:hAnsi="宋体" w:cs="宋体" w:hint="eastAsia"/>
          <w:b/>
          <w:iCs/>
          <w:color w:val="000000"/>
          <w:sz w:val="44"/>
          <w:szCs w:val="44"/>
        </w:rPr>
        <w:t>3</w:t>
      </w:r>
      <w:r>
        <w:rPr>
          <w:rFonts w:ascii="宋体" w:eastAsia="宋体" w:hAnsi="宋体" w:cs="宋体" w:hint="eastAsia"/>
          <w:b/>
          <w:iCs/>
          <w:color w:val="000000"/>
          <w:sz w:val="44"/>
          <w:szCs w:val="44"/>
        </w:rPr>
        <w:t>月</w:t>
      </w:r>
      <w:r w:rsidR="00610A99">
        <w:rPr>
          <w:rFonts w:ascii="宋体" w:eastAsia="宋体" w:hAnsi="宋体" w:cs="宋体" w:hint="eastAsia"/>
          <w:b/>
          <w:iCs/>
          <w:color w:val="000000"/>
          <w:sz w:val="44"/>
          <w:szCs w:val="44"/>
        </w:rPr>
        <w:t>1</w:t>
      </w:r>
      <w:r w:rsidR="0063243D">
        <w:rPr>
          <w:rFonts w:ascii="宋体" w:eastAsia="宋体" w:hAnsi="宋体" w:cs="宋体" w:hint="eastAsia"/>
          <w:b/>
          <w:iCs/>
          <w:color w:val="000000"/>
          <w:sz w:val="44"/>
          <w:szCs w:val="44"/>
        </w:rPr>
        <w:t>7</w:t>
      </w:r>
      <w:r>
        <w:rPr>
          <w:rFonts w:ascii="宋体" w:eastAsia="宋体" w:hAnsi="宋体" w:cs="宋体" w:hint="eastAsia"/>
          <w:b/>
          <w:iCs/>
          <w:color w:val="000000"/>
          <w:sz w:val="44"/>
          <w:szCs w:val="44"/>
        </w:rPr>
        <w:t>日）</w:t>
      </w:r>
    </w:p>
    <w:p w14:paraId="2DCF3ACE" w14:textId="4C3BC293" w:rsidR="00E60BB3" w:rsidRDefault="00E22C92" w:rsidP="00E60BB3">
      <w:pPr>
        <w:spacing w:line="360" w:lineRule="auto"/>
        <w:ind w:firstLineChars="0" w:firstLine="0"/>
        <w:jc w:val="right"/>
        <w:rPr>
          <w:rFonts w:ascii="宋体" w:eastAsia="宋体" w:hAnsi="宋体" w:cs="宋体" w:hint="eastAsia"/>
          <w:bCs/>
          <w:i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color w:val="000000"/>
          <w:sz w:val="24"/>
          <w:szCs w:val="24"/>
        </w:rPr>
        <w:t>编号：202</w:t>
      </w:r>
      <w:r>
        <w:rPr>
          <w:rFonts w:ascii="宋体" w:eastAsia="宋体" w:hAnsi="宋体" w:cs="宋体"/>
          <w:bCs/>
          <w:iCs/>
          <w:color w:val="000000"/>
          <w:sz w:val="24"/>
          <w:szCs w:val="24"/>
        </w:rPr>
        <w:t>5</w:t>
      </w:r>
      <w:r>
        <w:rPr>
          <w:rFonts w:ascii="宋体" w:eastAsia="宋体" w:hAnsi="宋体" w:cs="宋体" w:hint="eastAsia"/>
          <w:bCs/>
          <w:iCs/>
          <w:color w:val="000000"/>
          <w:sz w:val="24"/>
          <w:szCs w:val="24"/>
        </w:rPr>
        <w:t>-0</w:t>
      </w:r>
      <w:r w:rsidR="00E60BB3">
        <w:rPr>
          <w:rFonts w:ascii="宋体" w:eastAsia="宋体" w:hAnsi="宋体" w:cs="宋体"/>
          <w:bCs/>
          <w:iCs/>
          <w:color w:val="000000"/>
          <w:sz w:val="24"/>
          <w:szCs w:val="24"/>
        </w:rPr>
        <w:t>0</w:t>
      </w:r>
      <w:r w:rsidR="00610A99">
        <w:rPr>
          <w:rFonts w:ascii="宋体" w:eastAsia="宋体" w:hAnsi="宋体" w:cs="宋体" w:hint="eastAsia"/>
          <w:bCs/>
          <w:iCs/>
          <w:color w:val="000000"/>
          <w:sz w:val="24"/>
          <w:szCs w:val="24"/>
        </w:rPr>
        <w:t>6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6460"/>
      </w:tblGrid>
      <w:tr w:rsidR="007D5E64" w14:paraId="4E3C7810" w14:textId="77777777">
        <w:trPr>
          <w:trHeight w:val="1872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B4BA" w14:textId="77777777" w:rsidR="007D5E64" w:rsidRDefault="00E22C92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sz w:val="24"/>
                <w:szCs w:val="24"/>
              </w:rPr>
              <w:t>投资者关系活动类别</w:t>
            </w:r>
          </w:p>
          <w:p w14:paraId="2F94E66A" w14:textId="77777777" w:rsidR="007D5E64" w:rsidRDefault="007D5E6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35BE" w14:textId="77777777" w:rsidR="007D5E64" w:rsidRDefault="00E22C92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□特定对象调研  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分析师会议</w:t>
            </w:r>
          </w:p>
          <w:p w14:paraId="1912A493" w14:textId="77777777" w:rsidR="007D5E64" w:rsidRDefault="00E22C92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□媒体采访      □业绩说明会</w:t>
            </w:r>
          </w:p>
          <w:p w14:paraId="7B405A44" w14:textId="77777777" w:rsidR="007D5E64" w:rsidRDefault="00E22C92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□新闻发布会    □路演活动</w:t>
            </w:r>
          </w:p>
          <w:p w14:paraId="6ED3CBC0" w14:textId="77777777" w:rsidR="007D5E64" w:rsidRDefault="00E22C92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□现场参观      □其他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  <w:u w:val="single"/>
              </w:rPr>
              <w:t xml:space="preserve">    </w:t>
            </w:r>
          </w:p>
        </w:tc>
      </w:tr>
      <w:tr w:rsidR="007D5E64" w14:paraId="6156FB61" w14:textId="77777777">
        <w:trPr>
          <w:trHeight w:val="110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ECA3" w14:textId="77777777" w:rsidR="007D5E64" w:rsidRDefault="00E22C92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76BF" w14:textId="6F68A143" w:rsidR="00703EC0" w:rsidRDefault="00703EC0">
            <w:pPr>
              <w:widowControl/>
              <w:ind w:firstLineChars="0" w:firstLine="0"/>
              <w:jc w:val="left"/>
              <w:textAlignment w:val="center"/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</w:pPr>
            <w:r w:rsidRPr="00703EC0"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兴业证券</w:t>
            </w:r>
            <w:r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：</w:t>
            </w:r>
            <w:proofErr w:type="gramStart"/>
            <w:r w:rsidRPr="00703EC0"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石康</w:t>
            </w:r>
            <w:proofErr w:type="gramEnd"/>
            <w:r w:rsidRPr="00703EC0"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 xml:space="preserve"> 李博彦</w:t>
            </w:r>
            <w:r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 xml:space="preserve">   </w:t>
            </w:r>
            <w:r w:rsidRPr="00703EC0"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华泰证券</w:t>
            </w:r>
            <w:r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：</w:t>
            </w:r>
            <w:r w:rsidRPr="00703EC0"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陈越兮 王兴</w:t>
            </w:r>
          </w:p>
          <w:p w14:paraId="413336FF" w14:textId="2D939884" w:rsidR="00216568" w:rsidRDefault="00703EC0">
            <w:pPr>
              <w:widowControl/>
              <w:ind w:firstLineChars="0" w:firstLine="0"/>
              <w:jc w:val="left"/>
              <w:textAlignment w:val="center"/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</w:pPr>
            <w:r w:rsidRPr="00703EC0"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平安基金</w:t>
            </w:r>
            <w:r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：</w:t>
            </w:r>
            <w:r w:rsidRPr="00703EC0"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朱建明</w:t>
            </w:r>
            <w:r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 xml:space="preserve">        </w:t>
            </w:r>
            <w:r w:rsidRPr="00703EC0"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天</w:t>
            </w:r>
            <w:proofErr w:type="gramStart"/>
            <w:r w:rsidRPr="00703EC0"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辰元信</w:t>
            </w:r>
            <w:proofErr w:type="gramEnd"/>
            <w:r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：</w:t>
            </w:r>
            <w:r w:rsidRPr="00703EC0"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邓高昕</w:t>
            </w:r>
          </w:p>
          <w:p w14:paraId="5E99D3BD" w14:textId="77777777" w:rsidR="00703EC0" w:rsidRDefault="00703EC0">
            <w:pPr>
              <w:widowControl/>
              <w:ind w:firstLineChars="0" w:firstLine="0"/>
              <w:jc w:val="left"/>
              <w:textAlignment w:val="center"/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</w:pPr>
            <w:proofErr w:type="gramStart"/>
            <w:r w:rsidRPr="00703EC0"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创金合</w:t>
            </w:r>
            <w:proofErr w:type="gramEnd"/>
            <w:r w:rsidRPr="00703EC0"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信基金</w:t>
            </w:r>
            <w:r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：</w:t>
            </w:r>
            <w:r w:rsidRPr="00703EC0"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罗水星</w:t>
            </w:r>
            <w:r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 xml:space="preserve">    </w:t>
            </w:r>
            <w:r w:rsidRPr="00703EC0"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前海联合基金</w:t>
            </w:r>
            <w:r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：</w:t>
            </w:r>
            <w:r w:rsidRPr="00703EC0"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杜宏笙</w:t>
            </w:r>
          </w:p>
          <w:p w14:paraId="654462F5" w14:textId="77777777" w:rsidR="00703EC0" w:rsidRDefault="00703EC0">
            <w:pPr>
              <w:widowControl/>
              <w:ind w:firstLineChars="0" w:firstLine="0"/>
              <w:jc w:val="left"/>
              <w:textAlignment w:val="center"/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</w:pPr>
            <w:r w:rsidRPr="00703EC0"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同泰基金</w:t>
            </w:r>
            <w:r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：</w:t>
            </w:r>
            <w:r w:rsidRPr="00703EC0"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王秀</w:t>
            </w:r>
            <w:r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 xml:space="preserve">          </w:t>
            </w:r>
            <w:proofErr w:type="gramStart"/>
            <w:r w:rsidRPr="00703EC0"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创富兆业</w:t>
            </w:r>
            <w:proofErr w:type="gramEnd"/>
            <w:r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：</w:t>
            </w:r>
            <w:r w:rsidRPr="00703EC0"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司巍</w:t>
            </w:r>
          </w:p>
          <w:p w14:paraId="5040CF21" w14:textId="24F79515" w:rsidR="00703EC0" w:rsidRPr="00703EC0" w:rsidRDefault="00703EC0">
            <w:pPr>
              <w:widowControl/>
              <w:ind w:firstLineChars="0" w:firstLine="0"/>
              <w:jc w:val="left"/>
              <w:textAlignment w:val="center"/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</w:pPr>
            <w:r w:rsidRPr="00703EC0"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南方基金</w:t>
            </w:r>
            <w:r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：</w:t>
            </w:r>
            <w:r w:rsidRPr="00703EC0"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刘祎</w:t>
            </w:r>
            <w:r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 xml:space="preserve">          </w:t>
            </w:r>
            <w:r w:rsidRPr="00703EC0"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西部利得基金</w:t>
            </w:r>
            <w:r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：</w:t>
            </w:r>
            <w:proofErr w:type="gramStart"/>
            <w:r w:rsidRPr="00703EC0">
              <w:rPr>
                <w:rFonts w:asciiTheme="majorEastAsia" w:eastAsiaTheme="majorEastAsia" w:hAnsiTheme="majorEastAsia" w:cs="等线" w:hint="eastAsia"/>
                <w:color w:val="000000"/>
                <w:sz w:val="24"/>
                <w:szCs w:val="22"/>
              </w:rPr>
              <w:t>侯文佳</w:t>
            </w:r>
            <w:proofErr w:type="gramEnd"/>
          </w:p>
        </w:tc>
      </w:tr>
      <w:tr w:rsidR="007D5E64" w14:paraId="7D10B5AE" w14:textId="77777777">
        <w:trPr>
          <w:trHeight w:val="482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AE19" w14:textId="77777777" w:rsidR="007D5E64" w:rsidRDefault="00E22C92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EA91" w14:textId="30908453" w:rsidR="007D5E64" w:rsidRDefault="00E22C92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610A99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月</w:t>
            </w:r>
            <w:r w:rsidR="00610A99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7D5E64" w14:paraId="462EEA4A" w14:textId="77777777">
        <w:trPr>
          <w:trHeight w:val="536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E1E7" w14:textId="77777777" w:rsidR="007D5E64" w:rsidRDefault="00E22C92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20FA" w14:textId="50A4009A" w:rsidR="007D5E64" w:rsidRDefault="00610A99">
            <w:pPr>
              <w:spacing w:line="360" w:lineRule="auto"/>
              <w:ind w:firstLineChars="0" w:firstLine="0"/>
              <w:jc w:val="left"/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深圳市</w:t>
            </w:r>
          </w:p>
        </w:tc>
      </w:tr>
      <w:tr w:rsidR="007D5E64" w14:paraId="101055AB" w14:textId="77777777">
        <w:trPr>
          <w:trHeight w:val="941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0010" w14:textId="77777777" w:rsidR="007D5E64" w:rsidRDefault="00E22C92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1DDC" w14:textId="77777777" w:rsidR="007D5E64" w:rsidRDefault="00E22C92">
            <w:pPr>
              <w:spacing w:line="360" w:lineRule="auto"/>
              <w:ind w:firstLineChars="0" w:firstLine="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董事会秘书、财务总监 邹家瑞</w:t>
            </w:r>
          </w:p>
        </w:tc>
      </w:tr>
      <w:tr w:rsidR="007D5E64" w14:paraId="770EB031" w14:textId="77777777">
        <w:trPr>
          <w:trHeight w:val="857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454E" w14:textId="77777777" w:rsidR="007D5E64" w:rsidRDefault="00E22C92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A66A" w14:textId="77777777" w:rsidR="007D5E64" w:rsidRDefault="00E22C92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公司基本情况介绍</w:t>
            </w:r>
          </w:p>
          <w:p w14:paraId="7FDB0B9E" w14:textId="77777777" w:rsidR="007D5E64" w:rsidRDefault="00E22C92">
            <w:pPr>
              <w:pStyle w:val="3"/>
              <w:tabs>
                <w:tab w:val="clear" w:pos="1440"/>
                <w:tab w:val="left" w:pos="851"/>
              </w:tabs>
              <w:spacing w:before="0" w:afterLines="50" w:after="156" w:line="360" w:lineRule="auto"/>
              <w:ind w:left="0" w:firstLine="480"/>
              <w:rPr>
                <w:rFonts w:ascii="宋体" w:eastAsia="宋体" w:hAnsi="宋体" w:hint="eastAsia"/>
                <w:b w:val="0"/>
              </w:rPr>
            </w:pPr>
            <w:r>
              <w:rPr>
                <w:rFonts w:ascii="宋体" w:eastAsia="宋体" w:hAnsi="宋体" w:cs="宋体" w:hint="eastAsia"/>
                <w:b w:val="0"/>
                <w:kern w:val="2"/>
                <w:sz w:val="24"/>
                <w:szCs w:val="24"/>
              </w:rPr>
              <w:t>首先公司董事会秘书邹家瑞介绍了公司当前基本业务及经营情况。</w:t>
            </w:r>
          </w:p>
          <w:p w14:paraId="39FF8A8A" w14:textId="77E6DC11" w:rsidR="00393F0A" w:rsidRPr="00393F0A" w:rsidRDefault="00E22C92" w:rsidP="00393F0A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与会人员就公司情况进行了交流，主要内容如下：</w:t>
            </w:r>
            <w:bookmarkStart w:id="0" w:name="_Toc149733612"/>
            <w:bookmarkStart w:id="1" w:name="_Toc144735704"/>
          </w:p>
          <w:p w14:paraId="378769F8" w14:textId="5866289B" w:rsidR="007D5E64" w:rsidRDefault="006A096C">
            <w:pPr>
              <w:spacing w:line="360" w:lineRule="auto"/>
              <w:ind w:firstLine="482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  <w:r w:rsidR="00E22C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、</w:t>
            </w:r>
            <w:r w:rsidR="00E104FC" w:rsidRPr="00E104F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请问贵公司的AI Agent研发进展如何？公司AI Agent有哪些特点？公司AI Agent目前应用的场景有哪些？</w:t>
            </w:r>
          </w:p>
          <w:p w14:paraId="60F92AA8" w14:textId="56B9EC64" w:rsidR="007D5E64" w:rsidRDefault="00605699" w:rsidP="00081A8C">
            <w:pPr>
              <w:spacing w:line="360" w:lineRule="auto"/>
              <w:ind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605699">
              <w:rPr>
                <w:rFonts w:asciiTheme="minorEastAsia" w:eastAsiaTheme="minorEastAsia" w:hAnsiTheme="minorEastAsia" w:hint="eastAsia"/>
                <w:sz w:val="24"/>
                <w:szCs w:val="24"/>
              </w:rPr>
              <w:t>（1）在研发进展上，公司在2023年就立项规划了AI Agent数字人产品线，目前所有进展均按计划顺利推进，产</w:t>
            </w:r>
            <w:r w:rsidRPr="00605699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品进入实测阶段并在心理健康行业有落地应用，已具备自主完成心理评估、心理咨询服务的能力。（2）产品特点上，</w:t>
            </w:r>
            <w:proofErr w:type="gramStart"/>
            <w:r w:rsidRPr="00605699">
              <w:rPr>
                <w:rFonts w:asciiTheme="minorEastAsia" w:eastAsiaTheme="minorEastAsia" w:hAnsiTheme="minorEastAsia" w:hint="eastAsia"/>
                <w:sz w:val="24"/>
                <w:szCs w:val="24"/>
              </w:rPr>
              <w:t>邦</w:t>
            </w:r>
            <w:proofErr w:type="gramEnd"/>
            <w:r w:rsidRPr="00605699">
              <w:rPr>
                <w:rFonts w:asciiTheme="minorEastAsia" w:eastAsiaTheme="minorEastAsia" w:hAnsiTheme="minorEastAsia" w:hint="eastAsia"/>
                <w:sz w:val="24"/>
                <w:szCs w:val="24"/>
              </w:rPr>
              <w:t>彦AI Agent数字人的核心创新在于 Agent （感知、记忆、推理、规划和执行）与实时交互数字人的双向驱动。Agent 是智能化服务的内在灵魂，实时交互数字人是智能化服务的外在表达，两者相互结合，共同打造类人的交互体验和完善的技能体系。公司在</w:t>
            </w:r>
            <w:proofErr w:type="gramStart"/>
            <w:r w:rsidRPr="00605699">
              <w:rPr>
                <w:rFonts w:asciiTheme="minorEastAsia" w:eastAsiaTheme="minorEastAsia" w:hAnsiTheme="minorEastAsia" w:hint="eastAsia"/>
                <w:sz w:val="24"/>
                <w:szCs w:val="24"/>
              </w:rPr>
              <w:t>研</w:t>
            </w:r>
            <w:proofErr w:type="gramEnd"/>
            <w:r w:rsidRPr="00605699">
              <w:rPr>
                <w:rFonts w:asciiTheme="minorEastAsia" w:eastAsiaTheme="minorEastAsia" w:hAnsiTheme="minorEastAsia" w:hint="eastAsia"/>
                <w:sz w:val="24"/>
                <w:szCs w:val="24"/>
              </w:rPr>
              <w:t>AI Agent数字人不同于市面上许多离线或仅限于知识问答的数字人，邦彦AI Agent数字人驱动的实时数字人能够集成业务操作，例如推荐服务给到用户直接体验，未来还将实现自主操作专业软件。这使得它们可以根据用户的指令自主解决问题，真正成为人类的助手。相较于传统人类员工，</w:t>
            </w:r>
            <w:proofErr w:type="gramStart"/>
            <w:r w:rsidRPr="00605699">
              <w:rPr>
                <w:rFonts w:asciiTheme="minorEastAsia" w:eastAsiaTheme="minorEastAsia" w:hAnsiTheme="minorEastAsia" w:hint="eastAsia"/>
                <w:sz w:val="24"/>
                <w:szCs w:val="24"/>
              </w:rPr>
              <w:t>邦</w:t>
            </w:r>
            <w:proofErr w:type="gramEnd"/>
            <w:r w:rsidRPr="00605699">
              <w:rPr>
                <w:rFonts w:asciiTheme="minorEastAsia" w:eastAsiaTheme="minorEastAsia" w:hAnsiTheme="minorEastAsia" w:hint="eastAsia"/>
                <w:sz w:val="24"/>
                <w:szCs w:val="24"/>
              </w:rPr>
              <w:t>彦AI Agent数字人的成本较低，可以有效降低企业人工成本。公司在</w:t>
            </w:r>
            <w:proofErr w:type="gramStart"/>
            <w:r w:rsidRPr="00605699">
              <w:rPr>
                <w:rFonts w:asciiTheme="minorEastAsia" w:eastAsiaTheme="minorEastAsia" w:hAnsiTheme="minorEastAsia" w:hint="eastAsia"/>
                <w:sz w:val="24"/>
                <w:szCs w:val="24"/>
              </w:rPr>
              <w:t>研</w:t>
            </w:r>
            <w:proofErr w:type="gramEnd"/>
            <w:r w:rsidRPr="00605699">
              <w:rPr>
                <w:rFonts w:asciiTheme="minorEastAsia" w:eastAsiaTheme="minorEastAsia" w:hAnsiTheme="minorEastAsia" w:hint="eastAsia"/>
                <w:sz w:val="24"/>
                <w:szCs w:val="24"/>
              </w:rPr>
              <w:t>AI Agent数字人还具备记忆功能，可以根据用户偏好调整输出方式，进一步增强用户体验。（3）除了心理健康的应用场景以外， 公司计划将</w:t>
            </w:r>
            <w:proofErr w:type="gramStart"/>
            <w:r w:rsidRPr="00605699">
              <w:rPr>
                <w:rFonts w:asciiTheme="minorEastAsia" w:eastAsiaTheme="minorEastAsia" w:hAnsiTheme="minorEastAsia" w:hint="eastAsia"/>
                <w:sz w:val="24"/>
                <w:szCs w:val="24"/>
              </w:rPr>
              <w:t>邦</w:t>
            </w:r>
            <w:proofErr w:type="gramEnd"/>
            <w:r w:rsidRPr="00605699">
              <w:rPr>
                <w:rFonts w:asciiTheme="minorEastAsia" w:eastAsiaTheme="minorEastAsia" w:hAnsiTheme="minorEastAsia" w:hint="eastAsia"/>
                <w:sz w:val="24"/>
                <w:szCs w:val="24"/>
              </w:rPr>
              <w:t>彦的AI Agent数字人应用于公司云PC环境，让邦彦云PC产品成为一个智能终端，为企业提供高效便捷的办公体验和强大的计算支持，为市场提供了高性</w:t>
            </w:r>
            <w:proofErr w:type="gramStart"/>
            <w:r w:rsidRPr="00605699">
              <w:rPr>
                <w:rFonts w:asciiTheme="minorEastAsia" w:eastAsiaTheme="minorEastAsia" w:hAnsiTheme="minorEastAsia" w:hint="eastAsia"/>
                <w:sz w:val="24"/>
                <w:szCs w:val="24"/>
              </w:rPr>
              <w:t>价比且易于</w:t>
            </w:r>
            <w:proofErr w:type="gramEnd"/>
            <w:r w:rsidRPr="00605699">
              <w:rPr>
                <w:rFonts w:asciiTheme="minorEastAsia" w:eastAsiaTheme="minorEastAsia" w:hAnsiTheme="minorEastAsia" w:hint="eastAsia"/>
                <w:sz w:val="24"/>
                <w:szCs w:val="24"/>
              </w:rPr>
              <w:t>部署的数字劳动力解决方案，并适用于各类企业及特定行业（如政府、金融、电商、教育和医疗）应用。</w:t>
            </w:r>
          </w:p>
          <w:p w14:paraId="28A1A1DA" w14:textId="5DF539C3" w:rsidR="005A2F44" w:rsidRPr="005A2F44" w:rsidRDefault="006A096C" w:rsidP="005A2F44">
            <w:pPr>
              <w:spacing w:line="360" w:lineRule="auto"/>
              <w:ind w:firstLine="482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6A096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2、</w:t>
            </w:r>
            <w:r w:rsidR="009850EA" w:rsidRPr="009850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请问舰船通信产品有哪些应用范围?</w:t>
            </w:r>
            <w:r w:rsidR="005A2F44" w:rsidRPr="005A2F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？</w:t>
            </w:r>
          </w:p>
          <w:p w14:paraId="0A52A704" w14:textId="271432FF" w:rsidR="006A096C" w:rsidRPr="005A2F44" w:rsidRDefault="009850EA" w:rsidP="005A2F44">
            <w:pPr>
              <w:spacing w:line="360" w:lineRule="auto"/>
              <w:ind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850EA">
              <w:rPr>
                <w:rFonts w:asciiTheme="minorEastAsia" w:eastAsiaTheme="minorEastAsia" w:hAnsiTheme="minorEastAsia" w:hint="eastAsia"/>
                <w:sz w:val="24"/>
                <w:szCs w:val="24"/>
              </w:rPr>
              <w:t>舰船通信产品主要为各类船舶提供信息通信系统级产品，基于融合通信服务平台，提供信息传输通道和通信业务应用。舰船通信产品主要包括数据通信系统和船舶通信控制系统。</w:t>
            </w:r>
            <w:r w:rsidR="00A31D8C">
              <w:rPr>
                <w:rFonts w:asciiTheme="minorEastAsia" w:eastAsiaTheme="minorEastAsia" w:hAnsiTheme="minorEastAsia" w:hint="eastAsia"/>
                <w:sz w:val="24"/>
                <w:szCs w:val="24"/>
              </w:rPr>
              <w:t>同时，公司信息安全产品也可应用于船舶。</w:t>
            </w:r>
          </w:p>
          <w:p w14:paraId="1060C0DA" w14:textId="401BA05B" w:rsidR="002F6213" w:rsidRPr="002F6213" w:rsidRDefault="006009A9" w:rsidP="002F6213">
            <w:pPr>
              <w:spacing w:line="360" w:lineRule="auto"/>
              <w:ind w:firstLine="482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6009A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3、</w:t>
            </w:r>
            <w:r w:rsidR="002F6213" w:rsidRPr="002F621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公司在民用领域的增长预计会是多少？ </w:t>
            </w:r>
          </w:p>
          <w:p w14:paraId="4C559288" w14:textId="4470BD76" w:rsidR="00C32CC1" w:rsidRPr="002F6213" w:rsidRDefault="002F6213" w:rsidP="002F6213">
            <w:pPr>
              <w:spacing w:line="360" w:lineRule="auto"/>
              <w:ind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F6213">
              <w:rPr>
                <w:rFonts w:asciiTheme="minorEastAsia" w:eastAsiaTheme="minorEastAsia" w:hAnsiTheme="minorEastAsia" w:hint="eastAsia"/>
                <w:sz w:val="24"/>
                <w:szCs w:val="24"/>
              </w:rPr>
              <w:t>在民用领域，目前在电力专网行业布局</w:t>
            </w:r>
            <w:proofErr w:type="gramStart"/>
            <w:r w:rsidRPr="002F6213">
              <w:rPr>
                <w:rFonts w:asciiTheme="minorEastAsia" w:eastAsiaTheme="minorEastAsia" w:hAnsiTheme="minorEastAsia" w:hint="eastAsia"/>
                <w:sz w:val="24"/>
                <w:szCs w:val="24"/>
              </w:rPr>
              <w:t>了信创自主</w:t>
            </w:r>
            <w:proofErr w:type="gramEnd"/>
            <w:r w:rsidRPr="002F6213">
              <w:rPr>
                <w:rFonts w:asciiTheme="minorEastAsia" w:eastAsiaTheme="minorEastAsia" w:hAnsiTheme="minorEastAsia" w:hint="eastAsia"/>
                <w:sz w:val="24"/>
                <w:szCs w:val="24"/>
              </w:rPr>
              <w:t>可控产品和商用密码产品，目前都有行业客户明确的需求产品在研制，预计近一年内会逐步实现批量销售。同时公司还规划</w:t>
            </w:r>
            <w:r w:rsidRPr="002F621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了</w:t>
            </w:r>
            <w:proofErr w:type="gramStart"/>
            <w:r w:rsidRPr="002F6213">
              <w:rPr>
                <w:rFonts w:asciiTheme="minorEastAsia" w:eastAsiaTheme="minorEastAsia" w:hAnsiTheme="minorEastAsia" w:hint="eastAsia"/>
                <w:sz w:val="24"/>
                <w:szCs w:val="24"/>
              </w:rPr>
              <w:t>邦</w:t>
            </w:r>
            <w:proofErr w:type="gramEnd"/>
            <w:r w:rsidRPr="002F6213">
              <w:rPr>
                <w:rFonts w:asciiTheme="minorEastAsia" w:eastAsiaTheme="minorEastAsia" w:hAnsiTheme="minorEastAsia" w:hint="eastAsia"/>
                <w:sz w:val="24"/>
                <w:szCs w:val="24"/>
              </w:rPr>
              <w:t>彦云PC产品和AI Agent产品</w:t>
            </w:r>
            <w:r w:rsidR="00B10D08">
              <w:rPr>
                <w:rFonts w:asciiTheme="minorEastAsia" w:eastAsiaTheme="minorEastAsia" w:hAnsiTheme="minorEastAsia" w:hint="eastAsia"/>
                <w:sz w:val="24"/>
                <w:szCs w:val="24"/>
              </w:rPr>
              <w:t>两</w:t>
            </w:r>
            <w:r w:rsidRPr="002F6213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个产品。</w:t>
            </w:r>
            <w:proofErr w:type="gramStart"/>
            <w:r w:rsidRPr="002F6213">
              <w:rPr>
                <w:rFonts w:asciiTheme="minorEastAsia" w:eastAsiaTheme="minorEastAsia" w:hAnsiTheme="minorEastAsia" w:hint="eastAsia"/>
                <w:sz w:val="24"/>
                <w:szCs w:val="24"/>
              </w:rPr>
              <w:t>邦</w:t>
            </w:r>
            <w:proofErr w:type="gramEnd"/>
            <w:r w:rsidRPr="002F6213">
              <w:rPr>
                <w:rFonts w:asciiTheme="minorEastAsia" w:eastAsiaTheme="minorEastAsia" w:hAnsiTheme="minorEastAsia" w:hint="eastAsia"/>
                <w:sz w:val="24"/>
                <w:szCs w:val="24"/>
              </w:rPr>
              <w:t>彦云PC产品主要通过代理商和渠道商或直销的销售模式推向市场，具体销售额度目前不好预判，但市场反应比较激烈。AI Agent产品立项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时间不算长</w:t>
            </w:r>
            <w:r w:rsidRPr="002F6213">
              <w:rPr>
                <w:rFonts w:asciiTheme="minorEastAsia" w:eastAsiaTheme="minorEastAsia" w:hAnsiTheme="minorEastAsia" w:hint="eastAsia"/>
                <w:sz w:val="24"/>
                <w:szCs w:val="24"/>
              </w:rPr>
              <w:t>，公司加快在AI方面的技术创新，并赋能公司传统的信息通信和信息安全业务，形成AI+网络通信、AI+多媒体处理和AI+</w:t>
            </w:r>
            <w:proofErr w:type="gramStart"/>
            <w:r w:rsidRPr="002F6213">
              <w:rPr>
                <w:rFonts w:asciiTheme="minorEastAsia" w:eastAsiaTheme="minorEastAsia" w:hAnsiTheme="minorEastAsia" w:hint="eastAsia"/>
                <w:sz w:val="24"/>
                <w:szCs w:val="24"/>
              </w:rPr>
              <w:t>云服务</w:t>
            </w:r>
            <w:proofErr w:type="gramEnd"/>
            <w:r w:rsidRPr="002F6213">
              <w:rPr>
                <w:rFonts w:asciiTheme="minorEastAsia" w:eastAsiaTheme="minorEastAsia" w:hAnsiTheme="minorEastAsia" w:hint="eastAsia"/>
                <w:sz w:val="24"/>
                <w:szCs w:val="24"/>
              </w:rPr>
              <w:t>等领域的技术积累，并布局开展新业务，开辟新赛道。AI Agent产品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近</w:t>
            </w:r>
            <w:r w:rsidRPr="002F6213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来是公司</w:t>
            </w:r>
            <w:r w:rsidRPr="002F6213"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进行技术创新和技术积累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的重要发力点之一</w:t>
            </w:r>
            <w:r w:rsidRPr="002F621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069A7782" w14:textId="79096E6C" w:rsidR="00CF7108" w:rsidRDefault="006009A9" w:rsidP="00CF7108">
            <w:pPr>
              <w:spacing w:line="360" w:lineRule="auto"/>
              <w:ind w:firstLine="482"/>
              <w:rPr>
                <w:rFonts w:ascii="Calibri" w:eastAsia="宋体" w:hAnsi="Calibri"/>
                <w:b/>
                <w:sz w:val="24"/>
                <w:szCs w:val="24"/>
              </w:rPr>
            </w:pPr>
            <w:r>
              <w:rPr>
                <w:rFonts w:ascii="Calibri" w:eastAsia="宋体" w:hAnsi="Calibri"/>
                <w:b/>
                <w:sz w:val="24"/>
                <w:szCs w:val="24"/>
              </w:rPr>
              <w:t>4</w:t>
            </w:r>
            <w:r w:rsidR="00E22C92">
              <w:rPr>
                <w:rFonts w:ascii="Calibri" w:eastAsia="宋体" w:hAnsi="Calibri" w:hint="eastAsia"/>
                <w:b/>
                <w:sz w:val="24"/>
                <w:szCs w:val="24"/>
              </w:rPr>
              <w:t>、</w:t>
            </w:r>
            <w:r w:rsidR="00FF0DFF" w:rsidRPr="00FF0DFF">
              <w:rPr>
                <w:rFonts w:ascii="Calibri" w:eastAsia="宋体" w:hAnsi="Calibri" w:hint="eastAsia"/>
                <w:b/>
                <w:sz w:val="24"/>
                <w:szCs w:val="24"/>
              </w:rPr>
              <w:t>请问公司并购</w:t>
            </w:r>
            <w:proofErr w:type="gramStart"/>
            <w:r w:rsidR="00FF0DFF" w:rsidRPr="00FF0DFF">
              <w:rPr>
                <w:rFonts w:ascii="Calibri" w:eastAsia="宋体" w:hAnsi="Calibri" w:hint="eastAsia"/>
                <w:b/>
                <w:sz w:val="24"/>
                <w:szCs w:val="24"/>
              </w:rPr>
              <w:t>星网信通</w:t>
            </w:r>
            <w:proofErr w:type="gramEnd"/>
            <w:r w:rsidR="00FF0DFF" w:rsidRPr="00FF0DFF">
              <w:rPr>
                <w:rFonts w:ascii="Calibri" w:eastAsia="宋体" w:hAnsi="Calibri" w:hint="eastAsia"/>
                <w:b/>
                <w:sz w:val="24"/>
                <w:szCs w:val="24"/>
              </w:rPr>
              <w:t>的战略意义是什么？未来如果成功整合之后，双方如何互相赋能？</w:t>
            </w:r>
          </w:p>
          <w:p w14:paraId="7FA43568" w14:textId="332A282F" w:rsidR="00FF0DFF" w:rsidRPr="00FF0DFF" w:rsidRDefault="00FF0DFF" w:rsidP="00FF0DFF">
            <w:pPr>
              <w:spacing w:line="360" w:lineRule="auto"/>
              <w:ind w:firstLine="480"/>
              <w:rPr>
                <w:rFonts w:ascii="宋体" w:eastAsia="宋体" w:hAnsi="宋体" w:cs="Arial" w:hint="eastAsia"/>
                <w:sz w:val="24"/>
                <w:szCs w:val="24"/>
              </w:rPr>
            </w:pPr>
            <w:proofErr w:type="gramStart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星网信通</w:t>
            </w:r>
            <w:proofErr w:type="gramEnd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是一家为客户提供智慧融合通信综合解决方案的高新技术企业，主营业务包含 ICT 产品解决方案、融合通信解决方案、运维服务等，主要应用于融合指挥、智能客服、企业统一通信和 ICT 产品解决方案等智慧融合通信领域。</w:t>
            </w:r>
            <w:proofErr w:type="gramStart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星网信通</w:t>
            </w:r>
            <w:proofErr w:type="gramEnd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还获得国家级“专精特新小巨人”企业称号、2024年度华为全球优秀服务伙伴、2024年度华为优秀解决方案伙伴等多项荣誉。公司并购</w:t>
            </w:r>
            <w:proofErr w:type="gramStart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星网信通</w:t>
            </w:r>
            <w:proofErr w:type="gramEnd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的战略意义主要包括以下几个方面：1、拓展产品线，打造综合通信解决方案：双方可形成端到端的产品线，从硬件、软件到服务提供一体化通信解决方案，覆盖智慧政务、金融服务、智慧城市、应急指挥等领域。2、增强市场渗透力，开辟第二增长曲线：公司可通过</w:t>
            </w:r>
            <w:proofErr w:type="gramStart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星网信通</w:t>
            </w:r>
            <w:proofErr w:type="gramEnd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的市场资源快速切入金融和政府市场；同时，</w:t>
            </w:r>
            <w:proofErr w:type="gramStart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星网信通</w:t>
            </w:r>
            <w:proofErr w:type="gramEnd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也可通过邦彦技术扩展在公司客户市场的业务。3、推动技术创新，</w:t>
            </w:r>
            <w:proofErr w:type="gramStart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满足信创产业</w:t>
            </w:r>
            <w:proofErr w:type="gramEnd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需求：双方可整合AI、信息安全和通信技术，推出高安全性、高智能化的国产通信产品，有助于公司</w:t>
            </w:r>
            <w:proofErr w:type="gramStart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抢占信创</w:t>
            </w:r>
            <w:proofErr w:type="gramEnd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市场先机。4、提升行业竞争力，形成规模效应：整合后公司将在技术研发、产品交付、品牌影响力等方面实现倍增效应。规模效应将显著降低运营成本，提高盈利能力。 公司具备提供完整的端到端融合通信解决方案能</w:t>
            </w:r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lastRenderedPageBreak/>
              <w:t>力，并积极布局人工智能及</w:t>
            </w:r>
            <w:proofErr w:type="gramStart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云计算</w:t>
            </w:r>
            <w:proofErr w:type="gramEnd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等领域；星</w:t>
            </w:r>
            <w:proofErr w:type="gramStart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网信通拥有</w:t>
            </w:r>
            <w:proofErr w:type="gramEnd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自主研发的应用软件和平台软件，在融合通信领域具备较为深厚的技术积累。本次交易完成后，双方在产品、技术、市场、供应链等方面具有协同效应，可以互相赋能：1、技术互补，提升创新能力：将</w:t>
            </w:r>
            <w:proofErr w:type="gramStart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邦</w:t>
            </w:r>
            <w:proofErr w:type="gramEnd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彦技术的AI技术应用于</w:t>
            </w:r>
            <w:proofErr w:type="gramStart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星网信通</w:t>
            </w:r>
            <w:proofErr w:type="gramEnd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的产品，在智能客服中引入自然语言处理和情感计算，提高交互体验。公司的信息安全加密能力可以应用于</w:t>
            </w:r>
            <w:proofErr w:type="gramStart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星网信通</w:t>
            </w:r>
            <w:proofErr w:type="gramEnd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的融合通信产品，满足政府和金融行业对信息安全的高要求。结合公司</w:t>
            </w:r>
            <w:proofErr w:type="gramStart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云计算</w:t>
            </w:r>
            <w:proofErr w:type="gramEnd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和边缘计算技术，提升</w:t>
            </w:r>
            <w:proofErr w:type="gramStart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星网信通融</w:t>
            </w:r>
            <w:proofErr w:type="gramEnd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合通信产品的性能和稳定性。2、产品互补，丰富解决方案：公司的云PC与星网的融合通信平台深度整合，为智慧办公、远程协作和应急指挥场景提供云端一体的一站</w:t>
            </w:r>
            <w:proofErr w:type="gramStart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式解决</w:t>
            </w:r>
            <w:proofErr w:type="gramEnd"/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方案。3、市场互补、客户资源共享：利用双方的客户资源，开展交叉销售，提升销售业绩。整合双方的销售渠道和市场网络，扩大市场覆盖面，进入新的行业和区域市场。4、供应链协同：整合供应链管理体系，通过集中采购，共享供应商资源，降低成本，提升供应链的响应速度和效率；本次交易后，可以深化</w:t>
            </w:r>
          </w:p>
          <w:p w14:paraId="595AB680" w14:textId="59A1E075" w:rsidR="00FF0DFF" w:rsidRPr="00FF0DFF" w:rsidRDefault="00FF0DFF" w:rsidP="00FF0DFF">
            <w:pPr>
              <w:spacing w:line="360" w:lineRule="auto"/>
              <w:ind w:firstLine="480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FF0DFF">
              <w:rPr>
                <w:rFonts w:ascii="宋体" w:eastAsia="宋体" w:hAnsi="宋体" w:cs="Arial" w:hint="eastAsia"/>
                <w:sz w:val="24"/>
                <w:szCs w:val="24"/>
              </w:rPr>
              <w:t>双方供应链的合作，包括不限于共同开发解决方案，满足客户的多样化需求。</w:t>
            </w:r>
          </w:p>
          <w:bookmarkEnd w:id="0"/>
          <w:bookmarkEnd w:id="1"/>
          <w:p w14:paraId="5D59984F" w14:textId="1776879E" w:rsidR="006009A9" w:rsidRDefault="00CF7108">
            <w:pPr>
              <w:spacing w:line="360" w:lineRule="auto"/>
              <w:ind w:firstLine="482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</w:t>
            </w:r>
            <w:r w:rsidR="006009A9" w:rsidRPr="006009A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</w:t>
            </w:r>
            <w:r w:rsidR="006009A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请问</w:t>
            </w:r>
            <w:proofErr w:type="gramStart"/>
            <w:r w:rsidR="006009A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邦</w:t>
            </w:r>
            <w:proofErr w:type="gramEnd"/>
            <w:r w:rsidR="006009A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彦</w:t>
            </w:r>
            <w:r w:rsidR="006009A9" w:rsidRPr="006009A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云PC系统V1.0版本目前处于什么水平程度？</w:t>
            </w:r>
          </w:p>
          <w:p w14:paraId="5134F102" w14:textId="383D0F1D" w:rsidR="00BA7995" w:rsidRPr="00BA7995" w:rsidRDefault="006009A9" w:rsidP="009A5E9E">
            <w:pPr>
              <w:ind w:firstLine="480"/>
              <w:rPr>
                <w:rFonts w:ascii="Calibri" w:eastAsia="宋体" w:hAnsi="Calibri" w:hint="eastAsia"/>
                <w:sz w:val="24"/>
                <w:szCs w:val="24"/>
              </w:rPr>
            </w:pPr>
            <w:r w:rsidRPr="006009A9">
              <w:rPr>
                <w:rFonts w:ascii="Calibri" w:eastAsia="宋体" w:hAnsi="Calibri" w:hint="eastAsia"/>
                <w:sz w:val="24"/>
                <w:szCs w:val="24"/>
              </w:rPr>
              <w:t>该产品在高性能计算资源的使用效率、数据安全保障和集中运</w:t>
            </w:r>
            <w:proofErr w:type="gramStart"/>
            <w:r w:rsidRPr="006009A9">
              <w:rPr>
                <w:rFonts w:ascii="Calibri" w:eastAsia="宋体" w:hAnsi="Calibri" w:hint="eastAsia"/>
                <w:sz w:val="24"/>
                <w:szCs w:val="24"/>
              </w:rPr>
              <w:t>维能力</w:t>
            </w:r>
            <w:proofErr w:type="gramEnd"/>
            <w:r w:rsidRPr="006009A9">
              <w:rPr>
                <w:rFonts w:ascii="Calibri" w:eastAsia="宋体" w:hAnsi="Calibri" w:hint="eastAsia"/>
                <w:sz w:val="24"/>
                <w:szCs w:val="24"/>
              </w:rPr>
              <w:t>等方面，结合了公司在云计算、自主可控、数据安全、智能运维等方面的积累，具备创新优势，达到销售、交付状态。</w:t>
            </w:r>
            <w:r w:rsidRPr="006009A9">
              <w:rPr>
                <w:rFonts w:ascii="Calibri" w:eastAsia="宋体" w:hAnsi="Calibri" w:hint="eastAsia"/>
                <w:sz w:val="24"/>
                <w:szCs w:val="24"/>
              </w:rPr>
              <w:t>V1.0</w:t>
            </w:r>
            <w:r w:rsidRPr="006009A9">
              <w:rPr>
                <w:rFonts w:ascii="Calibri" w:eastAsia="宋体" w:hAnsi="Calibri" w:hint="eastAsia"/>
                <w:sz w:val="24"/>
                <w:szCs w:val="24"/>
              </w:rPr>
              <w:t>版本的硬件平台支持</w:t>
            </w:r>
            <w:r w:rsidRPr="006009A9">
              <w:rPr>
                <w:rFonts w:ascii="Calibri" w:eastAsia="宋体" w:hAnsi="Calibri" w:hint="eastAsia"/>
                <w:sz w:val="24"/>
                <w:szCs w:val="24"/>
              </w:rPr>
              <w:t>Intel i3/i5/i7</w:t>
            </w:r>
            <w:r w:rsidRPr="006009A9">
              <w:rPr>
                <w:rFonts w:ascii="Calibri" w:eastAsia="宋体" w:hAnsi="Calibri" w:hint="eastAsia"/>
                <w:sz w:val="24"/>
                <w:szCs w:val="24"/>
              </w:rPr>
              <w:t>系列</w:t>
            </w:r>
            <w:proofErr w:type="gramStart"/>
            <w:r w:rsidRPr="006009A9">
              <w:rPr>
                <w:rFonts w:ascii="Calibri" w:eastAsia="宋体" w:hAnsi="Calibri" w:hint="eastAsia"/>
                <w:sz w:val="24"/>
                <w:szCs w:val="24"/>
              </w:rPr>
              <w:t>以及信创系列</w:t>
            </w:r>
            <w:proofErr w:type="gramEnd"/>
            <w:r w:rsidRPr="006009A9">
              <w:rPr>
                <w:rFonts w:ascii="Calibri" w:eastAsia="宋体" w:hAnsi="Calibri" w:hint="eastAsia"/>
                <w:sz w:val="24"/>
                <w:szCs w:val="24"/>
              </w:rPr>
              <w:t>，邦彦云</w:t>
            </w:r>
            <w:r w:rsidRPr="006009A9">
              <w:rPr>
                <w:rFonts w:ascii="Calibri" w:eastAsia="宋体" w:hAnsi="Calibri" w:hint="eastAsia"/>
                <w:sz w:val="24"/>
                <w:szCs w:val="24"/>
              </w:rPr>
              <w:t>PC</w:t>
            </w:r>
            <w:proofErr w:type="gramStart"/>
            <w:r w:rsidRPr="006009A9">
              <w:rPr>
                <w:rFonts w:ascii="Calibri" w:eastAsia="宋体" w:hAnsi="Calibri" w:hint="eastAsia"/>
                <w:sz w:val="24"/>
                <w:szCs w:val="24"/>
              </w:rPr>
              <w:t>信创产品</w:t>
            </w:r>
            <w:proofErr w:type="gramEnd"/>
            <w:r w:rsidRPr="006009A9">
              <w:rPr>
                <w:rFonts w:ascii="Calibri" w:eastAsia="宋体" w:hAnsi="Calibri" w:hint="eastAsia"/>
                <w:sz w:val="24"/>
                <w:szCs w:val="24"/>
              </w:rPr>
              <w:t>采用全国产化选型，兼容海光、飞腾等国产</w:t>
            </w:r>
            <w:r w:rsidRPr="006009A9">
              <w:rPr>
                <w:rFonts w:ascii="Calibri" w:eastAsia="宋体" w:hAnsi="Calibri" w:hint="eastAsia"/>
                <w:sz w:val="24"/>
                <w:szCs w:val="24"/>
              </w:rPr>
              <w:t>CPU</w:t>
            </w:r>
            <w:r w:rsidRPr="006009A9">
              <w:rPr>
                <w:rFonts w:ascii="Calibri" w:eastAsia="宋体" w:hAnsi="Calibri" w:hint="eastAsia"/>
                <w:sz w:val="24"/>
                <w:szCs w:val="24"/>
              </w:rPr>
              <w:t>以及麒麟、统信等操作系统。公司还与伟</w:t>
            </w:r>
            <w:proofErr w:type="gramStart"/>
            <w:r w:rsidRPr="006009A9">
              <w:rPr>
                <w:rFonts w:ascii="Calibri" w:eastAsia="宋体" w:hAnsi="Calibri" w:hint="eastAsia"/>
                <w:sz w:val="24"/>
                <w:szCs w:val="24"/>
              </w:rPr>
              <w:t>仕</w:t>
            </w:r>
            <w:proofErr w:type="gramEnd"/>
            <w:r w:rsidRPr="006009A9">
              <w:rPr>
                <w:rFonts w:ascii="Calibri" w:eastAsia="宋体" w:hAnsi="Calibri" w:hint="eastAsia"/>
                <w:sz w:val="24"/>
                <w:szCs w:val="24"/>
              </w:rPr>
              <w:t>佳杰（重庆）科技有限公司签订了战略合作协议，授权</w:t>
            </w:r>
            <w:r w:rsidRPr="006009A9">
              <w:rPr>
                <w:rFonts w:ascii="Calibri" w:eastAsia="宋体" w:hAnsi="Calibri" w:hint="eastAsia"/>
                <w:sz w:val="24"/>
                <w:szCs w:val="24"/>
              </w:rPr>
              <w:lastRenderedPageBreak/>
              <w:t>其作为全国总代理，通过资源整合和优势互补，推动邦彦云</w:t>
            </w:r>
            <w:r w:rsidRPr="006009A9">
              <w:rPr>
                <w:rFonts w:ascii="Calibri" w:eastAsia="宋体" w:hAnsi="Calibri" w:hint="eastAsia"/>
                <w:sz w:val="24"/>
                <w:szCs w:val="24"/>
              </w:rPr>
              <w:t>PC</w:t>
            </w:r>
            <w:r w:rsidRPr="006009A9">
              <w:rPr>
                <w:rFonts w:ascii="Calibri" w:eastAsia="宋体" w:hAnsi="Calibri" w:hint="eastAsia"/>
                <w:sz w:val="24"/>
                <w:szCs w:val="24"/>
              </w:rPr>
              <w:t>产品的市场快速增长。但新客户的开拓需要一定周期，敬请广大投资者注意投资风险，理性投资。</w:t>
            </w:r>
          </w:p>
        </w:tc>
      </w:tr>
      <w:tr w:rsidR="007D5E64" w14:paraId="5DDBCC2D" w14:textId="77777777">
        <w:trPr>
          <w:trHeight w:val="708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392C" w14:textId="77777777" w:rsidR="007D5E64" w:rsidRDefault="00E22C92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sz w:val="24"/>
                <w:szCs w:val="24"/>
              </w:rPr>
              <w:lastRenderedPageBreak/>
              <w:t>本次活动是否涉及应披露重大信息的说明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F9B8" w14:textId="77777777" w:rsidR="007D5E64" w:rsidRDefault="00E22C92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本次活动不涉及未公开披露的重大信息。</w:t>
            </w:r>
          </w:p>
        </w:tc>
      </w:tr>
      <w:tr w:rsidR="007D5E64" w14:paraId="787871D2" w14:textId="77777777">
        <w:trPr>
          <w:trHeight w:val="708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CD5D" w14:textId="77777777" w:rsidR="007D5E64" w:rsidRDefault="00E22C92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3BA9" w14:textId="77777777" w:rsidR="007D5E64" w:rsidRDefault="00E22C92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</w:tbl>
    <w:p w14:paraId="3FB384AB" w14:textId="77777777" w:rsidR="007D5E64" w:rsidRDefault="007D5E64">
      <w:pPr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</w:p>
    <w:sectPr w:rsidR="007D5E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28806" w14:textId="77777777" w:rsidR="0081128D" w:rsidRDefault="0081128D">
      <w:pPr>
        <w:spacing w:line="240" w:lineRule="auto"/>
        <w:ind w:firstLine="640"/>
      </w:pPr>
      <w:r>
        <w:separator/>
      </w:r>
    </w:p>
  </w:endnote>
  <w:endnote w:type="continuationSeparator" w:id="0">
    <w:p w14:paraId="49F9B91A" w14:textId="77777777" w:rsidR="0081128D" w:rsidRDefault="0081128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15AAF" w14:textId="77777777" w:rsidR="007D5E64" w:rsidRDefault="007D5E6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52B34" w14:textId="77777777" w:rsidR="007D5E64" w:rsidRDefault="007D5E6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7B9A4" w14:textId="77777777" w:rsidR="007D5E64" w:rsidRDefault="007D5E6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473B3" w14:textId="77777777" w:rsidR="0081128D" w:rsidRDefault="0081128D">
      <w:pPr>
        <w:spacing w:line="240" w:lineRule="auto"/>
        <w:ind w:firstLine="640"/>
      </w:pPr>
      <w:r>
        <w:separator/>
      </w:r>
    </w:p>
  </w:footnote>
  <w:footnote w:type="continuationSeparator" w:id="0">
    <w:p w14:paraId="64900BEF" w14:textId="77777777" w:rsidR="0081128D" w:rsidRDefault="0081128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D274" w14:textId="77777777" w:rsidR="007D5E64" w:rsidRDefault="007D5E64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4BA4" w14:textId="77777777" w:rsidR="007D5E64" w:rsidRDefault="007D5E64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5CB0F" w14:textId="77777777" w:rsidR="007D5E64" w:rsidRDefault="007D5E64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E4E82"/>
    <w:multiLevelType w:val="multilevel"/>
    <w:tmpl w:val="1CCE4E82"/>
    <w:lvl w:ilvl="0">
      <w:start w:val="1"/>
      <w:numFmt w:val="japaneseCounting"/>
      <w:lvlText w:val="%1、"/>
      <w:lvlJc w:val="left"/>
      <w:pPr>
        <w:ind w:left="800" w:hanging="480"/>
      </w:pPr>
      <w:rPr>
        <w:rFonts w:asciiTheme="majorEastAsia" w:eastAsiaTheme="majorEastAsia" w:hAnsiTheme="majorEastAsia" w:hint="default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abstractNum w:abstractNumId="1" w15:restartNumberingAfterBreak="0">
    <w:nsid w:val="23E3716E"/>
    <w:multiLevelType w:val="hybridMultilevel"/>
    <w:tmpl w:val="C7CC5B7C"/>
    <w:lvl w:ilvl="0" w:tplc="63A2CB6E">
      <w:start w:val="1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 w16cid:durableId="1159888353">
    <w:abstractNumId w:val="0"/>
  </w:num>
  <w:num w:numId="2" w16cid:durableId="72656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llZDg3YzdhNjQ5NzM1NzkzNTZhNmNkMWJmOTZlMTUifQ=="/>
  </w:docVars>
  <w:rsids>
    <w:rsidRoot w:val="00172A27"/>
    <w:rsid w:val="00002AEC"/>
    <w:rsid w:val="00010516"/>
    <w:rsid w:val="00014D52"/>
    <w:rsid w:val="00017A25"/>
    <w:rsid w:val="00021F65"/>
    <w:rsid w:val="00026BC1"/>
    <w:rsid w:val="00035808"/>
    <w:rsid w:val="00035F78"/>
    <w:rsid w:val="0005432B"/>
    <w:rsid w:val="000719A0"/>
    <w:rsid w:val="00081A8C"/>
    <w:rsid w:val="00085404"/>
    <w:rsid w:val="0008553C"/>
    <w:rsid w:val="00087069"/>
    <w:rsid w:val="000938F4"/>
    <w:rsid w:val="000A0087"/>
    <w:rsid w:val="000A070B"/>
    <w:rsid w:val="000A0B67"/>
    <w:rsid w:val="000A689D"/>
    <w:rsid w:val="000B70CA"/>
    <w:rsid w:val="000B762E"/>
    <w:rsid w:val="000C135F"/>
    <w:rsid w:val="000C1B71"/>
    <w:rsid w:val="000C3523"/>
    <w:rsid w:val="000D5B84"/>
    <w:rsid w:val="000E0EB3"/>
    <w:rsid w:val="000F519B"/>
    <w:rsid w:val="0010502B"/>
    <w:rsid w:val="001210E0"/>
    <w:rsid w:val="001331C4"/>
    <w:rsid w:val="00167499"/>
    <w:rsid w:val="00170FC4"/>
    <w:rsid w:val="0017260B"/>
    <w:rsid w:val="00172A27"/>
    <w:rsid w:val="00193BDB"/>
    <w:rsid w:val="001A42F0"/>
    <w:rsid w:val="001A7C07"/>
    <w:rsid w:val="001B13C9"/>
    <w:rsid w:val="001B281A"/>
    <w:rsid w:val="001C09DC"/>
    <w:rsid w:val="001D6FA8"/>
    <w:rsid w:val="001E347E"/>
    <w:rsid w:val="001F25AD"/>
    <w:rsid w:val="001F5347"/>
    <w:rsid w:val="001F70F2"/>
    <w:rsid w:val="002076BE"/>
    <w:rsid w:val="0021183F"/>
    <w:rsid w:val="00216568"/>
    <w:rsid w:val="002235A5"/>
    <w:rsid w:val="00224F36"/>
    <w:rsid w:val="002364A1"/>
    <w:rsid w:val="00242BBE"/>
    <w:rsid w:val="002450B3"/>
    <w:rsid w:val="00256C6E"/>
    <w:rsid w:val="00271305"/>
    <w:rsid w:val="0027163D"/>
    <w:rsid w:val="0028706E"/>
    <w:rsid w:val="00290C24"/>
    <w:rsid w:val="002919E1"/>
    <w:rsid w:val="002924BD"/>
    <w:rsid w:val="00293B4F"/>
    <w:rsid w:val="002D4F3D"/>
    <w:rsid w:val="002F6213"/>
    <w:rsid w:val="00305271"/>
    <w:rsid w:val="003216AB"/>
    <w:rsid w:val="003402B7"/>
    <w:rsid w:val="0035458C"/>
    <w:rsid w:val="00354BDE"/>
    <w:rsid w:val="003571C5"/>
    <w:rsid w:val="003608F5"/>
    <w:rsid w:val="00361944"/>
    <w:rsid w:val="00363B5F"/>
    <w:rsid w:val="00372ABB"/>
    <w:rsid w:val="00383A2C"/>
    <w:rsid w:val="003901C6"/>
    <w:rsid w:val="00392E9B"/>
    <w:rsid w:val="00393F0A"/>
    <w:rsid w:val="003A01A1"/>
    <w:rsid w:val="003A0DA6"/>
    <w:rsid w:val="003B4EF7"/>
    <w:rsid w:val="003B54B4"/>
    <w:rsid w:val="003C002A"/>
    <w:rsid w:val="003D2DCE"/>
    <w:rsid w:val="003E581F"/>
    <w:rsid w:val="003F5B58"/>
    <w:rsid w:val="003F74E5"/>
    <w:rsid w:val="00411181"/>
    <w:rsid w:val="004222B3"/>
    <w:rsid w:val="00422A32"/>
    <w:rsid w:val="004247C8"/>
    <w:rsid w:val="00424A25"/>
    <w:rsid w:val="0043047F"/>
    <w:rsid w:val="004444AF"/>
    <w:rsid w:val="0044480A"/>
    <w:rsid w:val="004B0B55"/>
    <w:rsid w:val="004C0E38"/>
    <w:rsid w:val="004C455A"/>
    <w:rsid w:val="004E1C6E"/>
    <w:rsid w:val="004F5749"/>
    <w:rsid w:val="005104CA"/>
    <w:rsid w:val="0051776E"/>
    <w:rsid w:val="005406C2"/>
    <w:rsid w:val="00547A27"/>
    <w:rsid w:val="00561488"/>
    <w:rsid w:val="005711D7"/>
    <w:rsid w:val="00596F1A"/>
    <w:rsid w:val="005A2F44"/>
    <w:rsid w:val="005B2251"/>
    <w:rsid w:val="005C0F7D"/>
    <w:rsid w:val="005D151E"/>
    <w:rsid w:val="005D4B60"/>
    <w:rsid w:val="005E0766"/>
    <w:rsid w:val="006009A9"/>
    <w:rsid w:val="00605699"/>
    <w:rsid w:val="00610A99"/>
    <w:rsid w:val="006205D4"/>
    <w:rsid w:val="00624AC3"/>
    <w:rsid w:val="0063243D"/>
    <w:rsid w:val="00637DE6"/>
    <w:rsid w:val="00651B6A"/>
    <w:rsid w:val="0065401F"/>
    <w:rsid w:val="006578EE"/>
    <w:rsid w:val="00676633"/>
    <w:rsid w:val="00693E31"/>
    <w:rsid w:val="006A096C"/>
    <w:rsid w:val="006A1683"/>
    <w:rsid w:val="006B1270"/>
    <w:rsid w:val="006C0BA8"/>
    <w:rsid w:val="006C3B16"/>
    <w:rsid w:val="006D01A3"/>
    <w:rsid w:val="006E35A8"/>
    <w:rsid w:val="006E4AF4"/>
    <w:rsid w:val="006E5A85"/>
    <w:rsid w:val="0070369B"/>
    <w:rsid w:val="00703B8A"/>
    <w:rsid w:val="00703EC0"/>
    <w:rsid w:val="00711498"/>
    <w:rsid w:val="00726F0C"/>
    <w:rsid w:val="0073229D"/>
    <w:rsid w:val="00736E45"/>
    <w:rsid w:val="00744656"/>
    <w:rsid w:val="007645B5"/>
    <w:rsid w:val="00765341"/>
    <w:rsid w:val="00766DDD"/>
    <w:rsid w:val="00775F5B"/>
    <w:rsid w:val="00776882"/>
    <w:rsid w:val="00791A14"/>
    <w:rsid w:val="00796468"/>
    <w:rsid w:val="007A3F26"/>
    <w:rsid w:val="007A4666"/>
    <w:rsid w:val="007B407A"/>
    <w:rsid w:val="007B40FB"/>
    <w:rsid w:val="007C1C5B"/>
    <w:rsid w:val="007D104F"/>
    <w:rsid w:val="007D5D1C"/>
    <w:rsid w:val="007D5E64"/>
    <w:rsid w:val="007D6190"/>
    <w:rsid w:val="007E451E"/>
    <w:rsid w:val="0081128D"/>
    <w:rsid w:val="008159EA"/>
    <w:rsid w:val="008227EE"/>
    <w:rsid w:val="00822AC7"/>
    <w:rsid w:val="008239BE"/>
    <w:rsid w:val="00823EB7"/>
    <w:rsid w:val="00824B7C"/>
    <w:rsid w:val="00832B75"/>
    <w:rsid w:val="00836F94"/>
    <w:rsid w:val="00841C03"/>
    <w:rsid w:val="00843561"/>
    <w:rsid w:val="00843E06"/>
    <w:rsid w:val="008740DE"/>
    <w:rsid w:val="0088448C"/>
    <w:rsid w:val="00896E65"/>
    <w:rsid w:val="008A6633"/>
    <w:rsid w:val="008E2996"/>
    <w:rsid w:val="008F7313"/>
    <w:rsid w:val="008F7592"/>
    <w:rsid w:val="0090549D"/>
    <w:rsid w:val="009059D8"/>
    <w:rsid w:val="00910F97"/>
    <w:rsid w:val="00917220"/>
    <w:rsid w:val="009328B6"/>
    <w:rsid w:val="0094073E"/>
    <w:rsid w:val="00942073"/>
    <w:rsid w:val="00950DA3"/>
    <w:rsid w:val="00952CE1"/>
    <w:rsid w:val="0096682A"/>
    <w:rsid w:val="009850EA"/>
    <w:rsid w:val="00995BB0"/>
    <w:rsid w:val="009A014B"/>
    <w:rsid w:val="009A0D93"/>
    <w:rsid w:val="009A1A00"/>
    <w:rsid w:val="009A2DD2"/>
    <w:rsid w:val="009A36D3"/>
    <w:rsid w:val="009A5E9E"/>
    <w:rsid w:val="009D4453"/>
    <w:rsid w:val="009F7F5C"/>
    <w:rsid w:val="00A07AAE"/>
    <w:rsid w:val="00A10E13"/>
    <w:rsid w:val="00A11522"/>
    <w:rsid w:val="00A160D1"/>
    <w:rsid w:val="00A20BD4"/>
    <w:rsid w:val="00A21E2A"/>
    <w:rsid w:val="00A31D8C"/>
    <w:rsid w:val="00A37CDE"/>
    <w:rsid w:val="00A53050"/>
    <w:rsid w:val="00A54DFD"/>
    <w:rsid w:val="00A65B3F"/>
    <w:rsid w:val="00A65FFE"/>
    <w:rsid w:val="00A9286C"/>
    <w:rsid w:val="00A97569"/>
    <w:rsid w:val="00AA7A95"/>
    <w:rsid w:val="00AB562B"/>
    <w:rsid w:val="00AE14E5"/>
    <w:rsid w:val="00AE3BA6"/>
    <w:rsid w:val="00AF001F"/>
    <w:rsid w:val="00AF3946"/>
    <w:rsid w:val="00AF3A5A"/>
    <w:rsid w:val="00B10D08"/>
    <w:rsid w:val="00B14FD9"/>
    <w:rsid w:val="00B33CEC"/>
    <w:rsid w:val="00B7049C"/>
    <w:rsid w:val="00B81703"/>
    <w:rsid w:val="00BA3025"/>
    <w:rsid w:val="00BA7995"/>
    <w:rsid w:val="00BB7670"/>
    <w:rsid w:val="00BC73ED"/>
    <w:rsid w:val="00BD2262"/>
    <w:rsid w:val="00BD3A81"/>
    <w:rsid w:val="00BE0A69"/>
    <w:rsid w:val="00BE386D"/>
    <w:rsid w:val="00BF15D8"/>
    <w:rsid w:val="00BF401D"/>
    <w:rsid w:val="00BF7802"/>
    <w:rsid w:val="00C036F7"/>
    <w:rsid w:val="00C07EF1"/>
    <w:rsid w:val="00C17C86"/>
    <w:rsid w:val="00C32CC1"/>
    <w:rsid w:val="00C349B2"/>
    <w:rsid w:val="00C35FF3"/>
    <w:rsid w:val="00C408B5"/>
    <w:rsid w:val="00C47C6A"/>
    <w:rsid w:val="00C52840"/>
    <w:rsid w:val="00C549B7"/>
    <w:rsid w:val="00C70622"/>
    <w:rsid w:val="00C72730"/>
    <w:rsid w:val="00C74E82"/>
    <w:rsid w:val="00C83E5B"/>
    <w:rsid w:val="00C85E6F"/>
    <w:rsid w:val="00C9608C"/>
    <w:rsid w:val="00C966F0"/>
    <w:rsid w:val="00CC6698"/>
    <w:rsid w:val="00CD1317"/>
    <w:rsid w:val="00CF02E5"/>
    <w:rsid w:val="00CF0E2B"/>
    <w:rsid w:val="00CF7108"/>
    <w:rsid w:val="00D12F21"/>
    <w:rsid w:val="00D1588C"/>
    <w:rsid w:val="00D26347"/>
    <w:rsid w:val="00D3241D"/>
    <w:rsid w:val="00D52D47"/>
    <w:rsid w:val="00D63C53"/>
    <w:rsid w:val="00D73D0C"/>
    <w:rsid w:val="00D82CA1"/>
    <w:rsid w:val="00D9147F"/>
    <w:rsid w:val="00D978B1"/>
    <w:rsid w:val="00DA0937"/>
    <w:rsid w:val="00DC455E"/>
    <w:rsid w:val="00DC743E"/>
    <w:rsid w:val="00DE4241"/>
    <w:rsid w:val="00DE4718"/>
    <w:rsid w:val="00DE7F16"/>
    <w:rsid w:val="00E104FC"/>
    <w:rsid w:val="00E107CB"/>
    <w:rsid w:val="00E10E2C"/>
    <w:rsid w:val="00E22C92"/>
    <w:rsid w:val="00E33D48"/>
    <w:rsid w:val="00E60BB3"/>
    <w:rsid w:val="00E63DAE"/>
    <w:rsid w:val="00E72CDC"/>
    <w:rsid w:val="00E8036A"/>
    <w:rsid w:val="00E91A5E"/>
    <w:rsid w:val="00E942A7"/>
    <w:rsid w:val="00EC07E2"/>
    <w:rsid w:val="00ED67C1"/>
    <w:rsid w:val="00EE218F"/>
    <w:rsid w:val="00EF0AB8"/>
    <w:rsid w:val="00EF2435"/>
    <w:rsid w:val="00EF5FE4"/>
    <w:rsid w:val="00F03A12"/>
    <w:rsid w:val="00F15DB8"/>
    <w:rsid w:val="00F23F22"/>
    <w:rsid w:val="00F269FF"/>
    <w:rsid w:val="00F42824"/>
    <w:rsid w:val="00FA1F42"/>
    <w:rsid w:val="00FB2F93"/>
    <w:rsid w:val="00FB3164"/>
    <w:rsid w:val="00FC4FB0"/>
    <w:rsid w:val="00FC6F30"/>
    <w:rsid w:val="00FD0CBB"/>
    <w:rsid w:val="00FF0DFF"/>
    <w:rsid w:val="00FF2A79"/>
    <w:rsid w:val="02076F1C"/>
    <w:rsid w:val="033C1CF6"/>
    <w:rsid w:val="05AD6D6E"/>
    <w:rsid w:val="06F21CC1"/>
    <w:rsid w:val="0A1266E3"/>
    <w:rsid w:val="0C131349"/>
    <w:rsid w:val="0C6F7B97"/>
    <w:rsid w:val="0C955C72"/>
    <w:rsid w:val="0D103E05"/>
    <w:rsid w:val="0D433883"/>
    <w:rsid w:val="0DB20B97"/>
    <w:rsid w:val="101C2610"/>
    <w:rsid w:val="101F036D"/>
    <w:rsid w:val="10563F48"/>
    <w:rsid w:val="10892AE9"/>
    <w:rsid w:val="13267B4D"/>
    <w:rsid w:val="191A0E8B"/>
    <w:rsid w:val="19750B7A"/>
    <w:rsid w:val="1D50131F"/>
    <w:rsid w:val="1EED3DA0"/>
    <w:rsid w:val="1F3B5A8F"/>
    <w:rsid w:val="1F6F0C48"/>
    <w:rsid w:val="1FB34E94"/>
    <w:rsid w:val="210445BE"/>
    <w:rsid w:val="22501B2B"/>
    <w:rsid w:val="22573C15"/>
    <w:rsid w:val="23035FB3"/>
    <w:rsid w:val="25162A70"/>
    <w:rsid w:val="26F65E37"/>
    <w:rsid w:val="27D93F3E"/>
    <w:rsid w:val="29EB0013"/>
    <w:rsid w:val="2A9919AD"/>
    <w:rsid w:val="2C537863"/>
    <w:rsid w:val="2CCC5FED"/>
    <w:rsid w:val="2E0C4DEE"/>
    <w:rsid w:val="2EEA35A2"/>
    <w:rsid w:val="352276E8"/>
    <w:rsid w:val="356E093D"/>
    <w:rsid w:val="359313AA"/>
    <w:rsid w:val="35C16BFB"/>
    <w:rsid w:val="36491112"/>
    <w:rsid w:val="3AC86541"/>
    <w:rsid w:val="3BE73A1E"/>
    <w:rsid w:val="3C1232C6"/>
    <w:rsid w:val="3CDD79F1"/>
    <w:rsid w:val="3E3F509F"/>
    <w:rsid w:val="3E6034F4"/>
    <w:rsid w:val="3F794C38"/>
    <w:rsid w:val="41667638"/>
    <w:rsid w:val="41E00614"/>
    <w:rsid w:val="42247621"/>
    <w:rsid w:val="425210A6"/>
    <w:rsid w:val="43754D8C"/>
    <w:rsid w:val="46052769"/>
    <w:rsid w:val="4BDF4987"/>
    <w:rsid w:val="4DC94942"/>
    <w:rsid w:val="4E0821BF"/>
    <w:rsid w:val="4F2E5F21"/>
    <w:rsid w:val="4FDE2F28"/>
    <w:rsid w:val="51DE2E7B"/>
    <w:rsid w:val="530D4CEF"/>
    <w:rsid w:val="543D5146"/>
    <w:rsid w:val="557E462E"/>
    <w:rsid w:val="56186984"/>
    <w:rsid w:val="56B272DD"/>
    <w:rsid w:val="56C71A1E"/>
    <w:rsid w:val="59DB4118"/>
    <w:rsid w:val="5AE00364"/>
    <w:rsid w:val="5BB93074"/>
    <w:rsid w:val="5C612FB3"/>
    <w:rsid w:val="5CD10796"/>
    <w:rsid w:val="5DD16269"/>
    <w:rsid w:val="5E7F32D6"/>
    <w:rsid w:val="5FB445F8"/>
    <w:rsid w:val="5FB92B90"/>
    <w:rsid w:val="602E2C97"/>
    <w:rsid w:val="609A1295"/>
    <w:rsid w:val="61E96DED"/>
    <w:rsid w:val="628254AA"/>
    <w:rsid w:val="628404D4"/>
    <w:rsid w:val="63A96660"/>
    <w:rsid w:val="63E14839"/>
    <w:rsid w:val="67972454"/>
    <w:rsid w:val="67EA7CF2"/>
    <w:rsid w:val="68DC5E82"/>
    <w:rsid w:val="692C1BCB"/>
    <w:rsid w:val="6A837C0B"/>
    <w:rsid w:val="6C990208"/>
    <w:rsid w:val="6DC4374B"/>
    <w:rsid w:val="6FFE1AE2"/>
    <w:rsid w:val="70201783"/>
    <w:rsid w:val="70E81643"/>
    <w:rsid w:val="716A1AC4"/>
    <w:rsid w:val="73861075"/>
    <w:rsid w:val="73F74A1A"/>
    <w:rsid w:val="76E128E3"/>
    <w:rsid w:val="78FB5372"/>
    <w:rsid w:val="7BE511C7"/>
    <w:rsid w:val="7CD43511"/>
    <w:rsid w:val="7EFA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D3F8E"/>
  <w15:docId w15:val="{B0A6427B-8A02-4AF6-A63F-9B33256A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仿宋"/>
      <w:kern w:val="2"/>
      <w:sz w:val="32"/>
    </w:rPr>
  </w:style>
  <w:style w:type="paragraph" w:styleId="3">
    <w:name w:val="heading 3"/>
    <w:basedOn w:val="a"/>
    <w:next w:val="a"/>
    <w:link w:val="30"/>
    <w:qFormat/>
    <w:pPr>
      <w:keepNext/>
      <w:keepLines/>
      <w:tabs>
        <w:tab w:val="left" w:pos="1440"/>
      </w:tabs>
      <w:spacing w:before="260" w:after="260" w:line="413" w:lineRule="auto"/>
      <w:ind w:left="1440" w:hanging="720"/>
      <w:outlineLvl w:val="2"/>
    </w:pPr>
    <w:rPr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 w:line="240" w:lineRule="auto"/>
      <w:ind w:firstLineChars="0" w:firstLine="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眉 字符"/>
    <w:basedOn w:val="a0"/>
    <w:link w:val="a7"/>
    <w:qFormat/>
    <w:rPr>
      <w:rFonts w:eastAsia="仿宋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eastAsia="仿宋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="420"/>
    </w:pPr>
  </w:style>
  <w:style w:type="character" w:customStyle="1" w:styleId="30">
    <w:name w:val="标题 3 字符"/>
    <w:basedOn w:val="a0"/>
    <w:link w:val="3"/>
    <w:qFormat/>
    <w:rPr>
      <w:rFonts w:eastAsia="仿宋"/>
      <w:b/>
      <w:sz w:val="32"/>
    </w:rPr>
  </w:style>
  <w:style w:type="character" w:customStyle="1" w:styleId="aa">
    <w:name w:val="标题 字符"/>
    <w:basedOn w:val="a0"/>
    <w:link w:val="a9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4">
    <w:name w:val="批注框文本 字符"/>
    <w:basedOn w:val="a0"/>
    <w:link w:val="a3"/>
    <w:qFormat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436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li.jiang</dc:creator>
  <cp:lastModifiedBy>tessa</cp:lastModifiedBy>
  <cp:revision>3</cp:revision>
  <cp:lastPrinted>2025-03-17T01:35:00Z</cp:lastPrinted>
  <dcterms:created xsi:type="dcterms:W3CDTF">2025-03-17T03:18:00Z</dcterms:created>
  <dcterms:modified xsi:type="dcterms:W3CDTF">2025-03-17T05:58:00Z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6EBF5BBDDB574A46B633F130ADDEDCCA</vt:lpwstr>
  </property>
  <property fmtid="{D5CDD505-2E9C-101B-9397-08002B2CF9AE}" pid="4" name="KSOTemplateDocerSaveRecord">
    <vt:lpwstr>eyJoZGlkIjoiMzllZDg3YzdhNjQ5NzM1NzkzNTZhNmNkMWJmOTZlMTUiLCJ1c2VySWQiOiIzOTUzNDQ1MjAifQ==</vt:lpwstr>
  </property>
</Properties>
</file>