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31CD" w14:textId="77777777" w:rsidR="00C21BEF" w:rsidRDefault="00000000">
      <w:pPr>
        <w:pStyle w:val="a3"/>
        <w:spacing w:before="1" w:line="480" w:lineRule="exact"/>
        <w:ind w:left="0" w:right="453" w:firstLineChars="100" w:firstLine="241"/>
        <w:rPr>
          <w:rFonts w:hint="eastAsia"/>
          <w:b/>
          <w:lang w:val="en-US"/>
        </w:rPr>
      </w:pPr>
      <w:r>
        <w:rPr>
          <w:b/>
        </w:rPr>
        <w:t>证券代码：</w:t>
      </w:r>
      <w:r>
        <w:rPr>
          <w:rFonts w:ascii="Times New Roman" w:eastAsia="Times New Roman"/>
          <w:b/>
        </w:rPr>
        <w:t>6</w:t>
      </w:r>
      <w:r>
        <w:rPr>
          <w:rFonts w:ascii="Times New Roman" w:hint="eastAsia"/>
          <w:b/>
          <w:lang w:val="en-US"/>
        </w:rPr>
        <w:t>03477</w:t>
      </w:r>
      <w:r>
        <w:rPr>
          <w:rFonts w:ascii="Times New Roman" w:eastAsia="等线"/>
          <w:b/>
        </w:rPr>
        <w:t xml:space="preserve">                             </w:t>
      </w:r>
      <w:r>
        <w:rPr>
          <w:b/>
        </w:rPr>
        <w:t>证券简称：</w:t>
      </w:r>
      <w:r>
        <w:rPr>
          <w:rFonts w:hint="eastAsia"/>
          <w:b/>
          <w:lang w:val="en-US"/>
        </w:rPr>
        <w:t>巨星农牧</w:t>
      </w:r>
    </w:p>
    <w:p w14:paraId="68790492" w14:textId="77777777" w:rsidR="00C21BEF" w:rsidRDefault="00000000">
      <w:pPr>
        <w:pStyle w:val="a3"/>
        <w:spacing w:before="1" w:line="480" w:lineRule="exact"/>
        <w:ind w:left="0" w:right="453" w:firstLineChars="100" w:firstLine="241"/>
        <w:rPr>
          <w:rFonts w:hint="eastAsia"/>
          <w:b/>
          <w:lang w:val="en-US"/>
        </w:rPr>
      </w:pPr>
      <w:r>
        <w:rPr>
          <w:rFonts w:hint="eastAsia"/>
          <w:b/>
          <w:lang w:val="en-US"/>
        </w:rPr>
        <w:t>债券代码：</w:t>
      </w:r>
      <w:r>
        <w:rPr>
          <w:rFonts w:ascii="Times New Roman" w:hint="eastAsia"/>
          <w:b/>
          <w:lang w:val="en-US"/>
        </w:rPr>
        <w:t>113648</w:t>
      </w:r>
      <w:r>
        <w:rPr>
          <w:rFonts w:hint="eastAsia"/>
          <w:b/>
          <w:lang w:val="en-US"/>
        </w:rPr>
        <w:t xml:space="preserve">                             债券简称：巨星转债</w:t>
      </w:r>
    </w:p>
    <w:p w14:paraId="0FE832AB" w14:textId="77777777" w:rsidR="00C21BEF" w:rsidRDefault="00C21BEF">
      <w:pPr>
        <w:pStyle w:val="a3"/>
        <w:spacing w:before="1" w:line="480" w:lineRule="exact"/>
        <w:ind w:left="0" w:right="453"/>
        <w:rPr>
          <w:rFonts w:hint="eastAsia"/>
          <w:b/>
        </w:rPr>
      </w:pPr>
    </w:p>
    <w:p w14:paraId="6D8D412D" w14:textId="77777777" w:rsidR="00C21BEF" w:rsidRDefault="00000000">
      <w:pPr>
        <w:pStyle w:val="a3"/>
        <w:spacing w:before="1" w:line="480" w:lineRule="exact"/>
        <w:ind w:right="453" w:firstLine="479"/>
        <w:jc w:val="center"/>
        <w:rPr>
          <w:rFonts w:hint="eastAsia"/>
          <w:b/>
          <w:bCs/>
          <w:sz w:val="36"/>
          <w:szCs w:val="36"/>
        </w:rPr>
      </w:pPr>
      <w:r>
        <w:rPr>
          <w:rFonts w:hint="eastAsia"/>
          <w:b/>
          <w:bCs/>
          <w:sz w:val="36"/>
          <w:szCs w:val="36"/>
          <w:lang w:val="en-US"/>
        </w:rPr>
        <w:t>乐山巨星农牧</w:t>
      </w:r>
      <w:r>
        <w:rPr>
          <w:b/>
          <w:bCs/>
          <w:sz w:val="36"/>
          <w:szCs w:val="36"/>
        </w:rPr>
        <w:t>股份有限公司</w:t>
      </w:r>
    </w:p>
    <w:p w14:paraId="22A394DF" w14:textId="77777777" w:rsidR="00C21BEF" w:rsidRDefault="00000000">
      <w:pPr>
        <w:pStyle w:val="a3"/>
        <w:spacing w:before="1" w:line="480" w:lineRule="exact"/>
        <w:ind w:right="453" w:firstLine="479"/>
        <w:jc w:val="center"/>
        <w:rPr>
          <w:rFonts w:hint="eastAsia"/>
          <w:b/>
          <w:bCs/>
          <w:sz w:val="36"/>
          <w:szCs w:val="36"/>
        </w:rPr>
      </w:pPr>
      <w:r>
        <w:rPr>
          <w:b/>
          <w:bCs/>
          <w:sz w:val="36"/>
          <w:szCs w:val="36"/>
        </w:rPr>
        <w:t>投资者关系活动记录表</w:t>
      </w:r>
    </w:p>
    <w:p w14:paraId="682830B8" w14:textId="77777777" w:rsidR="00C21BEF" w:rsidRDefault="00C21BEF">
      <w:pPr>
        <w:tabs>
          <w:tab w:val="left" w:pos="6306"/>
        </w:tabs>
        <w:spacing w:before="74" w:line="480" w:lineRule="exact"/>
        <w:rPr>
          <w:rFonts w:eastAsia="等线" w:hint="eastAsia"/>
          <w:b/>
          <w:bCs/>
          <w:sz w:val="21"/>
          <w:szCs w:val="21"/>
        </w:rPr>
      </w:pPr>
    </w:p>
    <w:tbl>
      <w:tblPr>
        <w:tblW w:w="6365"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4A0" w:firstRow="1" w:lastRow="0" w:firstColumn="1" w:lastColumn="0" w:noHBand="0" w:noVBand="1"/>
      </w:tblPr>
      <w:tblGrid>
        <w:gridCol w:w="2565"/>
        <w:gridCol w:w="2532"/>
        <w:gridCol w:w="2663"/>
        <w:gridCol w:w="2775"/>
      </w:tblGrid>
      <w:tr w:rsidR="00C21BEF" w14:paraId="312E949A" w14:textId="77777777">
        <w:trPr>
          <w:trHeight w:val="1161"/>
          <w:jc w:val="center"/>
        </w:trPr>
        <w:tc>
          <w:tcPr>
            <w:tcW w:w="1217" w:type="pct"/>
            <w:tcBorders>
              <w:bottom w:val="single" w:sz="6" w:space="0" w:color="000000"/>
              <w:right w:val="single" w:sz="6" w:space="0" w:color="000000"/>
            </w:tcBorders>
            <w:vAlign w:val="center"/>
          </w:tcPr>
          <w:p w14:paraId="0790969D" w14:textId="77777777" w:rsidR="00C21BEF" w:rsidRDefault="00000000">
            <w:pPr>
              <w:pStyle w:val="TableParagraph"/>
              <w:spacing w:line="480" w:lineRule="exact"/>
              <w:ind w:firstLineChars="100" w:firstLine="221"/>
              <w:rPr>
                <w:rFonts w:hint="eastAsia"/>
                <w:b/>
                <w:bCs/>
              </w:rPr>
            </w:pPr>
            <w:r>
              <w:rPr>
                <w:rFonts w:hint="eastAsia"/>
                <w:b/>
                <w:bCs/>
              </w:rPr>
              <w:t>投资者关系活动类别</w:t>
            </w:r>
          </w:p>
        </w:tc>
        <w:tc>
          <w:tcPr>
            <w:tcW w:w="1201" w:type="pct"/>
            <w:tcBorders>
              <w:left w:val="single" w:sz="6" w:space="0" w:color="000000"/>
              <w:bottom w:val="single" w:sz="6" w:space="0" w:color="000000"/>
              <w:right w:val="nil"/>
            </w:tcBorders>
          </w:tcPr>
          <w:p w14:paraId="654753DA" w14:textId="77777777" w:rsidR="00C21BEF" w:rsidRDefault="00000000">
            <w:pPr>
              <w:pStyle w:val="TableParagraph"/>
              <w:spacing w:line="480" w:lineRule="exact"/>
              <w:rPr>
                <w:rFonts w:hint="eastAsia"/>
              </w:rPr>
            </w:pPr>
            <w:r>
              <w:t xml:space="preserve">□特定对象调研 </w:t>
            </w:r>
          </w:p>
          <w:p w14:paraId="5578A4EA" w14:textId="77777777" w:rsidR="00C21BEF" w:rsidRDefault="00000000">
            <w:pPr>
              <w:pStyle w:val="TableParagraph"/>
              <w:spacing w:line="480" w:lineRule="exact"/>
              <w:rPr>
                <w:rFonts w:hint="eastAsia"/>
              </w:rPr>
            </w:pPr>
            <w:r>
              <w:sym w:font="Wingdings 2" w:char="0052"/>
            </w:r>
            <w:r>
              <w:t xml:space="preserve">业绩说明会 </w:t>
            </w:r>
          </w:p>
          <w:p w14:paraId="1E70725D" w14:textId="77777777" w:rsidR="00C21BEF" w:rsidRDefault="00000000">
            <w:pPr>
              <w:pStyle w:val="TableParagraph"/>
              <w:spacing w:line="480" w:lineRule="exact"/>
              <w:rPr>
                <w:rFonts w:hint="eastAsia"/>
              </w:rPr>
            </w:pPr>
            <w:r>
              <w:sym w:font="Wingdings 2" w:char="00A3"/>
            </w:r>
            <w:r>
              <w:t xml:space="preserve">现场参观 </w:t>
            </w:r>
          </w:p>
        </w:tc>
        <w:tc>
          <w:tcPr>
            <w:tcW w:w="1264" w:type="pct"/>
            <w:tcBorders>
              <w:left w:val="nil"/>
              <w:bottom w:val="single" w:sz="6" w:space="0" w:color="000000"/>
              <w:right w:val="nil"/>
            </w:tcBorders>
          </w:tcPr>
          <w:p w14:paraId="346786E0" w14:textId="77777777" w:rsidR="00C21BEF" w:rsidRDefault="00000000">
            <w:pPr>
              <w:pStyle w:val="TableParagraph"/>
              <w:spacing w:line="480" w:lineRule="exact"/>
              <w:rPr>
                <w:rFonts w:hint="eastAsia"/>
              </w:rPr>
            </w:pPr>
            <w:r>
              <w:sym w:font="Wingdings 2" w:char="0052"/>
            </w:r>
            <w:r>
              <w:t xml:space="preserve">分析师会议 </w:t>
            </w:r>
          </w:p>
          <w:p w14:paraId="68E71A69" w14:textId="77777777" w:rsidR="00C21BEF" w:rsidRDefault="00000000">
            <w:pPr>
              <w:pStyle w:val="TableParagraph"/>
              <w:spacing w:line="480" w:lineRule="exact"/>
              <w:rPr>
                <w:rFonts w:hint="eastAsia"/>
              </w:rPr>
            </w:pPr>
            <w:r>
              <w:t xml:space="preserve">□新闻发布会 </w:t>
            </w:r>
          </w:p>
          <w:p w14:paraId="5DAA253D" w14:textId="77777777" w:rsidR="00C21BEF" w:rsidRDefault="00000000">
            <w:pPr>
              <w:pStyle w:val="TableParagraph"/>
              <w:spacing w:line="480" w:lineRule="exact"/>
              <w:rPr>
                <w:rFonts w:hint="eastAsia"/>
                <w:lang w:val="en-US"/>
              </w:rPr>
            </w:pPr>
            <w:r>
              <w:sym w:font="Wingdings 2" w:char="0052"/>
            </w:r>
            <w:r>
              <w:t>其他</w:t>
            </w:r>
            <w:r>
              <w:rPr>
                <w:rFonts w:hint="eastAsia"/>
              </w:rPr>
              <w:t>（</w:t>
            </w:r>
            <w:r>
              <w:rPr>
                <w:rFonts w:hint="eastAsia"/>
                <w:lang w:val="en-US"/>
              </w:rPr>
              <w:t>电话会议/2024年报业绩交流会</w:t>
            </w:r>
            <w:r>
              <w:rPr>
                <w:rFonts w:hint="eastAsia"/>
              </w:rPr>
              <w:t>）</w:t>
            </w:r>
            <w:r>
              <w:rPr>
                <w:rFonts w:hint="eastAsia"/>
                <w:lang w:val="en-US"/>
              </w:rPr>
              <w:t xml:space="preserve">       </w:t>
            </w:r>
          </w:p>
        </w:tc>
        <w:tc>
          <w:tcPr>
            <w:tcW w:w="1317" w:type="pct"/>
            <w:tcBorders>
              <w:left w:val="nil"/>
              <w:bottom w:val="single" w:sz="6" w:space="0" w:color="000000"/>
            </w:tcBorders>
          </w:tcPr>
          <w:p w14:paraId="6459BA76" w14:textId="77777777" w:rsidR="00C21BEF" w:rsidRDefault="00000000">
            <w:pPr>
              <w:pStyle w:val="TableParagraph"/>
              <w:spacing w:line="480" w:lineRule="exact"/>
              <w:rPr>
                <w:rFonts w:hint="eastAsia"/>
              </w:rPr>
            </w:pPr>
            <w:r>
              <w:sym w:font="Wingdings 2" w:char="00A3"/>
            </w:r>
            <w:r>
              <w:t>媒</w:t>
            </w:r>
            <w:r>
              <w:rPr>
                <w:rFonts w:hint="eastAsia"/>
              </w:rPr>
              <w:t>体采访</w:t>
            </w:r>
          </w:p>
          <w:p w14:paraId="07BF97A9" w14:textId="77777777" w:rsidR="00C21BEF" w:rsidRDefault="00000000">
            <w:pPr>
              <w:pStyle w:val="TableParagraph"/>
              <w:spacing w:line="480" w:lineRule="exact"/>
              <w:rPr>
                <w:rFonts w:hint="eastAsia"/>
                <w:lang w:val="en-US"/>
              </w:rPr>
            </w:pPr>
            <w:r>
              <w:sym w:font="Wingdings 2" w:char="00A3"/>
            </w:r>
            <w:r>
              <w:t>路</w:t>
            </w:r>
            <w:r>
              <w:rPr>
                <w:rFonts w:hint="eastAsia"/>
              </w:rPr>
              <w:t>演</w:t>
            </w:r>
            <w:r>
              <w:t xml:space="preserve">活动 </w:t>
            </w:r>
          </w:p>
          <w:p w14:paraId="75474706" w14:textId="77777777" w:rsidR="00C21BEF" w:rsidRDefault="00C21BEF">
            <w:pPr>
              <w:pStyle w:val="TableParagraph"/>
              <w:spacing w:line="480" w:lineRule="exact"/>
              <w:rPr>
                <w:rFonts w:hint="eastAsia"/>
              </w:rPr>
            </w:pPr>
          </w:p>
        </w:tc>
      </w:tr>
      <w:tr w:rsidR="00C21BEF" w14:paraId="1B2D057F" w14:textId="77777777">
        <w:trPr>
          <w:trHeight w:val="748"/>
          <w:jc w:val="center"/>
        </w:trPr>
        <w:tc>
          <w:tcPr>
            <w:tcW w:w="1217" w:type="pct"/>
            <w:tcBorders>
              <w:top w:val="single" w:sz="6" w:space="0" w:color="000000"/>
              <w:bottom w:val="single" w:sz="6" w:space="0" w:color="000000"/>
              <w:right w:val="single" w:sz="6" w:space="0" w:color="000000"/>
            </w:tcBorders>
            <w:vAlign w:val="center"/>
          </w:tcPr>
          <w:p w14:paraId="0770B8F8" w14:textId="77777777" w:rsidR="00C21BEF" w:rsidRDefault="00000000">
            <w:pPr>
              <w:pStyle w:val="TableParagraph"/>
              <w:spacing w:line="480" w:lineRule="exact"/>
              <w:ind w:firstLineChars="100" w:firstLine="221"/>
              <w:rPr>
                <w:rFonts w:hint="eastAsia"/>
                <w:b/>
                <w:bCs/>
              </w:rPr>
            </w:pPr>
            <w:r>
              <w:rPr>
                <w:rFonts w:hint="eastAsia"/>
                <w:b/>
                <w:bCs/>
              </w:rPr>
              <w:t>参与单位</w:t>
            </w:r>
          </w:p>
        </w:tc>
        <w:tc>
          <w:tcPr>
            <w:tcW w:w="3782" w:type="pct"/>
            <w:gridSpan w:val="3"/>
            <w:tcBorders>
              <w:top w:val="single" w:sz="6" w:space="0" w:color="000000"/>
              <w:left w:val="single" w:sz="6" w:space="0" w:color="000000"/>
              <w:bottom w:val="single" w:sz="6" w:space="0" w:color="000000"/>
            </w:tcBorders>
            <w:vAlign w:val="center"/>
          </w:tcPr>
          <w:p w14:paraId="7ECECAFA" w14:textId="77777777" w:rsidR="00C21BEF" w:rsidRDefault="00000000">
            <w:pPr>
              <w:pStyle w:val="TableParagraph"/>
              <w:spacing w:line="480" w:lineRule="exact"/>
              <w:jc w:val="both"/>
              <w:rPr>
                <w:rFonts w:hint="eastAsia"/>
                <w:lang w:val="en-US"/>
              </w:rPr>
            </w:pPr>
            <w:r>
              <w:rPr>
                <w:rFonts w:hint="eastAsia"/>
                <w:lang w:val="en-US"/>
              </w:rPr>
              <w:t>中信证券、中金公司、华泰证券、长江证券、开源证券、申万宏源、国泰君安、海通证券、广发证券、国联民生、天风证券、华鑫证券、国海证券、浙商证券、招商证券、兴业证券、华福证券、国金证券、方正证券、华西证券、甬兴证券、中航证券、西部证券、国投证券、国盛证券、华安证券、华创证券、华夏证券、泰康资产、泰康基金、天弘基金、长江投资、财通基金、鼎锋资产、昭云投资、汇杰达理资本、光大永明资产、盛赢投资、鸿运私募、杭州城投资本、大成基金、苏新基金、万方私募、玄卜投资、诚盛投资、传家堡资产、肇万资产、中意资产、金鹰基金、瑞华投资、太平洋资管、聂丰私募、旌安私募、胤胜资产、富国基金、路博迈基金、华泰保兴基金、富兰克林邓普顿投资、翰聚私募、光大保德信基金、深积资产、深圳中天汇富基金、神农集团、Atlantis Investment Management Limited、Cephei Capital Management (Hong Kong) Limited</w:t>
            </w:r>
          </w:p>
          <w:p w14:paraId="467B9DF8" w14:textId="77777777" w:rsidR="00C21BEF" w:rsidRDefault="00000000">
            <w:pPr>
              <w:pStyle w:val="TableParagraph"/>
              <w:spacing w:line="480" w:lineRule="exact"/>
              <w:jc w:val="both"/>
              <w:rPr>
                <w:rFonts w:hint="eastAsia"/>
                <w:lang w:val="en-US"/>
              </w:rPr>
            </w:pPr>
            <w:r>
              <w:rPr>
                <w:rFonts w:hint="eastAsia"/>
                <w:lang w:val="en-US"/>
              </w:rPr>
              <w:t>（以上排名不分先后）</w:t>
            </w:r>
          </w:p>
          <w:p w14:paraId="73489EA3" w14:textId="77777777" w:rsidR="00C21BEF" w:rsidRDefault="00000000">
            <w:pPr>
              <w:pStyle w:val="TableParagraph"/>
              <w:spacing w:line="480" w:lineRule="exact"/>
              <w:jc w:val="both"/>
              <w:rPr>
                <w:rFonts w:hint="eastAsia"/>
                <w:b/>
                <w:bCs/>
                <w:lang w:val="en-US"/>
              </w:rPr>
            </w:pPr>
            <w:r>
              <w:rPr>
                <w:rFonts w:hint="eastAsia"/>
                <w:b/>
                <w:bCs/>
                <w:lang w:val="en-US"/>
              </w:rPr>
              <w:t>重要提示：参与单位由组织机构整理提供，鉴于参与单位数量较多，公司无法</w:t>
            </w:r>
          </w:p>
          <w:p w14:paraId="10DC391F" w14:textId="77777777" w:rsidR="00C21BEF" w:rsidRDefault="00000000">
            <w:pPr>
              <w:pStyle w:val="TableParagraph"/>
              <w:spacing w:line="480" w:lineRule="exact"/>
              <w:jc w:val="both"/>
              <w:rPr>
                <w:rFonts w:hint="eastAsia"/>
                <w:lang w:val="en-US"/>
              </w:rPr>
            </w:pPr>
            <w:r>
              <w:rPr>
                <w:rFonts w:hint="eastAsia"/>
                <w:b/>
                <w:bCs/>
                <w:lang w:val="en-US"/>
              </w:rPr>
              <w:t>完全保证参与单位的完整性、准确性，敬请投资者特别注意。</w:t>
            </w:r>
          </w:p>
        </w:tc>
      </w:tr>
      <w:tr w:rsidR="00C21BEF" w14:paraId="7BBCFE15" w14:textId="77777777">
        <w:trPr>
          <w:trHeight w:val="748"/>
          <w:jc w:val="center"/>
        </w:trPr>
        <w:tc>
          <w:tcPr>
            <w:tcW w:w="1217" w:type="pct"/>
            <w:tcBorders>
              <w:top w:val="single" w:sz="6" w:space="0" w:color="000000"/>
              <w:bottom w:val="single" w:sz="6" w:space="0" w:color="000000"/>
              <w:right w:val="single" w:sz="6" w:space="0" w:color="000000"/>
            </w:tcBorders>
            <w:vAlign w:val="center"/>
          </w:tcPr>
          <w:p w14:paraId="1BAD2C5F" w14:textId="77777777" w:rsidR="00C21BEF" w:rsidRDefault="00000000">
            <w:pPr>
              <w:pStyle w:val="TableParagraph"/>
              <w:spacing w:line="480" w:lineRule="exact"/>
              <w:ind w:firstLineChars="100" w:firstLine="221"/>
              <w:rPr>
                <w:rFonts w:hint="eastAsia"/>
                <w:b/>
                <w:bCs/>
              </w:rPr>
            </w:pPr>
            <w:r>
              <w:rPr>
                <w:rFonts w:hint="eastAsia"/>
                <w:b/>
                <w:bCs/>
              </w:rPr>
              <w:t>时间</w:t>
            </w:r>
          </w:p>
        </w:tc>
        <w:tc>
          <w:tcPr>
            <w:tcW w:w="3782" w:type="pct"/>
            <w:gridSpan w:val="3"/>
            <w:tcBorders>
              <w:top w:val="single" w:sz="6" w:space="0" w:color="000000"/>
              <w:left w:val="single" w:sz="6" w:space="0" w:color="000000"/>
              <w:bottom w:val="single" w:sz="6" w:space="0" w:color="000000"/>
            </w:tcBorders>
            <w:vAlign w:val="center"/>
          </w:tcPr>
          <w:p w14:paraId="50FFA0B8" w14:textId="77777777" w:rsidR="00C21BEF" w:rsidRDefault="00000000">
            <w:pPr>
              <w:pStyle w:val="TableParagraph"/>
              <w:spacing w:line="480" w:lineRule="exact"/>
              <w:rPr>
                <w:rFonts w:hint="eastAsia"/>
                <w:lang w:val="en-US"/>
              </w:rPr>
            </w:pPr>
            <w:r>
              <w:rPr>
                <w:rFonts w:hint="eastAsia"/>
                <w:lang w:val="en-US"/>
              </w:rPr>
              <w:t>2025年3月24日</w:t>
            </w:r>
          </w:p>
        </w:tc>
      </w:tr>
      <w:tr w:rsidR="00C21BEF" w14:paraId="3905EADC" w14:textId="77777777">
        <w:trPr>
          <w:trHeight w:val="705"/>
          <w:jc w:val="center"/>
        </w:trPr>
        <w:tc>
          <w:tcPr>
            <w:tcW w:w="1217" w:type="pct"/>
            <w:tcBorders>
              <w:top w:val="single" w:sz="6" w:space="0" w:color="000000"/>
              <w:bottom w:val="single" w:sz="6" w:space="0" w:color="000000"/>
              <w:right w:val="single" w:sz="6" w:space="0" w:color="000000"/>
            </w:tcBorders>
            <w:vAlign w:val="center"/>
          </w:tcPr>
          <w:p w14:paraId="218C7E7B" w14:textId="77777777" w:rsidR="00C21BEF" w:rsidRDefault="00000000">
            <w:pPr>
              <w:pStyle w:val="TableParagraph"/>
              <w:spacing w:line="480" w:lineRule="exact"/>
              <w:ind w:firstLineChars="100" w:firstLine="221"/>
              <w:rPr>
                <w:rFonts w:hint="eastAsia"/>
                <w:b/>
                <w:bCs/>
              </w:rPr>
            </w:pPr>
            <w:r>
              <w:rPr>
                <w:rFonts w:hint="eastAsia"/>
                <w:b/>
                <w:bCs/>
              </w:rPr>
              <w:t>地点</w:t>
            </w:r>
          </w:p>
        </w:tc>
        <w:tc>
          <w:tcPr>
            <w:tcW w:w="3782" w:type="pct"/>
            <w:gridSpan w:val="3"/>
            <w:tcBorders>
              <w:top w:val="single" w:sz="6" w:space="0" w:color="000000"/>
              <w:left w:val="single" w:sz="6" w:space="0" w:color="000000"/>
              <w:bottom w:val="single" w:sz="6" w:space="0" w:color="000000"/>
            </w:tcBorders>
            <w:vAlign w:val="center"/>
          </w:tcPr>
          <w:p w14:paraId="1A0E40D2" w14:textId="77777777" w:rsidR="00C21BEF" w:rsidRDefault="00000000">
            <w:pPr>
              <w:pStyle w:val="TableParagraph"/>
              <w:spacing w:line="480" w:lineRule="exact"/>
              <w:rPr>
                <w:rFonts w:hint="eastAsia"/>
                <w:lang w:val="en-US"/>
              </w:rPr>
            </w:pPr>
            <w:r>
              <w:rPr>
                <w:rFonts w:hint="eastAsia"/>
                <w:lang w:val="en-US"/>
              </w:rPr>
              <w:t>成都·公司总部会议室（电话会议）</w:t>
            </w:r>
          </w:p>
        </w:tc>
      </w:tr>
      <w:tr w:rsidR="00C21BEF" w14:paraId="7C36F43C" w14:textId="77777777">
        <w:trPr>
          <w:trHeight w:val="832"/>
          <w:jc w:val="center"/>
        </w:trPr>
        <w:tc>
          <w:tcPr>
            <w:tcW w:w="1217" w:type="pct"/>
            <w:tcBorders>
              <w:top w:val="single" w:sz="6" w:space="0" w:color="000000"/>
              <w:bottom w:val="single" w:sz="6" w:space="0" w:color="000000"/>
              <w:right w:val="single" w:sz="6" w:space="0" w:color="000000"/>
            </w:tcBorders>
            <w:vAlign w:val="center"/>
          </w:tcPr>
          <w:p w14:paraId="4FB40B71" w14:textId="77777777" w:rsidR="00C21BEF" w:rsidRDefault="00000000">
            <w:pPr>
              <w:pStyle w:val="TableParagraph"/>
              <w:spacing w:line="480" w:lineRule="exact"/>
              <w:ind w:firstLineChars="100" w:firstLine="221"/>
              <w:rPr>
                <w:rFonts w:hint="eastAsia"/>
                <w:b/>
                <w:bCs/>
              </w:rPr>
            </w:pPr>
            <w:r>
              <w:rPr>
                <w:rFonts w:hint="eastAsia"/>
                <w:b/>
                <w:bCs/>
                <w:lang w:val="en-US"/>
              </w:rPr>
              <w:lastRenderedPageBreak/>
              <w:t>上市</w:t>
            </w:r>
            <w:r>
              <w:rPr>
                <w:rFonts w:hint="eastAsia"/>
                <w:b/>
                <w:bCs/>
              </w:rPr>
              <w:t>公司</w:t>
            </w:r>
          </w:p>
          <w:p w14:paraId="34BD383F" w14:textId="77777777" w:rsidR="00C21BEF" w:rsidRDefault="00000000">
            <w:pPr>
              <w:pStyle w:val="TableParagraph"/>
              <w:spacing w:line="480" w:lineRule="exact"/>
              <w:ind w:firstLineChars="100" w:firstLine="221"/>
              <w:rPr>
                <w:rFonts w:hint="eastAsia"/>
                <w:b/>
                <w:bCs/>
              </w:rPr>
            </w:pPr>
            <w:r>
              <w:rPr>
                <w:rFonts w:hint="eastAsia"/>
                <w:b/>
                <w:bCs/>
              </w:rPr>
              <w:t>接待人员姓名</w:t>
            </w:r>
          </w:p>
        </w:tc>
        <w:tc>
          <w:tcPr>
            <w:tcW w:w="3782" w:type="pct"/>
            <w:gridSpan w:val="3"/>
            <w:tcBorders>
              <w:top w:val="single" w:sz="6" w:space="0" w:color="000000"/>
              <w:left w:val="single" w:sz="6" w:space="0" w:color="000000"/>
              <w:bottom w:val="single" w:sz="6" w:space="0" w:color="000000"/>
            </w:tcBorders>
            <w:vAlign w:val="center"/>
          </w:tcPr>
          <w:p w14:paraId="2EF6647F" w14:textId="77777777" w:rsidR="00C21BEF" w:rsidRDefault="00000000">
            <w:pPr>
              <w:pStyle w:val="TableParagraph"/>
              <w:spacing w:line="480" w:lineRule="exact"/>
              <w:ind w:right="227"/>
              <w:rPr>
                <w:rFonts w:hint="eastAsia"/>
                <w:lang w:val="en-US"/>
              </w:rPr>
            </w:pPr>
            <w:r>
              <w:rPr>
                <w:rFonts w:hint="eastAsia"/>
              </w:rPr>
              <w:t>董事会秘书：</w:t>
            </w:r>
            <w:r>
              <w:rPr>
                <w:rFonts w:hint="eastAsia"/>
                <w:lang w:val="en-US"/>
              </w:rPr>
              <w:t>张耕</w:t>
            </w:r>
          </w:p>
          <w:p w14:paraId="6C9B3DBC" w14:textId="77777777" w:rsidR="00C21BEF" w:rsidRDefault="00000000">
            <w:pPr>
              <w:pStyle w:val="TableParagraph"/>
              <w:spacing w:line="480" w:lineRule="exact"/>
              <w:ind w:right="227"/>
              <w:rPr>
                <w:rFonts w:hint="eastAsia"/>
                <w:lang w:val="en-US"/>
              </w:rPr>
            </w:pPr>
            <w:r>
              <w:rPr>
                <w:rFonts w:hint="eastAsia"/>
                <w:lang w:val="en-US"/>
              </w:rPr>
              <w:t>副总经理：徐成聪</w:t>
            </w:r>
          </w:p>
          <w:p w14:paraId="1B2E1327" w14:textId="77777777" w:rsidR="00C21BEF" w:rsidRDefault="00000000">
            <w:pPr>
              <w:pStyle w:val="TableParagraph"/>
              <w:spacing w:line="480" w:lineRule="exact"/>
              <w:ind w:right="227"/>
              <w:rPr>
                <w:rFonts w:hint="eastAsia"/>
                <w:lang w:val="en-US"/>
              </w:rPr>
            </w:pPr>
            <w:r>
              <w:rPr>
                <w:rFonts w:hint="eastAsia"/>
              </w:rPr>
              <w:t>财务</w:t>
            </w:r>
            <w:r>
              <w:rPr>
                <w:rFonts w:hint="eastAsia"/>
                <w:lang w:val="en-US"/>
              </w:rPr>
              <w:t>总监</w:t>
            </w:r>
            <w:r>
              <w:rPr>
                <w:rFonts w:hint="eastAsia"/>
              </w:rPr>
              <w:t>：</w:t>
            </w:r>
            <w:r>
              <w:rPr>
                <w:rFonts w:hint="eastAsia"/>
                <w:lang w:val="en-US"/>
              </w:rPr>
              <w:t>陈丽青</w:t>
            </w:r>
          </w:p>
          <w:p w14:paraId="721FEB6A" w14:textId="77777777" w:rsidR="00C21BEF" w:rsidRDefault="00000000">
            <w:pPr>
              <w:pStyle w:val="TableParagraph"/>
              <w:spacing w:line="480" w:lineRule="exact"/>
              <w:ind w:right="227"/>
              <w:rPr>
                <w:rFonts w:hint="eastAsia"/>
                <w:lang w:val="en-US"/>
              </w:rPr>
            </w:pPr>
            <w:r>
              <w:rPr>
                <w:rFonts w:hint="eastAsia"/>
                <w:lang w:val="en-US"/>
              </w:rPr>
              <w:t>证券事务代表：张诗琪</w:t>
            </w:r>
          </w:p>
        </w:tc>
      </w:tr>
      <w:tr w:rsidR="00C21BEF" w14:paraId="0E0E64C6" w14:textId="77777777">
        <w:trPr>
          <w:trHeight w:val="569"/>
          <w:jc w:val="center"/>
        </w:trPr>
        <w:tc>
          <w:tcPr>
            <w:tcW w:w="1217" w:type="pct"/>
            <w:tcBorders>
              <w:top w:val="single" w:sz="6" w:space="0" w:color="000000"/>
              <w:bottom w:val="single" w:sz="6" w:space="0" w:color="000000"/>
              <w:right w:val="single" w:sz="6" w:space="0" w:color="000000"/>
            </w:tcBorders>
            <w:vAlign w:val="center"/>
          </w:tcPr>
          <w:p w14:paraId="54B1331F" w14:textId="77777777" w:rsidR="00C21BEF" w:rsidRDefault="00000000">
            <w:pPr>
              <w:pStyle w:val="TableParagraph"/>
              <w:spacing w:line="480" w:lineRule="exact"/>
              <w:rPr>
                <w:rFonts w:hint="eastAsia"/>
                <w:b/>
                <w:bCs/>
              </w:rPr>
            </w:pPr>
            <w:r>
              <w:rPr>
                <w:rFonts w:hint="eastAsia"/>
                <w:b/>
                <w:bCs/>
                <w:lang w:val="en-US"/>
              </w:rPr>
              <w:t xml:space="preserve">  </w:t>
            </w:r>
            <w:r>
              <w:rPr>
                <w:rFonts w:hint="eastAsia"/>
                <w:b/>
                <w:bCs/>
              </w:rPr>
              <w:t>投资者关系活动</w:t>
            </w:r>
          </w:p>
          <w:p w14:paraId="47F32A3C" w14:textId="77777777" w:rsidR="00C21BEF" w:rsidRDefault="00000000">
            <w:pPr>
              <w:pStyle w:val="TableParagraph"/>
              <w:spacing w:line="480" w:lineRule="exact"/>
              <w:ind w:firstLineChars="100" w:firstLine="221"/>
              <w:rPr>
                <w:rFonts w:hint="eastAsia"/>
                <w:b/>
                <w:bCs/>
              </w:rPr>
            </w:pPr>
            <w:r>
              <w:rPr>
                <w:rFonts w:hint="eastAsia"/>
                <w:b/>
                <w:bCs/>
              </w:rPr>
              <w:t>主要内容介绍</w:t>
            </w:r>
          </w:p>
        </w:tc>
        <w:tc>
          <w:tcPr>
            <w:tcW w:w="3782" w:type="pct"/>
            <w:gridSpan w:val="3"/>
            <w:tcBorders>
              <w:top w:val="single" w:sz="6" w:space="0" w:color="000000"/>
              <w:left w:val="single" w:sz="6" w:space="0" w:color="000000"/>
              <w:bottom w:val="single" w:sz="6" w:space="0" w:color="000000"/>
            </w:tcBorders>
            <w:vAlign w:val="center"/>
          </w:tcPr>
          <w:p w14:paraId="42E4CF37" w14:textId="77777777" w:rsidR="00C21BEF" w:rsidRDefault="00000000">
            <w:pPr>
              <w:spacing w:line="520" w:lineRule="exact"/>
              <w:jc w:val="both"/>
              <w:rPr>
                <w:rFonts w:hint="eastAsia"/>
                <w:b/>
                <w:bCs/>
                <w:lang w:val="en-US"/>
              </w:rPr>
            </w:pPr>
            <w:bookmarkStart w:id="0" w:name="7182-1592134663918"/>
            <w:bookmarkEnd w:id="0"/>
            <w:r>
              <w:rPr>
                <w:rFonts w:hint="eastAsia"/>
                <w:b/>
                <w:bCs/>
                <w:lang w:val="en-US"/>
              </w:rPr>
              <w:t>会议交流主要内容</w:t>
            </w:r>
          </w:p>
          <w:p w14:paraId="70629192" w14:textId="77777777" w:rsidR="00C21BEF" w:rsidRDefault="00000000">
            <w:pPr>
              <w:spacing w:line="520" w:lineRule="exact"/>
              <w:jc w:val="both"/>
              <w:rPr>
                <w:rFonts w:hint="eastAsia"/>
                <w:b/>
                <w:bCs/>
                <w:lang w:val="en-US"/>
              </w:rPr>
            </w:pPr>
            <w:r>
              <w:rPr>
                <w:rFonts w:hint="eastAsia"/>
                <w:b/>
                <w:bCs/>
                <w:lang w:val="en-US"/>
              </w:rPr>
              <w:t>一、公司业绩回顾与发展展望</w:t>
            </w:r>
          </w:p>
          <w:p w14:paraId="71944763" w14:textId="77777777" w:rsidR="00C21BEF" w:rsidRDefault="00000000">
            <w:pPr>
              <w:spacing w:line="520" w:lineRule="exact"/>
              <w:jc w:val="both"/>
              <w:rPr>
                <w:rFonts w:hint="eastAsia"/>
                <w:b/>
                <w:bCs/>
                <w:lang w:val="en-US"/>
              </w:rPr>
            </w:pPr>
            <w:r>
              <w:rPr>
                <w:rFonts w:hint="eastAsia"/>
                <w:b/>
                <w:bCs/>
                <w:lang w:val="en-US"/>
              </w:rPr>
              <w:t>1、业绩回顾</w:t>
            </w:r>
          </w:p>
          <w:p w14:paraId="26E98304" w14:textId="77777777" w:rsidR="00C21BEF" w:rsidRDefault="00000000">
            <w:pPr>
              <w:spacing w:line="520" w:lineRule="exact"/>
              <w:ind w:firstLineChars="200" w:firstLine="440"/>
              <w:jc w:val="both"/>
              <w:rPr>
                <w:rFonts w:hint="eastAsia"/>
                <w:lang w:val="en-US"/>
              </w:rPr>
            </w:pPr>
            <w:r>
              <w:rPr>
                <w:rFonts w:hint="eastAsia"/>
                <w:lang w:val="en-US"/>
              </w:rPr>
              <w:t>2024年度，公司营业收入60.78亿元，同比增长50.43%，实现归母净利润5.19亿元，同比增长180.36%。2024年度，公司生猪出栏量达275.52万头，其中商品猪出栏268.38万头，较上年同比增加50.76%。</w:t>
            </w:r>
          </w:p>
          <w:p w14:paraId="6857D961" w14:textId="77777777" w:rsidR="00C21BEF" w:rsidRDefault="00000000">
            <w:pPr>
              <w:spacing w:line="520" w:lineRule="exact"/>
              <w:jc w:val="both"/>
              <w:rPr>
                <w:rFonts w:hint="eastAsia"/>
                <w:b/>
                <w:bCs/>
                <w:lang w:val="en-US"/>
              </w:rPr>
            </w:pPr>
            <w:r>
              <w:rPr>
                <w:rFonts w:hint="eastAsia"/>
                <w:b/>
                <w:bCs/>
                <w:lang w:val="en-US"/>
              </w:rPr>
              <w:t>2、发展展望</w:t>
            </w:r>
          </w:p>
          <w:p w14:paraId="2A494935" w14:textId="77777777" w:rsidR="00C21BEF" w:rsidRDefault="00000000">
            <w:pPr>
              <w:spacing w:line="520" w:lineRule="exact"/>
              <w:ind w:firstLineChars="200" w:firstLine="440"/>
              <w:jc w:val="both"/>
              <w:rPr>
                <w:rFonts w:hint="eastAsia"/>
                <w:lang w:val="en-US"/>
              </w:rPr>
            </w:pPr>
            <w:r>
              <w:rPr>
                <w:rFonts w:hint="eastAsia"/>
                <w:lang w:val="en-US"/>
              </w:rPr>
              <w:t>公司持续聚焦生猪养殖业务主航道，在安全经营的同时保持高质量发展，在财务安全的前提下实现规模稳健增长，坚持多种形式的轻资产为主的高质量种场发展模式和高质量寄养为主的育肥发展模式，在持续提高养殖效率和降低养殖成本基础上有序推进项目的投资、建设，以价值区域布局产能和开展投资为导向，整合优质产能资源和提高产能利用率，继续持续保持成本管控领先水平，实现公司规模持续增长和高质量发展。2025年，公司规划的商品猪出栏目标为400万头以上，公司规划的商品猪完全成本目标为6.5元/斤以内。</w:t>
            </w:r>
          </w:p>
          <w:p w14:paraId="1CAE917C" w14:textId="77777777" w:rsidR="00C21BEF" w:rsidRDefault="00C21BEF">
            <w:pPr>
              <w:spacing w:line="520" w:lineRule="exact"/>
              <w:jc w:val="both"/>
              <w:rPr>
                <w:rFonts w:hint="eastAsia"/>
                <w:lang w:val="en-US"/>
              </w:rPr>
            </w:pPr>
          </w:p>
          <w:p w14:paraId="19174C4C" w14:textId="77777777" w:rsidR="00C21BEF" w:rsidRDefault="00000000">
            <w:pPr>
              <w:spacing w:line="520" w:lineRule="exact"/>
              <w:jc w:val="both"/>
              <w:rPr>
                <w:rFonts w:hint="eastAsia"/>
                <w:b/>
                <w:bCs/>
                <w:lang w:val="en-US"/>
              </w:rPr>
            </w:pPr>
            <w:r>
              <w:rPr>
                <w:rFonts w:hint="eastAsia"/>
                <w:b/>
                <w:bCs/>
                <w:lang w:val="en-US"/>
              </w:rPr>
              <w:t>二、公司生猪养殖生产指标情况？</w:t>
            </w:r>
          </w:p>
          <w:p w14:paraId="62BD8E44" w14:textId="77777777" w:rsidR="00C21BEF" w:rsidRDefault="00000000">
            <w:pPr>
              <w:spacing w:line="520" w:lineRule="exact"/>
              <w:ind w:firstLineChars="200" w:firstLine="440"/>
              <w:jc w:val="both"/>
              <w:rPr>
                <w:rFonts w:hint="eastAsia"/>
                <w:lang w:val="en-US"/>
              </w:rPr>
            </w:pPr>
            <w:r>
              <w:rPr>
                <w:rFonts w:hint="eastAsia"/>
                <w:lang w:val="en-US"/>
              </w:rPr>
              <w:t>2024年，公司生猪养殖业务的全年平均PSY超过28.5头、全年平均料肉比2.57。</w:t>
            </w:r>
          </w:p>
          <w:p w14:paraId="4D1DEB59" w14:textId="77777777" w:rsidR="00C21BEF" w:rsidRDefault="00C21BEF">
            <w:pPr>
              <w:spacing w:line="520" w:lineRule="exact"/>
              <w:jc w:val="both"/>
              <w:rPr>
                <w:rFonts w:hint="eastAsia"/>
                <w:b/>
                <w:bCs/>
                <w:lang w:val="en-US"/>
              </w:rPr>
            </w:pPr>
          </w:p>
          <w:p w14:paraId="6F9C20E7" w14:textId="77777777" w:rsidR="00C21BEF" w:rsidRDefault="00000000">
            <w:pPr>
              <w:spacing w:line="520" w:lineRule="exact"/>
              <w:jc w:val="both"/>
              <w:rPr>
                <w:rFonts w:hint="eastAsia"/>
                <w:b/>
                <w:bCs/>
                <w:lang w:val="en-US"/>
              </w:rPr>
            </w:pPr>
            <w:r>
              <w:rPr>
                <w:rFonts w:hint="eastAsia"/>
                <w:b/>
                <w:bCs/>
                <w:lang w:val="en-US"/>
              </w:rPr>
              <w:t>三、公司生猪养殖业务模式？</w:t>
            </w:r>
          </w:p>
          <w:p w14:paraId="5DFD550D" w14:textId="77777777" w:rsidR="00C21BEF" w:rsidRDefault="00000000">
            <w:pPr>
              <w:spacing w:line="520" w:lineRule="exact"/>
              <w:ind w:firstLineChars="200" w:firstLine="440"/>
              <w:jc w:val="both"/>
              <w:rPr>
                <w:rFonts w:hint="eastAsia"/>
                <w:lang w:val="en-US"/>
              </w:rPr>
            </w:pPr>
            <w:r>
              <w:rPr>
                <w:lang w:val="en-US"/>
              </w:rPr>
              <w:t>公司养殖业务采用紧密型“公司+农户”模式和一体化自主养殖两种模式，在生猪育肥环节主要采用紧密型“公司+农户”模式，今年以来逐步扩大紧密型“公司+农户”的养殖规模，</w:t>
            </w:r>
            <w:r>
              <w:rPr>
                <w:rFonts w:hint="eastAsia"/>
                <w:lang w:val="en-US"/>
              </w:rPr>
              <w:t>2024年末</w:t>
            </w:r>
            <w:r>
              <w:rPr>
                <w:lang w:val="en-US"/>
              </w:rPr>
              <w:t>紧密型“公司+农户”</w:t>
            </w:r>
            <w:r>
              <w:rPr>
                <w:rFonts w:hint="eastAsia"/>
                <w:lang w:val="en-US"/>
              </w:rPr>
              <w:t>模式</w:t>
            </w:r>
            <w:r>
              <w:rPr>
                <w:lang w:val="en-US"/>
              </w:rPr>
              <w:t>在公司</w:t>
            </w:r>
            <w:r>
              <w:rPr>
                <w:rFonts w:hint="eastAsia"/>
                <w:lang w:val="en-US"/>
              </w:rPr>
              <w:t>育肥</w:t>
            </w:r>
            <w:r>
              <w:rPr>
                <w:lang w:val="en-US"/>
              </w:rPr>
              <w:t>养殖规模</w:t>
            </w:r>
            <w:r>
              <w:rPr>
                <w:rFonts w:hint="eastAsia"/>
                <w:lang w:val="en-US"/>
              </w:rPr>
              <w:t>中</w:t>
            </w:r>
            <w:r>
              <w:rPr>
                <w:lang w:val="en-US"/>
              </w:rPr>
              <w:t>占比达到八成以上，能够有效支持公司的养殖规模持续发展和提供高质量商品猪产品。</w:t>
            </w:r>
          </w:p>
          <w:p w14:paraId="474F5907" w14:textId="77777777" w:rsidR="00C21BEF" w:rsidRDefault="00000000">
            <w:pPr>
              <w:spacing w:line="480" w:lineRule="exact"/>
              <w:jc w:val="both"/>
              <w:rPr>
                <w:rFonts w:hint="eastAsia"/>
                <w:b/>
                <w:bCs/>
                <w:lang w:val="en-US"/>
              </w:rPr>
            </w:pPr>
            <w:r>
              <w:rPr>
                <w:rFonts w:hint="eastAsia"/>
                <w:b/>
                <w:bCs/>
                <w:lang w:val="en-US"/>
              </w:rPr>
              <w:lastRenderedPageBreak/>
              <w:t>四、公司生猪产能发展的资产负债规划？</w:t>
            </w:r>
          </w:p>
          <w:p w14:paraId="54E00ECB" w14:textId="77777777" w:rsidR="00C21BEF" w:rsidRDefault="00000000">
            <w:pPr>
              <w:spacing w:line="480" w:lineRule="exact"/>
              <w:ind w:firstLineChars="200" w:firstLine="440"/>
              <w:jc w:val="both"/>
              <w:rPr>
                <w:rFonts w:hint="eastAsia"/>
                <w:lang w:val="en-US"/>
              </w:rPr>
            </w:pPr>
            <w:r>
              <w:rPr>
                <w:rFonts w:hint="eastAsia"/>
                <w:lang w:val="en-US"/>
              </w:rPr>
              <w:t>公司持续聚焦生猪养殖业务主航道，在安全经营的同时保持高质量发展，在持续提高养殖效率和降低养殖成本基础上有序推进项目的投资建设，继续加强轻资产扩产方式，实现公司持续规模增长。公司计划将资产负债率控制在60%以内，在财务安全的前提下通过债权融资、股权融资等多元化融资方式保障公司可持续发展。</w:t>
            </w:r>
          </w:p>
          <w:p w14:paraId="5E6FF9F7" w14:textId="77777777" w:rsidR="00C21BEF" w:rsidRDefault="00C21BEF">
            <w:pPr>
              <w:spacing w:line="480" w:lineRule="exact"/>
              <w:jc w:val="both"/>
              <w:rPr>
                <w:rFonts w:hint="eastAsia"/>
                <w:b/>
                <w:bCs/>
                <w:lang w:val="en-US"/>
              </w:rPr>
            </w:pPr>
          </w:p>
          <w:p w14:paraId="51E506B4" w14:textId="77777777" w:rsidR="00C21BEF" w:rsidRDefault="00000000">
            <w:pPr>
              <w:spacing w:line="480" w:lineRule="exact"/>
              <w:jc w:val="both"/>
              <w:rPr>
                <w:rFonts w:hint="eastAsia"/>
                <w:b/>
                <w:bCs/>
                <w:lang w:val="en-US"/>
              </w:rPr>
            </w:pPr>
            <w:r>
              <w:rPr>
                <w:rFonts w:hint="eastAsia"/>
                <w:b/>
                <w:bCs/>
                <w:lang w:val="en-US"/>
              </w:rPr>
              <w:t>五、公司生猪产能发展与投资计划情况？</w:t>
            </w:r>
          </w:p>
          <w:p w14:paraId="0C5001F3" w14:textId="77777777" w:rsidR="00C21BEF" w:rsidRDefault="00000000">
            <w:pPr>
              <w:spacing w:line="480" w:lineRule="exact"/>
              <w:ind w:firstLineChars="200" w:firstLine="440"/>
              <w:jc w:val="both"/>
              <w:rPr>
                <w:rFonts w:hint="eastAsia"/>
                <w:lang w:val="en-US"/>
              </w:rPr>
            </w:pPr>
            <w:r>
              <w:rPr>
                <w:rFonts w:hint="eastAsia"/>
                <w:lang w:val="en-US"/>
              </w:rPr>
              <w:t>公司现有18万头以上种猪场产能和27万头以上存栏种猪，能够有效保障公司生猪养殖产能规模的稳健、持续增长。公司将继续推动整合优质产能资源和提高产能利用率，有序推进项目的投资建设，专项推动养殖场交付和引种，计划在现有产能基础上增加4-5万头种猪场产能，实现公司持续规模增长和高质量发展。</w:t>
            </w:r>
          </w:p>
          <w:p w14:paraId="607C8189" w14:textId="77777777" w:rsidR="00C21BEF" w:rsidRDefault="00000000">
            <w:pPr>
              <w:spacing w:line="480" w:lineRule="exact"/>
              <w:ind w:firstLineChars="200" w:firstLine="440"/>
              <w:jc w:val="both"/>
              <w:rPr>
                <w:rFonts w:hint="eastAsia"/>
                <w:lang w:val="en-US"/>
              </w:rPr>
            </w:pPr>
            <w:r>
              <w:rPr>
                <w:rFonts w:hint="eastAsia"/>
              </w:rPr>
              <w:t>公司持续聚焦生猪养殖业务主航道，将按计划有序推进</w:t>
            </w:r>
            <w:r>
              <w:t>“</w:t>
            </w:r>
            <w:r>
              <w:rPr>
                <w:rFonts w:hint="eastAsia"/>
              </w:rPr>
              <w:t>生猪养殖产能新建项目、养殖技术研究基地建设项目</w:t>
            </w:r>
            <w:r>
              <w:t>”</w:t>
            </w:r>
            <w:r>
              <w:rPr>
                <w:rFonts w:hint="eastAsia"/>
              </w:rPr>
              <w:t>等项目的投资建设，公司2025年度资本开支计划约为5亿元。</w:t>
            </w:r>
          </w:p>
          <w:p w14:paraId="22C79E9B" w14:textId="77777777" w:rsidR="00C21BEF" w:rsidRDefault="00C21BEF">
            <w:pPr>
              <w:spacing w:line="480" w:lineRule="exact"/>
              <w:ind w:firstLineChars="200" w:firstLine="440"/>
              <w:jc w:val="both"/>
              <w:rPr>
                <w:rFonts w:hint="eastAsia"/>
                <w:lang w:val="en-US"/>
              </w:rPr>
            </w:pPr>
          </w:p>
          <w:p w14:paraId="2AE9BC7F" w14:textId="77777777" w:rsidR="00C21BEF" w:rsidRDefault="00000000">
            <w:pPr>
              <w:spacing w:line="480" w:lineRule="exact"/>
              <w:jc w:val="both"/>
              <w:rPr>
                <w:rFonts w:hint="eastAsia"/>
                <w:b/>
                <w:bCs/>
                <w:lang w:val="en-US"/>
              </w:rPr>
            </w:pPr>
            <w:r>
              <w:rPr>
                <w:rFonts w:hint="eastAsia"/>
                <w:b/>
                <w:bCs/>
                <w:lang w:val="en-US"/>
              </w:rPr>
              <w:t>六、公司股东回报与提升投资者获得感计划？</w:t>
            </w:r>
          </w:p>
          <w:p w14:paraId="44C7FE95" w14:textId="77777777" w:rsidR="00C21BEF" w:rsidRDefault="00000000">
            <w:pPr>
              <w:spacing w:line="480" w:lineRule="exact"/>
              <w:ind w:firstLineChars="200" w:firstLine="440"/>
              <w:jc w:val="both"/>
              <w:rPr>
                <w:rFonts w:hint="eastAsia"/>
                <w:lang w:val="en-US"/>
              </w:rPr>
            </w:pPr>
            <w:r>
              <w:rPr>
                <w:rFonts w:hint="eastAsia"/>
                <w:lang w:val="en-US"/>
              </w:rPr>
              <w:t>公司高度重视股东回报，自上市以来已连续多年实施现金分红。未来，公司将牢固树立回报股东意识，积极提升回报投资者能力和水平,公司已制定《乐山巨星农牧股份有限公司未来三年（2024年-2026年）股东分红回报规划》的中长期分红规划，努力提高分红的稳定性、计划性和可预期性。</w:t>
            </w:r>
          </w:p>
          <w:p w14:paraId="0708B7E7" w14:textId="3473696F" w:rsidR="00C21BEF" w:rsidRDefault="00000000">
            <w:pPr>
              <w:spacing w:line="480" w:lineRule="exact"/>
              <w:ind w:firstLineChars="200" w:firstLine="440"/>
              <w:jc w:val="both"/>
              <w:rPr>
                <w:rFonts w:hint="eastAsia"/>
                <w:lang w:val="en-US"/>
              </w:rPr>
            </w:pPr>
            <w:r>
              <w:rPr>
                <w:rFonts w:hint="eastAsia"/>
                <w:lang w:val="en-US"/>
              </w:rPr>
              <w:t>根据《2024年度利润分配方案》，</w:t>
            </w:r>
            <w:r w:rsidR="006F3C3A">
              <w:rPr>
                <w:rFonts w:hint="eastAsia"/>
                <w:lang w:val="en-US"/>
              </w:rPr>
              <w:t>公司</w:t>
            </w:r>
            <w:r>
              <w:rPr>
                <w:rFonts w:hint="eastAsia"/>
                <w:lang w:val="en-US"/>
              </w:rPr>
              <w:t>拟向全体股东每10股派发现金红利1.73元（含税），合计分配现金红利85,553,197.82元（含税），本年度公司现金分红比例为16.50%。前述分配方案尚需提交2024年度股东大会审议。</w:t>
            </w:r>
          </w:p>
          <w:p w14:paraId="560972AD" w14:textId="77777777" w:rsidR="00C21BEF" w:rsidRDefault="00000000">
            <w:pPr>
              <w:spacing w:line="480" w:lineRule="exact"/>
              <w:ind w:firstLineChars="200" w:firstLine="440"/>
              <w:jc w:val="both"/>
              <w:rPr>
                <w:rFonts w:hint="eastAsia"/>
                <w:lang w:val="en-US"/>
              </w:rPr>
            </w:pPr>
            <w:r>
              <w:rPr>
                <w:rFonts w:hint="eastAsia"/>
                <w:lang w:val="en-US"/>
              </w:rPr>
              <w:t>公司高度重视与投资者的互动交流，除依法履行信息披露义务外，还通过“设立投资者专线、接待投资者现场参观与调研、开展及参加投资者交流活动、举办业绩说明会、开展路演及反路演活动、开展走进上市公司活动、回复上证E互动平台投资者提问”等多种方式，加强与投资者及潜在投资者的互动沟通，增进投资者对公司的了解和认同，建立长期、稳定、优质的投资者基础，形成尊重投资者、服务投资者的企业文化，提升公司治理水平和企业整体价值。</w:t>
            </w:r>
          </w:p>
        </w:tc>
      </w:tr>
      <w:tr w:rsidR="00C21BEF" w14:paraId="607A0643" w14:textId="77777777">
        <w:trPr>
          <w:trHeight w:val="794"/>
          <w:jc w:val="center"/>
        </w:trPr>
        <w:tc>
          <w:tcPr>
            <w:tcW w:w="1217" w:type="pct"/>
            <w:tcBorders>
              <w:top w:val="single" w:sz="6" w:space="0" w:color="000000"/>
              <w:bottom w:val="single" w:sz="6" w:space="0" w:color="000000"/>
              <w:right w:val="single" w:sz="6" w:space="0" w:color="000000"/>
            </w:tcBorders>
            <w:vAlign w:val="center"/>
          </w:tcPr>
          <w:p w14:paraId="22603D08" w14:textId="77777777" w:rsidR="00C21BEF" w:rsidRDefault="00000000">
            <w:pPr>
              <w:pStyle w:val="TableParagraph"/>
              <w:spacing w:line="480" w:lineRule="exact"/>
              <w:ind w:firstLineChars="100" w:firstLine="221"/>
              <w:rPr>
                <w:rFonts w:hint="eastAsia"/>
                <w:b/>
                <w:bCs/>
              </w:rPr>
            </w:pPr>
            <w:r>
              <w:rPr>
                <w:rFonts w:hint="eastAsia"/>
                <w:b/>
                <w:bCs/>
              </w:rPr>
              <w:lastRenderedPageBreak/>
              <w:t>附件清单（如有）</w:t>
            </w:r>
          </w:p>
        </w:tc>
        <w:tc>
          <w:tcPr>
            <w:tcW w:w="3782" w:type="pct"/>
            <w:gridSpan w:val="3"/>
            <w:tcBorders>
              <w:top w:val="single" w:sz="6" w:space="0" w:color="000000"/>
              <w:left w:val="single" w:sz="6" w:space="0" w:color="000000"/>
              <w:bottom w:val="single" w:sz="6" w:space="0" w:color="000000"/>
            </w:tcBorders>
            <w:vAlign w:val="center"/>
          </w:tcPr>
          <w:p w14:paraId="2D417945" w14:textId="77777777" w:rsidR="00C21BEF" w:rsidRDefault="00000000">
            <w:pPr>
              <w:pStyle w:val="TableParagraph"/>
              <w:spacing w:line="480" w:lineRule="exact"/>
              <w:rPr>
                <w:rFonts w:hint="eastAsia"/>
                <w:lang w:val="en-US"/>
              </w:rPr>
            </w:pPr>
            <w:r>
              <w:rPr>
                <w:rFonts w:hint="eastAsia"/>
              </w:rPr>
              <w:t>无</w:t>
            </w:r>
          </w:p>
        </w:tc>
      </w:tr>
      <w:tr w:rsidR="00C21BEF" w14:paraId="4572C895" w14:textId="77777777">
        <w:trPr>
          <w:trHeight w:val="749"/>
          <w:jc w:val="center"/>
        </w:trPr>
        <w:tc>
          <w:tcPr>
            <w:tcW w:w="1217" w:type="pct"/>
            <w:tcBorders>
              <w:top w:val="single" w:sz="6" w:space="0" w:color="000000"/>
              <w:bottom w:val="single" w:sz="6" w:space="0" w:color="000000"/>
              <w:right w:val="single" w:sz="6" w:space="0" w:color="000000"/>
            </w:tcBorders>
            <w:vAlign w:val="center"/>
          </w:tcPr>
          <w:p w14:paraId="7C202EBB" w14:textId="77777777" w:rsidR="00C21BEF" w:rsidRDefault="00000000">
            <w:pPr>
              <w:pStyle w:val="TableParagraph"/>
              <w:spacing w:line="480" w:lineRule="exact"/>
              <w:ind w:firstLineChars="100" w:firstLine="221"/>
              <w:rPr>
                <w:rFonts w:hint="eastAsia"/>
                <w:b/>
                <w:bCs/>
              </w:rPr>
            </w:pPr>
            <w:r>
              <w:rPr>
                <w:rFonts w:hint="eastAsia"/>
                <w:b/>
                <w:bCs/>
                <w:lang w:val="en-US"/>
              </w:rPr>
              <w:t>日期</w:t>
            </w:r>
          </w:p>
        </w:tc>
        <w:tc>
          <w:tcPr>
            <w:tcW w:w="3782" w:type="pct"/>
            <w:gridSpan w:val="3"/>
            <w:tcBorders>
              <w:top w:val="single" w:sz="6" w:space="0" w:color="000000"/>
              <w:left w:val="single" w:sz="6" w:space="0" w:color="000000"/>
              <w:bottom w:val="single" w:sz="6" w:space="0" w:color="000000"/>
            </w:tcBorders>
            <w:vAlign w:val="center"/>
          </w:tcPr>
          <w:p w14:paraId="6C252084" w14:textId="77777777" w:rsidR="00C21BEF" w:rsidRDefault="00000000">
            <w:pPr>
              <w:pStyle w:val="TableParagraph"/>
              <w:spacing w:line="480" w:lineRule="exact"/>
              <w:rPr>
                <w:rFonts w:hint="eastAsia"/>
                <w:lang w:val="en-US"/>
              </w:rPr>
            </w:pPr>
            <w:r>
              <w:rPr>
                <w:rFonts w:hint="eastAsia"/>
                <w:lang w:val="en-US"/>
              </w:rPr>
              <w:t>2025年3月24日</w:t>
            </w:r>
          </w:p>
        </w:tc>
      </w:tr>
    </w:tbl>
    <w:p w14:paraId="213123B5" w14:textId="77777777" w:rsidR="00C21BEF" w:rsidRDefault="00C21BEF">
      <w:pPr>
        <w:spacing w:line="480" w:lineRule="exact"/>
        <w:rPr>
          <w:rFonts w:hint="eastAsia"/>
        </w:rPr>
      </w:pPr>
    </w:p>
    <w:sectPr w:rsidR="00C21BEF">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wMmExZDZmNDI3YTI0ZTA3YTlkODY1MDIyMDY1YmQifQ=="/>
  </w:docVars>
  <w:rsids>
    <w:rsidRoot w:val="00172A27"/>
    <w:rsid w:val="00003A23"/>
    <w:rsid w:val="00012C3C"/>
    <w:rsid w:val="00021A23"/>
    <w:rsid w:val="00043144"/>
    <w:rsid w:val="0005797E"/>
    <w:rsid w:val="00066B41"/>
    <w:rsid w:val="000A5FF0"/>
    <w:rsid w:val="000D401A"/>
    <w:rsid w:val="001027CE"/>
    <w:rsid w:val="00172A27"/>
    <w:rsid w:val="001777D7"/>
    <w:rsid w:val="001D6B58"/>
    <w:rsid w:val="001E1559"/>
    <w:rsid w:val="001E6FA8"/>
    <w:rsid w:val="00212EE9"/>
    <w:rsid w:val="00222182"/>
    <w:rsid w:val="00237FD3"/>
    <w:rsid w:val="00267242"/>
    <w:rsid w:val="002771C1"/>
    <w:rsid w:val="002772C9"/>
    <w:rsid w:val="00281466"/>
    <w:rsid w:val="00297859"/>
    <w:rsid w:val="002B06D1"/>
    <w:rsid w:val="002C20BC"/>
    <w:rsid w:val="002C5FED"/>
    <w:rsid w:val="002F239D"/>
    <w:rsid w:val="00325770"/>
    <w:rsid w:val="00382DEE"/>
    <w:rsid w:val="00393382"/>
    <w:rsid w:val="003A0D3D"/>
    <w:rsid w:val="00427279"/>
    <w:rsid w:val="00451F63"/>
    <w:rsid w:val="00454B1E"/>
    <w:rsid w:val="00484D5D"/>
    <w:rsid w:val="004D3A8C"/>
    <w:rsid w:val="004F3CD1"/>
    <w:rsid w:val="00504925"/>
    <w:rsid w:val="00523918"/>
    <w:rsid w:val="00535CFB"/>
    <w:rsid w:val="00584537"/>
    <w:rsid w:val="005B2C6A"/>
    <w:rsid w:val="005E3F93"/>
    <w:rsid w:val="005E6EE3"/>
    <w:rsid w:val="00621968"/>
    <w:rsid w:val="00623D63"/>
    <w:rsid w:val="00630ED4"/>
    <w:rsid w:val="00680DF4"/>
    <w:rsid w:val="00690C0F"/>
    <w:rsid w:val="00694EA3"/>
    <w:rsid w:val="006A1001"/>
    <w:rsid w:val="006A325B"/>
    <w:rsid w:val="006E50D8"/>
    <w:rsid w:val="006F3C3A"/>
    <w:rsid w:val="00706238"/>
    <w:rsid w:val="00716F9E"/>
    <w:rsid w:val="0071754D"/>
    <w:rsid w:val="0072278D"/>
    <w:rsid w:val="00741EC4"/>
    <w:rsid w:val="00761751"/>
    <w:rsid w:val="00771863"/>
    <w:rsid w:val="007740DC"/>
    <w:rsid w:val="007A179B"/>
    <w:rsid w:val="007C7866"/>
    <w:rsid w:val="007D5E4C"/>
    <w:rsid w:val="007E773D"/>
    <w:rsid w:val="00805BB0"/>
    <w:rsid w:val="008173A4"/>
    <w:rsid w:val="0083050D"/>
    <w:rsid w:val="00832179"/>
    <w:rsid w:val="00837083"/>
    <w:rsid w:val="008435C7"/>
    <w:rsid w:val="00865AAD"/>
    <w:rsid w:val="00867ED8"/>
    <w:rsid w:val="00887EEF"/>
    <w:rsid w:val="008A5769"/>
    <w:rsid w:val="008A593D"/>
    <w:rsid w:val="008B0EB1"/>
    <w:rsid w:val="008C7824"/>
    <w:rsid w:val="00953938"/>
    <w:rsid w:val="009C1ED4"/>
    <w:rsid w:val="00A662B0"/>
    <w:rsid w:val="00A775A7"/>
    <w:rsid w:val="00AE0D36"/>
    <w:rsid w:val="00B35DFB"/>
    <w:rsid w:val="00B40388"/>
    <w:rsid w:val="00B65A43"/>
    <w:rsid w:val="00B706B1"/>
    <w:rsid w:val="00B74C38"/>
    <w:rsid w:val="00BC261E"/>
    <w:rsid w:val="00BC7084"/>
    <w:rsid w:val="00C124B4"/>
    <w:rsid w:val="00C162F0"/>
    <w:rsid w:val="00C21BEF"/>
    <w:rsid w:val="00C22BFF"/>
    <w:rsid w:val="00C24231"/>
    <w:rsid w:val="00C3689D"/>
    <w:rsid w:val="00C55837"/>
    <w:rsid w:val="00C62EF2"/>
    <w:rsid w:val="00C75AD5"/>
    <w:rsid w:val="00C92C7A"/>
    <w:rsid w:val="00C93833"/>
    <w:rsid w:val="00CA613C"/>
    <w:rsid w:val="00CB3418"/>
    <w:rsid w:val="00CB66CC"/>
    <w:rsid w:val="00CC29BF"/>
    <w:rsid w:val="00CD7A61"/>
    <w:rsid w:val="00CE6E5D"/>
    <w:rsid w:val="00CF599A"/>
    <w:rsid w:val="00D24451"/>
    <w:rsid w:val="00D51161"/>
    <w:rsid w:val="00D53792"/>
    <w:rsid w:val="00D73DF2"/>
    <w:rsid w:val="00DB4DD3"/>
    <w:rsid w:val="00DC140D"/>
    <w:rsid w:val="00DD6BA7"/>
    <w:rsid w:val="00E26C16"/>
    <w:rsid w:val="00E354B5"/>
    <w:rsid w:val="00E733E4"/>
    <w:rsid w:val="00E86D43"/>
    <w:rsid w:val="00EA2F91"/>
    <w:rsid w:val="00EF5382"/>
    <w:rsid w:val="00F01814"/>
    <w:rsid w:val="00F039D0"/>
    <w:rsid w:val="00F52695"/>
    <w:rsid w:val="00F802A5"/>
    <w:rsid w:val="00F80918"/>
    <w:rsid w:val="00FA1388"/>
    <w:rsid w:val="00FB5A77"/>
    <w:rsid w:val="00FC46A8"/>
    <w:rsid w:val="00FF0827"/>
    <w:rsid w:val="00FF749E"/>
    <w:rsid w:val="01172A03"/>
    <w:rsid w:val="01396E1E"/>
    <w:rsid w:val="017B7436"/>
    <w:rsid w:val="01A52705"/>
    <w:rsid w:val="01B464A4"/>
    <w:rsid w:val="020E02AA"/>
    <w:rsid w:val="02346ABB"/>
    <w:rsid w:val="024C18BD"/>
    <w:rsid w:val="02910C29"/>
    <w:rsid w:val="02C75822"/>
    <w:rsid w:val="02F92D08"/>
    <w:rsid w:val="03023B12"/>
    <w:rsid w:val="033E071B"/>
    <w:rsid w:val="03433F84"/>
    <w:rsid w:val="034F46D6"/>
    <w:rsid w:val="03667C72"/>
    <w:rsid w:val="0405748B"/>
    <w:rsid w:val="04073203"/>
    <w:rsid w:val="04365896"/>
    <w:rsid w:val="045035FE"/>
    <w:rsid w:val="045C354F"/>
    <w:rsid w:val="048E6375"/>
    <w:rsid w:val="04A76B24"/>
    <w:rsid w:val="050E4DFB"/>
    <w:rsid w:val="054D733B"/>
    <w:rsid w:val="055D6392"/>
    <w:rsid w:val="05777F14"/>
    <w:rsid w:val="059005EC"/>
    <w:rsid w:val="05B169EF"/>
    <w:rsid w:val="05C80770"/>
    <w:rsid w:val="064A7E58"/>
    <w:rsid w:val="06606C84"/>
    <w:rsid w:val="06652463"/>
    <w:rsid w:val="06930D7E"/>
    <w:rsid w:val="069517C3"/>
    <w:rsid w:val="06A66D03"/>
    <w:rsid w:val="06C87A51"/>
    <w:rsid w:val="070954E4"/>
    <w:rsid w:val="073D0CEA"/>
    <w:rsid w:val="076444C8"/>
    <w:rsid w:val="0790350F"/>
    <w:rsid w:val="07953C33"/>
    <w:rsid w:val="0797489E"/>
    <w:rsid w:val="07DB082D"/>
    <w:rsid w:val="07FE66CB"/>
    <w:rsid w:val="080A1514"/>
    <w:rsid w:val="081C23EE"/>
    <w:rsid w:val="086A722B"/>
    <w:rsid w:val="0874698D"/>
    <w:rsid w:val="08D13DE0"/>
    <w:rsid w:val="095523FA"/>
    <w:rsid w:val="09D02FE3"/>
    <w:rsid w:val="0A6842D0"/>
    <w:rsid w:val="0A7E1D45"/>
    <w:rsid w:val="0AB1211B"/>
    <w:rsid w:val="0AD019C3"/>
    <w:rsid w:val="0B143E90"/>
    <w:rsid w:val="0B372620"/>
    <w:rsid w:val="0B3F3282"/>
    <w:rsid w:val="0BCB2D68"/>
    <w:rsid w:val="0BCB667F"/>
    <w:rsid w:val="0C2C33CB"/>
    <w:rsid w:val="0C3721AC"/>
    <w:rsid w:val="0C54227B"/>
    <w:rsid w:val="0C6D1CE1"/>
    <w:rsid w:val="0C7358DA"/>
    <w:rsid w:val="0C767F6B"/>
    <w:rsid w:val="0C7B653C"/>
    <w:rsid w:val="0C8D626F"/>
    <w:rsid w:val="0CC7352F"/>
    <w:rsid w:val="0D0D37A8"/>
    <w:rsid w:val="0D9553DC"/>
    <w:rsid w:val="0E4F36CC"/>
    <w:rsid w:val="0EB16245"/>
    <w:rsid w:val="0EC3241C"/>
    <w:rsid w:val="0EC95C85"/>
    <w:rsid w:val="0EDC703A"/>
    <w:rsid w:val="0EF44384"/>
    <w:rsid w:val="0F0A1DF9"/>
    <w:rsid w:val="0F2E7C9C"/>
    <w:rsid w:val="0F451083"/>
    <w:rsid w:val="0F56503F"/>
    <w:rsid w:val="0F6E05DA"/>
    <w:rsid w:val="0FC621C4"/>
    <w:rsid w:val="0FC65D20"/>
    <w:rsid w:val="0FFF1232"/>
    <w:rsid w:val="10003D03"/>
    <w:rsid w:val="10305890"/>
    <w:rsid w:val="105E064F"/>
    <w:rsid w:val="108005C5"/>
    <w:rsid w:val="10B262A5"/>
    <w:rsid w:val="10B4026F"/>
    <w:rsid w:val="10D47958"/>
    <w:rsid w:val="10D73F5D"/>
    <w:rsid w:val="11034D52"/>
    <w:rsid w:val="11365128"/>
    <w:rsid w:val="11496C09"/>
    <w:rsid w:val="114A2981"/>
    <w:rsid w:val="1158509E"/>
    <w:rsid w:val="115E01DA"/>
    <w:rsid w:val="118E0AC0"/>
    <w:rsid w:val="11A42091"/>
    <w:rsid w:val="11BF511D"/>
    <w:rsid w:val="1300779B"/>
    <w:rsid w:val="134753CA"/>
    <w:rsid w:val="13DD5D2E"/>
    <w:rsid w:val="13E0137B"/>
    <w:rsid w:val="14074B59"/>
    <w:rsid w:val="148F7029"/>
    <w:rsid w:val="14AE3227"/>
    <w:rsid w:val="14C747AB"/>
    <w:rsid w:val="14F74BCE"/>
    <w:rsid w:val="15001CD4"/>
    <w:rsid w:val="153E0A4F"/>
    <w:rsid w:val="161E0045"/>
    <w:rsid w:val="16210154"/>
    <w:rsid w:val="162437A1"/>
    <w:rsid w:val="16810BF3"/>
    <w:rsid w:val="169E79F7"/>
    <w:rsid w:val="169F376F"/>
    <w:rsid w:val="16B03286"/>
    <w:rsid w:val="16F05D79"/>
    <w:rsid w:val="171001C9"/>
    <w:rsid w:val="173E0892"/>
    <w:rsid w:val="1771220A"/>
    <w:rsid w:val="177D51E7"/>
    <w:rsid w:val="178D35C8"/>
    <w:rsid w:val="17C76AD9"/>
    <w:rsid w:val="17CD1C16"/>
    <w:rsid w:val="17DD00AB"/>
    <w:rsid w:val="17E21B65"/>
    <w:rsid w:val="17F3167D"/>
    <w:rsid w:val="18187335"/>
    <w:rsid w:val="183879D7"/>
    <w:rsid w:val="183D6D9C"/>
    <w:rsid w:val="183E3F37"/>
    <w:rsid w:val="1869193F"/>
    <w:rsid w:val="18824AD6"/>
    <w:rsid w:val="188C387F"/>
    <w:rsid w:val="18B62EA4"/>
    <w:rsid w:val="18D15DBA"/>
    <w:rsid w:val="18FF22A3"/>
    <w:rsid w:val="19273169"/>
    <w:rsid w:val="19466E27"/>
    <w:rsid w:val="196D545F"/>
    <w:rsid w:val="197C1B46"/>
    <w:rsid w:val="199450E1"/>
    <w:rsid w:val="19B65058"/>
    <w:rsid w:val="1A0318E8"/>
    <w:rsid w:val="1A3146DE"/>
    <w:rsid w:val="1A566023"/>
    <w:rsid w:val="1AC11F06"/>
    <w:rsid w:val="1ACE4623"/>
    <w:rsid w:val="1B43291B"/>
    <w:rsid w:val="1B5667A8"/>
    <w:rsid w:val="1B796AD5"/>
    <w:rsid w:val="1BCA303C"/>
    <w:rsid w:val="1BD23C9F"/>
    <w:rsid w:val="1C080DA8"/>
    <w:rsid w:val="1C0A3439"/>
    <w:rsid w:val="1CA1729E"/>
    <w:rsid w:val="1CB82E95"/>
    <w:rsid w:val="1D2422D8"/>
    <w:rsid w:val="1D295B40"/>
    <w:rsid w:val="1D3139D9"/>
    <w:rsid w:val="1D9751A0"/>
    <w:rsid w:val="1DF86605"/>
    <w:rsid w:val="1E214681"/>
    <w:rsid w:val="1E2E78B2"/>
    <w:rsid w:val="1E470974"/>
    <w:rsid w:val="1F520C33"/>
    <w:rsid w:val="1FC436EF"/>
    <w:rsid w:val="204A474C"/>
    <w:rsid w:val="20692C6F"/>
    <w:rsid w:val="209634ED"/>
    <w:rsid w:val="20D12777"/>
    <w:rsid w:val="21076199"/>
    <w:rsid w:val="21260D15"/>
    <w:rsid w:val="219C0FD7"/>
    <w:rsid w:val="21AE3541"/>
    <w:rsid w:val="222608A0"/>
    <w:rsid w:val="222A213F"/>
    <w:rsid w:val="22433200"/>
    <w:rsid w:val="224A27E1"/>
    <w:rsid w:val="225278E7"/>
    <w:rsid w:val="22850ED9"/>
    <w:rsid w:val="22941CAE"/>
    <w:rsid w:val="22BD3143"/>
    <w:rsid w:val="22EA7B20"/>
    <w:rsid w:val="233314C7"/>
    <w:rsid w:val="2351194D"/>
    <w:rsid w:val="2369313B"/>
    <w:rsid w:val="23AE6D9F"/>
    <w:rsid w:val="23C325CA"/>
    <w:rsid w:val="23C860B3"/>
    <w:rsid w:val="241C01AD"/>
    <w:rsid w:val="243F3E9B"/>
    <w:rsid w:val="246649A5"/>
    <w:rsid w:val="246C2EE2"/>
    <w:rsid w:val="247D50F0"/>
    <w:rsid w:val="24945F95"/>
    <w:rsid w:val="249E6E14"/>
    <w:rsid w:val="24D64800"/>
    <w:rsid w:val="24F609FE"/>
    <w:rsid w:val="24FD7FDE"/>
    <w:rsid w:val="25584F97"/>
    <w:rsid w:val="25D36F91"/>
    <w:rsid w:val="25F5515A"/>
    <w:rsid w:val="262670C1"/>
    <w:rsid w:val="265256F1"/>
    <w:rsid w:val="267B565F"/>
    <w:rsid w:val="26BE554B"/>
    <w:rsid w:val="26D134D1"/>
    <w:rsid w:val="26EB3E67"/>
    <w:rsid w:val="26ED4885"/>
    <w:rsid w:val="26F45411"/>
    <w:rsid w:val="273121C1"/>
    <w:rsid w:val="27473793"/>
    <w:rsid w:val="274E68CF"/>
    <w:rsid w:val="275A389E"/>
    <w:rsid w:val="27677991"/>
    <w:rsid w:val="278B7B24"/>
    <w:rsid w:val="279F35CF"/>
    <w:rsid w:val="283E6C8E"/>
    <w:rsid w:val="287E4F92"/>
    <w:rsid w:val="292024ED"/>
    <w:rsid w:val="292F425E"/>
    <w:rsid w:val="294E0E09"/>
    <w:rsid w:val="298A6873"/>
    <w:rsid w:val="29F00112"/>
    <w:rsid w:val="2A043BBD"/>
    <w:rsid w:val="2A732C8B"/>
    <w:rsid w:val="2ADC2444"/>
    <w:rsid w:val="2AE00186"/>
    <w:rsid w:val="2B027480"/>
    <w:rsid w:val="2B3B360F"/>
    <w:rsid w:val="2B517236"/>
    <w:rsid w:val="2B9E76FA"/>
    <w:rsid w:val="2BCE6231"/>
    <w:rsid w:val="2C581F9E"/>
    <w:rsid w:val="2C7548FE"/>
    <w:rsid w:val="2C8608B9"/>
    <w:rsid w:val="2C8C39F6"/>
    <w:rsid w:val="2CB27900"/>
    <w:rsid w:val="2CC97E56"/>
    <w:rsid w:val="2D3C366E"/>
    <w:rsid w:val="2D574004"/>
    <w:rsid w:val="2DB63420"/>
    <w:rsid w:val="2DB75880"/>
    <w:rsid w:val="2DCD42C6"/>
    <w:rsid w:val="2DF13201"/>
    <w:rsid w:val="2DF87595"/>
    <w:rsid w:val="2E7E623A"/>
    <w:rsid w:val="2EE14754"/>
    <w:rsid w:val="2EF22236"/>
    <w:rsid w:val="2F2B1BEC"/>
    <w:rsid w:val="2F884949"/>
    <w:rsid w:val="2FC736C3"/>
    <w:rsid w:val="2FF53BE5"/>
    <w:rsid w:val="30032221"/>
    <w:rsid w:val="30332C85"/>
    <w:rsid w:val="3046098A"/>
    <w:rsid w:val="3086532C"/>
    <w:rsid w:val="30AE4883"/>
    <w:rsid w:val="30B023A9"/>
    <w:rsid w:val="30BA6F50"/>
    <w:rsid w:val="30C61BCC"/>
    <w:rsid w:val="30EF74E3"/>
    <w:rsid w:val="31324B8F"/>
    <w:rsid w:val="313F7C11"/>
    <w:rsid w:val="31CD6F8B"/>
    <w:rsid w:val="31DF0848"/>
    <w:rsid w:val="31E84557"/>
    <w:rsid w:val="31F14A27"/>
    <w:rsid w:val="322841C1"/>
    <w:rsid w:val="326F1DF0"/>
    <w:rsid w:val="32832EEF"/>
    <w:rsid w:val="329D070B"/>
    <w:rsid w:val="32B617CD"/>
    <w:rsid w:val="32D06D32"/>
    <w:rsid w:val="32E4633A"/>
    <w:rsid w:val="32F21E69"/>
    <w:rsid w:val="330861DE"/>
    <w:rsid w:val="33264BA4"/>
    <w:rsid w:val="33492641"/>
    <w:rsid w:val="339F3E6E"/>
    <w:rsid w:val="33A352A1"/>
    <w:rsid w:val="34060532"/>
    <w:rsid w:val="341669C7"/>
    <w:rsid w:val="34897674"/>
    <w:rsid w:val="349F69BC"/>
    <w:rsid w:val="34A22009"/>
    <w:rsid w:val="34AE4E51"/>
    <w:rsid w:val="34C44675"/>
    <w:rsid w:val="34E24AFB"/>
    <w:rsid w:val="350B22A4"/>
    <w:rsid w:val="35584DBD"/>
    <w:rsid w:val="35867B7C"/>
    <w:rsid w:val="36525CB0"/>
    <w:rsid w:val="36B44275"/>
    <w:rsid w:val="36E83F1F"/>
    <w:rsid w:val="36F86858"/>
    <w:rsid w:val="37135440"/>
    <w:rsid w:val="371511B8"/>
    <w:rsid w:val="371D1E1A"/>
    <w:rsid w:val="374455F9"/>
    <w:rsid w:val="37476E97"/>
    <w:rsid w:val="377A726D"/>
    <w:rsid w:val="37891752"/>
    <w:rsid w:val="37F80253"/>
    <w:rsid w:val="380F3E59"/>
    <w:rsid w:val="38376F0C"/>
    <w:rsid w:val="38602837"/>
    <w:rsid w:val="389B56ED"/>
    <w:rsid w:val="38AF73EA"/>
    <w:rsid w:val="38D26A82"/>
    <w:rsid w:val="38E726E0"/>
    <w:rsid w:val="39180AEB"/>
    <w:rsid w:val="393D286A"/>
    <w:rsid w:val="39551D3F"/>
    <w:rsid w:val="399C796E"/>
    <w:rsid w:val="3A005299"/>
    <w:rsid w:val="3A03182B"/>
    <w:rsid w:val="3A0A4C3A"/>
    <w:rsid w:val="3A371445"/>
    <w:rsid w:val="3A60099C"/>
    <w:rsid w:val="3A620996"/>
    <w:rsid w:val="3A8A3C6B"/>
    <w:rsid w:val="3AB26D1E"/>
    <w:rsid w:val="3AC46CFD"/>
    <w:rsid w:val="3AE0388B"/>
    <w:rsid w:val="3AF1337E"/>
    <w:rsid w:val="3B2220F5"/>
    <w:rsid w:val="3B871F58"/>
    <w:rsid w:val="3B8A37F6"/>
    <w:rsid w:val="3BC27434"/>
    <w:rsid w:val="3BFDD941"/>
    <w:rsid w:val="3C2505B3"/>
    <w:rsid w:val="3C3245BA"/>
    <w:rsid w:val="3C494D52"/>
    <w:rsid w:val="3C552025"/>
    <w:rsid w:val="3CB60D47"/>
    <w:rsid w:val="3CB70371"/>
    <w:rsid w:val="3CC52D38"/>
    <w:rsid w:val="3D15341C"/>
    <w:rsid w:val="3D2C1326"/>
    <w:rsid w:val="3D536596"/>
    <w:rsid w:val="3D5B18EE"/>
    <w:rsid w:val="3D7F382F"/>
    <w:rsid w:val="3D7F55DD"/>
    <w:rsid w:val="3D9A41C5"/>
    <w:rsid w:val="3DCE0312"/>
    <w:rsid w:val="3E14487B"/>
    <w:rsid w:val="3E151A9D"/>
    <w:rsid w:val="3E5D60F8"/>
    <w:rsid w:val="3E5E1696"/>
    <w:rsid w:val="3E770C94"/>
    <w:rsid w:val="3E8E35FE"/>
    <w:rsid w:val="3EB017C6"/>
    <w:rsid w:val="3EBA2645"/>
    <w:rsid w:val="3F6D0AAA"/>
    <w:rsid w:val="3F8F762D"/>
    <w:rsid w:val="3FA27361"/>
    <w:rsid w:val="403D352D"/>
    <w:rsid w:val="40550877"/>
    <w:rsid w:val="405D094D"/>
    <w:rsid w:val="408F1FDB"/>
    <w:rsid w:val="40DB783A"/>
    <w:rsid w:val="40ED4F53"/>
    <w:rsid w:val="410F31A3"/>
    <w:rsid w:val="4114603C"/>
    <w:rsid w:val="41456B3D"/>
    <w:rsid w:val="41517290"/>
    <w:rsid w:val="418E780E"/>
    <w:rsid w:val="41E9571B"/>
    <w:rsid w:val="41E974C9"/>
    <w:rsid w:val="41F540C0"/>
    <w:rsid w:val="41FA0169"/>
    <w:rsid w:val="42091919"/>
    <w:rsid w:val="420F2749"/>
    <w:rsid w:val="423A5F76"/>
    <w:rsid w:val="42BD2703"/>
    <w:rsid w:val="42C615B8"/>
    <w:rsid w:val="42FE6FA4"/>
    <w:rsid w:val="431237F5"/>
    <w:rsid w:val="433C7ACC"/>
    <w:rsid w:val="43A833B4"/>
    <w:rsid w:val="43E4263E"/>
    <w:rsid w:val="4419328C"/>
    <w:rsid w:val="441B5933"/>
    <w:rsid w:val="442944F4"/>
    <w:rsid w:val="443E41B9"/>
    <w:rsid w:val="44AA4E01"/>
    <w:rsid w:val="44B87280"/>
    <w:rsid w:val="44DA134B"/>
    <w:rsid w:val="45724BB3"/>
    <w:rsid w:val="4594599D"/>
    <w:rsid w:val="45C142B9"/>
    <w:rsid w:val="45C83899"/>
    <w:rsid w:val="45D43FEC"/>
    <w:rsid w:val="46114F0F"/>
    <w:rsid w:val="46D83FB0"/>
    <w:rsid w:val="46FF32EA"/>
    <w:rsid w:val="47507FEA"/>
    <w:rsid w:val="47590C4D"/>
    <w:rsid w:val="477414D3"/>
    <w:rsid w:val="47897ABA"/>
    <w:rsid w:val="47A15B48"/>
    <w:rsid w:val="47AD0F98"/>
    <w:rsid w:val="48256D81"/>
    <w:rsid w:val="48600223"/>
    <w:rsid w:val="486615C5"/>
    <w:rsid w:val="48671147"/>
    <w:rsid w:val="486D24D6"/>
    <w:rsid w:val="48763A80"/>
    <w:rsid w:val="48F16866"/>
    <w:rsid w:val="49584F34"/>
    <w:rsid w:val="496D4E83"/>
    <w:rsid w:val="49A92C07"/>
    <w:rsid w:val="49EF5898"/>
    <w:rsid w:val="49FB248F"/>
    <w:rsid w:val="4A121587"/>
    <w:rsid w:val="4A143551"/>
    <w:rsid w:val="4A4756D4"/>
    <w:rsid w:val="4A90104A"/>
    <w:rsid w:val="4B3E127F"/>
    <w:rsid w:val="4B475260"/>
    <w:rsid w:val="4B7F0E9E"/>
    <w:rsid w:val="4BD10EBA"/>
    <w:rsid w:val="4BE56F53"/>
    <w:rsid w:val="4C2630C7"/>
    <w:rsid w:val="4CA54934"/>
    <w:rsid w:val="4CAD7FC7"/>
    <w:rsid w:val="4CFB27A6"/>
    <w:rsid w:val="4D3B2BA3"/>
    <w:rsid w:val="4D502AF2"/>
    <w:rsid w:val="4D875DE8"/>
    <w:rsid w:val="4DA9212D"/>
    <w:rsid w:val="4DB36BDD"/>
    <w:rsid w:val="4E437F61"/>
    <w:rsid w:val="4E516B22"/>
    <w:rsid w:val="4E5B79A0"/>
    <w:rsid w:val="4E5C7274"/>
    <w:rsid w:val="4E6D373C"/>
    <w:rsid w:val="4E775E5C"/>
    <w:rsid w:val="4ED220E5"/>
    <w:rsid w:val="4F043B94"/>
    <w:rsid w:val="4F42290E"/>
    <w:rsid w:val="4F4421E2"/>
    <w:rsid w:val="4F675ED1"/>
    <w:rsid w:val="4F894099"/>
    <w:rsid w:val="4F912F4E"/>
    <w:rsid w:val="4FCB46B2"/>
    <w:rsid w:val="50137E07"/>
    <w:rsid w:val="50327B53"/>
    <w:rsid w:val="504A7CCC"/>
    <w:rsid w:val="505B3C87"/>
    <w:rsid w:val="506D5BA1"/>
    <w:rsid w:val="509B2D47"/>
    <w:rsid w:val="50F96FFC"/>
    <w:rsid w:val="5124051D"/>
    <w:rsid w:val="513E0CF0"/>
    <w:rsid w:val="514048B2"/>
    <w:rsid w:val="514E559A"/>
    <w:rsid w:val="515B7795"/>
    <w:rsid w:val="51694182"/>
    <w:rsid w:val="516E1798"/>
    <w:rsid w:val="518C60C3"/>
    <w:rsid w:val="51B80C66"/>
    <w:rsid w:val="51C30BDC"/>
    <w:rsid w:val="51E56C3E"/>
    <w:rsid w:val="52036385"/>
    <w:rsid w:val="52100AA2"/>
    <w:rsid w:val="525766D1"/>
    <w:rsid w:val="5264494A"/>
    <w:rsid w:val="52750905"/>
    <w:rsid w:val="5294522F"/>
    <w:rsid w:val="52AB1C77"/>
    <w:rsid w:val="52AB5B97"/>
    <w:rsid w:val="52B23907"/>
    <w:rsid w:val="52EB26AA"/>
    <w:rsid w:val="530A54F1"/>
    <w:rsid w:val="5326258A"/>
    <w:rsid w:val="533243C3"/>
    <w:rsid w:val="53346A12"/>
    <w:rsid w:val="538F3C48"/>
    <w:rsid w:val="53DF766E"/>
    <w:rsid w:val="53EC4BF7"/>
    <w:rsid w:val="542720D3"/>
    <w:rsid w:val="54426960"/>
    <w:rsid w:val="54B55930"/>
    <w:rsid w:val="54C94F38"/>
    <w:rsid w:val="54E83610"/>
    <w:rsid w:val="54F226E1"/>
    <w:rsid w:val="55320D2F"/>
    <w:rsid w:val="5583158B"/>
    <w:rsid w:val="55A56229"/>
    <w:rsid w:val="55B65FCD"/>
    <w:rsid w:val="55F935FB"/>
    <w:rsid w:val="564451BE"/>
    <w:rsid w:val="566E223B"/>
    <w:rsid w:val="574D3BFE"/>
    <w:rsid w:val="5765363E"/>
    <w:rsid w:val="57BE68AA"/>
    <w:rsid w:val="57E207EA"/>
    <w:rsid w:val="58405511"/>
    <w:rsid w:val="586E207E"/>
    <w:rsid w:val="587D5C68"/>
    <w:rsid w:val="58C3686E"/>
    <w:rsid w:val="58D00F8B"/>
    <w:rsid w:val="58D04124"/>
    <w:rsid w:val="58D75E75"/>
    <w:rsid w:val="58D77C23"/>
    <w:rsid w:val="58E660B8"/>
    <w:rsid w:val="59084281"/>
    <w:rsid w:val="592326DD"/>
    <w:rsid w:val="59305585"/>
    <w:rsid w:val="59C208D3"/>
    <w:rsid w:val="5A0233C6"/>
    <w:rsid w:val="5A366BCB"/>
    <w:rsid w:val="5A655703"/>
    <w:rsid w:val="5A955E00"/>
    <w:rsid w:val="5AD20FEA"/>
    <w:rsid w:val="5AD25392"/>
    <w:rsid w:val="5B157290"/>
    <w:rsid w:val="5B1F3B03"/>
    <w:rsid w:val="5B70435F"/>
    <w:rsid w:val="5B767BC7"/>
    <w:rsid w:val="5BC326E1"/>
    <w:rsid w:val="5BD5FD07"/>
    <w:rsid w:val="5C231D38"/>
    <w:rsid w:val="5C337866"/>
    <w:rsid w:val="5C594DF3"/>
    <w:rsid w:val="5C891B7C"/>
    <w:rsid w:val="5CCB7615"/>
    <w:rsid w:val="5CD5729F"/>
    <w:rsid w:val="5D170F36"/>
    <w:rsid w:val="5D437F7D"/>
    <w:rsid w:val="5DB1138B"/>
    <w:rsid w:val="5DC53CD5"/>
    <w:rsid w:val="5DDC7654"/>
    <w:rsid w:val="5DFA2580"/>
    <w:rsid w:val="5E0E058B"/>
    <w:rsid w:val="5E116ACE"/>
    <w:rsid w:val="5E194573"/>
    <w:rsid w:val="5E48511F"/>
    <w:rsid w:val="5E5341F0"/>
    <w:rsid w:val="5E6E2DD8"/>
    <w:rsid w:val="5E7E05A8"/>
    <w:rsid w:val="5EA63795"/>
    <w:rsid w:val="5EBD5B0D"/>
    <w:rsid w:val="5F090D52"/>
    <w:rsid w:val="5F092B01"/>
    <w:rsid w:val="5F7E529D"/>
    <w:rsid w:val="5FBA204D"/>
    <w:rsid w:val="602A5424"/>
    <w:rsid w:val="60563B24"/>
    <w:rsid w:val="60620BA5"/>
    <w:rsid w:val="60A01243"/>
    <w:rsid w:val="6139510F"/>
    <w:rsid w:val="61A92379"/>
    <w:rsid w:val="61BE64EE"/>
    <w:rsid w:val="61DE0274"/>
    <w:rsid w:val="61FC4B9F"/>
    <w:rsid w:val="620923F0"/>
    <w:rsid w:val="627064A9"/>
    <w:rsid w:val="628A21AA"/>
    <w:rsid w:val="62A35D2B"/>
    <w:rsid w:val="62C51434"/>
    <w:rsid w:val="631D301E"/>
    <w:rsid w:val="637048BF"/>
    <w:rsid w:val="637462DF"/>
    <w:rsid w:val="63B374DF"/>
    <w:rsid w:val="63D538F9"/>
    <w:rsid w:val="63F21DB5"/>
    <w:rsid w:val="640104D5"/>
    <w:rsid w:val="64061D04"/>
    <w:rsid w:val="64485E79"/>
    <w:rsid w:val="644D7933"/>
    <w:rsid w:val="64841E7A"/>
    <w:rsid w:val="6492024A"/>
    <w:rsid w:val="64AF5EF8"/>
    <w:rsid w:val="65444892"/>
    <w:rsid w:val="65654809"/>
    <w:rsid w:val="65C77271"/>
    <w:rsid w:val="66326ED8"/>
    <w:rsid w:val="66833198"/>
    <w:rsid w:val="66C022F9"/>
    <w:rsid w:val="66D103A8"/>
    <w:rsid w:val="66D6776C"/>
    <w:rsid w:val="66DB2FD4"/>
    <w:rsid w:val="6744501E"/>
    <w:rsid w:val="68262975"/>
    <w:rsid w:val="683E3F52"/>
    <w:rsid w:val="6855196A"/>
    <w:rsid w:val="68A51AEC"/>
    <w:rsid w:val="68DB3760"/>
    <w:rsid w:val="68EF0FB9"/>
    <w:rsid w:val="69196036"/>
    <w:rsid w:val="692429E9"/>
    <w:rsid w:val="69455B2B"/>
    <w:rsid w:val="696E0B50"/>
    <w:rsid w:val="6A4A2640"/>
    <w:rsid w:val="6A7774B8"/>
    <w:rsid w:val="6A8E65B0"/>
    <w:rsid w:val="6B19231D"/>
    <w:rsid w:val="6B2A277C"/>
    <w:rsid w:val="6B6F1F3D"/>
    <w:rsid w:val="6B851187"/>
    <w:rsid w:val="6BA20565"/>
    <w:rsid w:val="6BC71D79"/>
    <w:rsid w:val="6C046B2A"/>
    <w:rsid w:val="6C2373DC"/>
    <w:rsid w:val="6C450EF0"/>
    <w:rsid w:val="6C506213"/>
    <w:rsid w:val="6C552A2E"/>
    <w:rsid w:val="6CE8644B"/>
    <w:rsid w:val="6D231231"/>
    <w:rsid w:val="6D521B17"/>
    <w:rsid w:val="6D9640F9"/>
    <w:rsid w:val="6D9D0E07"/>
    <w:rsid w:val="6D9E2FAE"/>
    <w:rsid w:val="6DE62094"/>
    <w:rsid w:val="6DEA61F3"/>
    <w:rsid w:val="6E5A6ED5"/>
    <w:rsid w:val="6E5D0773"/>
    <w:rsid w:val="6E6179B3"/>
    <w:rsid w:val="6E7A7577"/>
    <w:rsid w:val="6EA77C40"/>
    <w:rsid w:val="6EAC5256"/>
    <w:rsid w:val="6EAE0FCF"/>
    <w:rsid w:val="6EF235B1"/>
    <w:rsid w:val="6F215C44"/>
    <w:rsid w:val="6F305E87"/>
    <w:rsid w:val="6F413BF1"/>
    <w:rsid w:val="6F4F630E"/>
    <w:rsid w:val="6F63000B"/>
    <w:rsid w:val="6F997ED1"/>
    <w:rsid w:val="6FC00FB9"/>
    <w:rsid w:val="6FC84312"/>
    <w:rsid w:val="6FD20CED"/>
    <w:rsid w:val="6FE56C72"/>
    <w:rsid w:val="700A0487"/>
    <w:rsid w:val="7073427E"/>
    <w:rsid w:val="707D6EAA"/>
    <w:rsid w:val="70BC3E77"/>
    <w:rsid w:val="70C33179"/>
    <w:rsid w:val="70C76378"/>
    <w:rsid w:val="70E4517B"/>
    <w:rsid w:val="70E76A1A"/>
    <w:rsid w:val="713B6A1E"/>
    <w:rsid w:val="714B6FA9"/>
    <w:rsid w:val="715E1D8D"/>
    <w:rsid w:val="71674675"/>
    <w:rsid w:val="71C07997"/>
    <w:rsid w:val="71DC0FEA"/>
    <w:rsid w:val="71F80EDE"/>
    <w:rsid w:val="721D0945"/>
    <w:rsid w:val="722F2426"/>
    <w:rsid w:val="724266DE"/>
    <w:rsid w:val="725B321B"/>
    <w:rsid w:val="72D134DE"/>
    <w:rsid w:val="7315786E"/>
    <w:rsid w:val="73E55492"/>
    <w:rsid w:val="73E84F83"/>
    <w:rsid w:val="74AB1A1D"/>
    <w:rsid w:val="750E6C6B"/>
    <w:rsid w:val="753F6E24"/>
    <w:rsid w:val="75581C94"/>
    <w:rsid w:val="75814171"/>
    <w:rsid w:val="75976C60"/>
    <w:rsid w:val="75CE7B37"/>
    <w:rsid w:val="75CF63FA"/>
    <w:rsid w:val="75D92DD5"/>
    <w:rsid w:val="761D2E3A"/>
    <w:rsid w:val="76424E14"/>
    <w:rsid w:val="76D8312E"/>
    <w:rsid w:val="76EE28B0"/>
    <w:rsid w:val="76F8372F"/>
    <w:rsid w:val="772C33D8"/>
    <w:rsid w:val="775F7911"/>
    <w:rsid w:val="778356EE"/>
    <w:rsid w:val="7795690D"/>
    <w:rsid w:val="78654DF4"/>
    <w:rsid w:val="7871743B"/>
    <w:rsid w:val="78AC52A2"/>
    <w:rsid w:val="78C22246"/>
    <w:rsid w:val="78D37FAF"/>
    <w:rsid w:val="79435FC4"/>
    <w:rsid w:val="79505FD9"/>
    <w:rsid w:val="79567BC4"/>
    <w:rsid w:val="795F7A95"/>
    <w:rsid w:val="796A01BC"/>
    <w:rsid w:val="79703A50"/>
    <w:rsid w:val="798D2B1A"/>
    <w:rsid w:val="79AC2001"/>
    <w:rsid w:val="79BB1CDC"/>
    <w:rsid w:val="79F20909"/>
    <w:rsid w:val="7A546ECE"/>
    <w:rsid w:val="7A592C72"/>
    <w:rsid w:val="7A94376E"/>
    <w:rsid w:val="7ABE4C8F"/>
    <w:rsid w:val="7AE069B4"/>
    <w:rsid w:val="7AFC3A89"/>
    <w:rsid w:val="7B095400"/>
    <w:rsid w:val="7B6E2211"/>
    <w:rsid w:val="7B75534E"/>
    <w:rsid w:val="7B767318"/>
    <w:rsid w:val="7B8657AD"/>
    <w:rsid w:val="7BDC0A6A"/>
    <w:rsid w:val="7BE95D3C"/>
    <w:rsid w:val="7BFA3AA5"/>
    <w:rsid w:val="7C136915"/>
    <w:rsid w:val="7C15268D"/>
    <w:rsid w:val="7C6A0C2B"/>
    <w:rsid w:val="7C833A9B"/>
    <w:rsid w:val="7C8B294F"/>
    <w:rsid w:val="7C8E41ED"/>
    <w:rsid w:val="7CAD20F4"/>
    <w:rsid w:val="7CCF4F32"/>
    <w:rsid w:val="7CE56503"/>
    <w:rsid w:val="7D126BCC"/>
    <w:rsid w:val="7D80447E"/>
    <w:rsid w:val="7D9925BD"/>
    <w:rsid w:val="7E250F14"/>
    <w:rsid w:val="7E266DD3"/>
    <w:rsid w:val="7E355268"/>
    <w:rsid w:val="7E3E411D"/>
    <w:rsid w:val="7E5413FF"/>
    <w:rsid w:val="7E61605D"/>
    <w:rsid w:val="7E6D67B0"/>
    <w:rsid w:val="7E9A331D"/>
    <w:rsid w:val="7ECD724F"/>
    <w:rsid w:val="7EDC7492"/>
    <w:rsid w:val="7EE06F82"/>
    <w:rsid w:val="7F637BB3"/>
    <w:rsid w:val="7F842003"/>
    <w:rsid w:val="7FD0349B"/>
    <w:rsid w:val="7FDFBA6D"/>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C5C6C"/>
  <w15:docId w15:val="{BD7ED355-34A6-4474-82A5-6A9F6A91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宋体" w:hAnsi="宋体" w:cs="宋体"/>
      <w:sz w:val="22"/>
      <w:szCs w:val="22"/>
      <w:lang w:val="zh-CN" w:bidi="zh-CN"/>
    </w:rPr>
  </w:style>
  <w:style w:type="paragraph" w:styleId="2">
    <w:name w:val="heading 2"/>
    <w:basedOn w:val="a"/>
    <w:next w:val="a"/>
    <w:uiPriority w:val="9"/>
    <w:qFormat/>
    <w:pPr>
      <w:spacing w:before="160"/>
      <w:ind w:left="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319"/>
    </w:pPr>
    <w:rPr>
      <w:sz w:val="24"/>
      <w:szCs w:val="24"/>
    </w:rPr>
  </w:style>
  <w:style w:type="paragraph" w:styleId="a4">
    <w:name w:val="footer"/>
    <w:basedOn w:val="a"/>
    <w:uiPriority w:val="99"/>
    <w:unhideWhenUsed/>
    <w:qFormat/>
    <w:pPr>
      <w:tabs>
        <w:tab w:val="center" w:pos="4153"/>
        <w:tab w:val="right" w:pos="8306"/>
      </w:tabs>
      <w:snapToGrid w:val="0"/>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sz w:val="24"/>
      <w:szCs w:val="24"/>
      <w:lang w:val="en-US" w:bidi="ar-SA"/>
    </w:rPr>
  </w:style>
  <w:style w:type="paragraph" w:styleId="a6">
    <w:name w:val="Normal (Web)"/>
    <w:basedOn w:val="a"/>
    <w:semiHidden/>
    <w:unhideWhenUsed/>
    <w:qFormat/>
    <w:pPr>
      <w:spacing w:beforeAutospacing="1" w:afterAutospacing="1"/>
    </w:pPr>
    <w:rPr>
      <w:rFonts w:cs="Times New Roman"/>
      <w:sz w:val="24"/>
      <w:lang w:val="en-US" w:bidi="ar-SA"/>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paragraph" w:customStyle="1" w:styleId="TableParagraph">
    <w:name w:val="Table Paragraph"/>
    <w:basedOn w:val="a"/>
    <w:uiPriority w:val="1"/>
    <w:qFormat/>
    <w:pPr>
      <w:spacing w:line="520" w:lineRule="exact"/>
      <w:ind w:right="226"/>
    </w:pPr>
  </w:style>
  <w:style w:type="table" w:customStyle="1" w:styleId="TableNormal">
    <w:name w:val="Table Normal"/>
    <w:uiPriority w:val="2"/>
    <w:unhideWhenUsed/>
    <w:qFormat/>
    <w:tblPr>
      <w:tblCellMar>
        <w:top w:w="0" w:type="dxa"/>
        <w:left w:w="0" w:type="dxa"/>
        <w:bottom w:w="0" w:type="dxa"/>
        <w:right w:w="0" w:type="dxa"/>
      </w:tblCellMar>
    </w:tblPr>
  </w:style>
  <w:style w:type="character" w:customStyle="1" w:styleId="HTML0">
    <w:name w:val="HTML 预设格式 字符"/>
    <w:link w:val="HTML"/>
    <w:uiPriority w:val="99"/>
    <w:qFormat/>
    <w:rPr>
      <w:rFonts w:ascii="宋体" w:hAnsi="宋体"/>
      <w:sz w:val="24"/>
      <w:szCs w:val="24"/>
    </w:rPr>
  </w:style>
  <w:style w:type="paragraph" w:customStyle="1" w:styleId="Default">
    <w:name w:val="Default"/>
    <w:uiPriority w:val="99"/>
    <w:unhideWhenUsed/>
    <w:qFormat/>
    <w:pPr>
      <w:widowControl w:val="0"/>
      <w:autoSpaceDE w:val="0"/>
      <w:autoSpaceDN w:val="0"/>
      <w:adjustRightInd w:val="0"/>
    </w:pPr>
    <w:rPr>
      <w:rFonts w:ascii="宋体" w:hAnsi="宋体"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350</Words>
  <Characters>1997</Characters>
  <Application>Microsoft Office Word</Application>
  <DocSecurity>0</DocSecurity>
  <Lines>16</Lines>
  <Paragraphs>4</Paragraphs>
  <ScaleCrop>false</ScaleCrop>
  <Company>HBSC</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默沫1414148202</dc:creator>
  <cp:lastModifiedBy>诗琪 张</cp:lastModifiedBy>
  <cp:revision>9</cp:revision>
  <dcterms:created xsi:type="dcterms:W3CDTF">2024-01-05T18:18:00Z</dcterms:created>
  <dcterms:modified xsi:type="dcterms:W3CDTF">2025-03-25T06:19:00Z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5FD3030E58F0468D850FB051899F029E_13</vt:lpwstr>
  </property>
  <property fmtid="{D5CDD505-2E9C-101B-9397-08002B2CF9AE}" pid="4" name="KSOTemplateDocerSaveRecord">
    <vt:lpwstr>eyJoZGlkIjoiZjBlZDllNjg2NDg3YjdmNzY1NjM3NTgyZGRjMTEzMWMiLCJ1c2VySWQiOiI0Mjc4OTUxNjIifQ==</vt:lpwstr>
  </property>
</Properties>
</file>