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20D7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F13EE2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</w:t>
      </w:r>
      <w:r>
        <w:rPr>
          <w:rFonts w:ascii="仿宋" w:eastAsia="仿宋" w:hAnsi="仿宋"/>
          <w:b/>
          <w:sz w:val="24"/>
        </w:rPr>
        <w:t>证券代码：</w:t>
      </w:r>
      <w:r>
        <w:rPr>
          <w:rFonts w:ascii="仿宋" w:eastAsia="仿宋" w:hAnsi="仿宋" w:hint="eastAsia"/>
          <w:b/>
          <w:sz w:val="24"/>
        </w:rPr>
        <w:t>A</w:t>
      </w:r>
      <w:r>
        <w:rPr>
          <w:rFonts w:ascii="仿宋" w:eastAsia="仿宋" w:hAnsi="仿宋" w:hint="eastAsia"/>
          <w:b/>
          <w:sz w:val="24"/>
        </w:rPr>
        <w:t>股</w:t>
      </w:r>
      <w:r>
        <w:rPr>
          <w:rFonts w:ascii="仿宋" w:eastAsia="仿宋" w:hAnsi="仿宋" w:hint="eastAsia"/>
          <w:b/>
          <w:sz w:val="24"/>
        </w:rPr>
        <w:t>600660</w:t>
      </w:r>
      <w:r>
        <w:rPr>
          <w:rFonts w:ascii="仿宋" w:eastAsia="仿宋" w:hAnsi="仿宋" w:hint="eastAsia"/>
          <w:b/>
          <w:sz w:val="24"/>
        </w:rPr>
        <w:t>；</w:t>
      </w:r>
      <w:r>
        <w:rPr>
          <w:rFonts w:ascii="仿宋" w:eastAsia="仿宋" w:hAnsi="仿宋" w:hint="eastAsia"/>
          <w:b/>
          <w:sz w:val="24"/>
        </w:rPr>
        <w:t>H</w:t>
      </w:r>
      <w:r>
        <w:rPr>
          <w:rFonts w:ascii="仿宋" w:eastAsia="仿宋" w:hAnsi="仿宋" w:hint="eastAsia"/>
          <w:b/>
          <w:sz w:val="24"/>
        </w:rPr>
        <w:t>股</w:t>
      </w:r>
      <w:r>
        <w:rPr>
          <w:rFonts w:ascii="仿宋" w:eastAsia="仿宋" w:hAnsi="仿宋" w:hint="eastAsia"/>
          <w:b/>
          <w:sz w:val="24"/>
        </w:rPr>
        <w:t>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</w:t>
            </w:r>
            <w:proofErr w:type="gramStart"/>
            <w:r w:rsidR="00B90444">
              <w:rPr>
                <w:rFonts w:ascii="仿宋" w:eastAsia="仿宋" w:hAnsi="仿宋"/>
                <w:sz w:val="24"/>
              </w:rPr>
              <w:t>师会议</w:t>
            </w:r>
            <w:proofErr w:type="gramEnd"/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√业绩说明会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新闻发布会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路演活动</w:t>
            </w:r>
          </w:p>
          <w:p w14:paraId="5D7C2F77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04A069BC" w:rsidR="00F325CF" w:rsidRDefault="009178A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70196683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3B6F9F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3B6F9F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CF402B">
              <w:rPr>
                <w:rFonts w:ascii="仿宋" w:eastAsia="仿宋" w:hAnsi="仿宋" w:hint="eastAsia"/>
                <w:sz w:val="24"/>
              </w:rPr>
              <w:t>2</w:t>
            </w:r>
            <w:r w:rsidR="003B6F9F">
              <w:rPr>
                <w:rFonts w:ascii="仿宋" w:eastAsia="仿宋" w:hAnsi="仿宋"/>
                <w:sz w:val="24"/>
              </w:rPr>
              <w:t>6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3A7ED8C9" w:rsidR="00F325CF" w:rsidRDefault="00AF4AE3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上海证券交易所上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证路演中心</w:t>
            </w:r>
            <w:proofErr w:type="gramEnd"/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71007171" w:rsidR="00F325CF" w:rsidRPr="003B6F9F" w:rsidRDefault="000B2B32">
            <w:pPr>
              <w:adjustRightInd w:val="0"/>
              <w:snapToGrid w:val="0"/>
              <w:spacing w:line="360" w:lineRule="auto"/>
            </w:pPr>
            <w:r>
              <w:rPr>
                <w:rFonts w:ascii="仿宋" w:eastAsia="仿宋" w:hAnsi="仿宋" w:hint="eastAsia"/>
                <w:sz w:val="24"/>
              </w:rPr>
              <w:t>董事兼总经理叶舒、董事兼财务总监陈向明、董事局秘书李小溪</w:t>
            </w:r>
            <w:r w:rsidR="003B6F9F">
              <w:rPr>
                <w:rFonts w:hint="eastAsia"/>
              </w:rPr>
              <w:t>、独立董事薛祖云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003D669A" w14:textId="0F494211" w:rsidR="00CF402B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CF402B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今年的85亿左右的资本支出预算主要支出在哪些方面?</w:t>
            </w:r>
          </w:p>
          <w:p w14:paraId="65F1C470" w14:textId="39416DDC" w:rsidR="000B2B32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您好，主要是福建福清项目、安徽合肥项目及现有生产基地的升级改造</w:t>
            </w:r>
            <w:r w:rsidR="000B2B32" w:rsidRPr="003B6F9F">
              <w:rPr>
                <w:rFonts w:ascii="FangSong" w:eastAsia="FangSong" w:hAnsi="FangSong"/>
                <w:sz w:val="24"/>
              </w:rPr>
              <w:t>。</w:t>
            </w:r>
          </w:p>
          <w:p w14:paraId="30AB268E" w14:textId="65CC4F7A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福耀玻璃今年3月披露，将追加4亿美元投资，用于旗下福耀玻璃伊利诺伊有限公司在美国投资建设一条</w:t>
            </w:r>
            <w:proofErr w:type="gramStart"/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汽车级</w:t>
            </w:r>
            <w:proofErr w:type="gramEnd"/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浮法玻璃生产线。请问公司为何考虑追加该投资？</w:t>
            </w:r>
          </w:p>
          <w:p w14:paraId="6EC90810" w14:textId="52780533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您好，主要是为了满足美国汽车玻璃基地对浮法玻璃原片的需求，保证原料供应，降低成本。</w:t>
            </w:r>
          </w:p>
          <w:p w14:paraId="59D9152D" w14:textId="0910693C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请问福耀玻璃2024年的整体产能利用率如何？</w:t>
            </w:r>
          </w:p>
          <w:p w14:paraId="26EC26D1" w14:textId="1480374B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您好，公司目前已是全球规模最大的汽车玻璃专业供应商，产能利用率80%左右。</w:t>
            </w:r>
          </w:p>
          <w:p w14:paraId="12A11698" w14:textId="75316732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福耀玻璃目前在全球汽车玻璃市场的份额情况如何？</w:t>
            </w:r>
          </w:p>
          <w:p w14:paraId="3E0E95D1" w14:textId="4472D5DF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您好，2022年公司市场份额达34%，目前已是全球最大的汽车玻璃厂商，近几年，公司汽车玻璃营收状况优于汽车行业，市场份</w:t>
            </w:r>
            <w:r w:rsidR="003B6F9F" w:rsidRPr="003B6F9F">
              <w:rPr>
                <w:rFonts w:ascii="FangSong" w:eastAsia="FangSong" w:hAnsi="FangSong"/>
                <w:sz w:val="24"/>
              </w:rPr>
              <w:lastRenderedPageBreak/>
              <w:t>额不断提升。</w:t>
            </w:r>
          </w:p>
          <w:p w14:paraId="14596A55" w14:textId="653F2862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2022年8月，福耀玻璃宣布在美国投资，包括建设镀膜汽车玻璃、浮法玻璃、以及太阳能背板玻璃深加工生产线等一揽子项目，福耀玻璃累计追加投资6.5亿美元。请问目前这些项目的建设进度如何？</w:t>
            </w:r>
          </w:p>
          <w:p w14:paraId="317879E3" w14:textId="14E01FDD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您好，公司美国汽</w:t>
            </w:r>
            <w:proofErr w:type="gramStart"/>
            <w:r w:rsidR="003B6F9F" w:rsidRPr="003B6F9F">
              <w:rPr>
                <w:rFonts w:ascii="FangSong" w:eastAsia="FangSong" w:hAnsi="FangSong"/>
                <w:sz w:val="24"/>
              </w:rPr>
              <w:t>玻</w:t>
            </w:r>
            <w:proofErr w:type="gramEnd"/>
            <w:r w:rsidR="003B6F9F" w:rsidRPr="003B6F9F">
              <w:rPr>
                <w:rFonts w:ascii="FangSong" w:eastAsia="FangSong" w:hAnsi="FangSong"/>
                <w:sz w:val="24"/>
              </w:rPr>
              <w:t>已于2024年底建成投产，目前进入爬坡量产阶段。新增的美国</w:t>
            </w:r>
            <w:proofErr w:type="gramStart"/>
            <w:r w:rsidR="003B6F9F" w:rsidRPr="003B6F9F">
              <w:rPr>
                <w:rFonts w:ascii="FangSong" w:eastAsia="FangSong" w:hAnsi="FangSong"/>
                <w:sz w:val="24"/>
              </w:rPr>
              <w:t>浮法产线目前</w:t>
            </w:r>
            <w:proofErr w:type="gramEnd"/>
            <w:r w:rsidR="003B6F9F" w:rsidRPr="003B6F9F">
              <w:rPr>
                <w:rFonts w:ascii="FangSong" w:eastAsia="FangSong" w:hAnsi="FangSong"/>
                <w:sz w:val="24"/>
              </w:rPr>
              <w:t>处于筹建中，预计2025年启动。</w:t>
            </w:r>
          </w:p>
          <w:p w14:paraId="54AC2B82" w14:textId="69D3C4F6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去年，福耀玻璃营收392亿元，同比增长18.3%；净利润约75亿元，同比增长33.2%。请问公司净利润增速高于营收增速的原因是什么？</w:t>
            </w:r>
          </w:p>
          <w:p w14:paraId="2E85743A" w14:textId="196C6AB4" w:rsidR="009178A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您好，主要</w:t>
            </w:r>
            <w:r w:rsidR="00DC2279">
              <w:rPr>
                <w:rFonts w:ascii="FangSong" w:eastAsia="FangSong" w:hAnsi="FangSong" w:hint="eastAsia"/>
                <w:sz w:val="24"/>
              </w:rPr>
              <w:t>得</w:t>
            </w:r>
            <w:r w:rsidR="003B6F9F" w:rsidRPr="003B6F9F">
              <w:rPr>
                <w:rFonts w:ascii="FangSong" w:eastAsia="FangSong" w:hAnsi="FangSong"/>
                <w:sz w:val="24"/>
              </w:rPr>
              <w:t>益于公司研发创新，产品附加值占比提升，规模效应，全面精益运营，费用管控能力增强。</w:t>
            </w:r>
          </w:p>
          <w:p w14:paraId="23D2517B" w14:textId="2B86A719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请问福耀美国公司净利润率下滑的原因是什么？</w:t>
            </w:r>
          </w:p>
          <w:p w14:paraId="6D9974B0" w14:textId="20AA684D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您好，美国项目2024年营业利润率13.10%，同比提升1.74个百分点。</w:t>
            </w:r>
          </w:p>
          <w:p w14:paraId="03DC4DB8" w14:textId="05FB5309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3B6F9F" w:rsidRPr="003B6F9F">
              <w:rPr>
                <w:rFonts w:ascii="FangSong" w:eastAsia="FangSong" w:hAnsi="FangSong"/>
                <w:b/>
                <w:bCs/>
                <w:sz w:val="24"/>
              </w:rPr>
              <w:t>我们海外工厂未来的利润率是否能够达到公司平均水平？未来如何应对欧美市场的贸易保护政策？谢谢</w:t>
            </w:r>
          </w:p>
          <w:p w14:paraId="69B9C120" w14:textId="0339709E" w:rsidR="009178A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您好，近几年美国营业利润率持续提升，2024年美国项目营业利润率为13.10%，同比提升1.74个百分点，我们会继续强化美国项目的竞争力。</w:t>
            </w:r>
          </w:p>
          <w:p w14:paraId="1DF30130" w14:textId="1826DB95" w:rsidR="003B6F9F" w:rsidRPr="003B6F9F" w:rsidRDefault="00CF402B" w:rsidP="003B6F9F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rPr>
                <w:rFonts w:ascii="FangSong" w:eastAsia="FangSong" w:hAnsi="FangSong" w:cstheme="minorBidi"/>
                <w:b/>
                <w:bCs/>
                <w:kern w:val="2"/>
                <w:szCs w:val="22"/>
              </w:rPr>
            </w:pPr>
            <w:r w:rsidRPr="003B6F9F">
              <w:rPr>
                <w:rFonts w:ascii="FangSong" w:eastAsia="FangSong" w:hAnsi="FangSong"/>
                <w:b/>
                <w:bCs/>
              </w:rPr>
              <w:t>Q</w:t>
            </w:r>
            <w:r w:rsidRPr="003B6F9F">
              <w:rPr>
                <w:rFonts w:ascii="FangSong" w:eastAsia="FangSong" w:hAnsi="FangSong" w:cstheme="minorBidi" w:hint="eastAsia"/>
                <w:b/>
                <w:bCs/>
                <w:kern w:val="2"/>
                <w:szCs w:val="22"/>
              </w:rPr>
              <w:t>：</w:t>
            </w:r>
            <w:r w:rsidR="003B6F9F" w:rsidRPr="003B6F9F">
              <w:rPr>
                <w:rFonts w:ascii="FangSong" w:eastAsia="FangSong" w:hAnsi="FangSong" w:cstheme="minorBidi"/>
                <w:b/>
                <w:bCs/>
                <w:kern w:val="2"/>
                <w:szCs w:val="22"/>
              </w:rPr>
              <w:t>2022年的一揽子计划中的浮法玻璃项目您刚才回复是筹建中，2025年启动；最近也宣布了新的浮法玻璃建设项目，请问该项目的投资节点规划如何？届时福耀在北美将有4座浮法窑炉后，产品定位如何？谢谢</w:t>
            </w:r>
          </w:p>
          <w:p w14:paraId="65131B3C" w14:textId="77777777" w:rsidR="00CF402B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3B6F9F" w:rsidRPr="003B6F9F">
              <w:rPr>
                <w:rFonts w:ascii="FangSong" w:eastAsia="FangSong" w:hAnsi="FangSong"/>
                <w:sz w:val="24"/>
              </w:rPr>
              <w:t>您好，2条浮法生产线用于满足汽车玻璃原片的需求，另外2条用于加工太阳能背板玻</w:t>
            </w:r>
            <w:bookmarkStart w:id="0" w:name="_GoBack"/>
            <w:bookmarkEnd w:id="0"/>
            <w:r w:rsidR="003B6F9F" w:rsidRPr="003B6F9F">
              <w:rPr>
                <w:rFonts w:ascii="FangSong" w:eastAsia="FangSong" w:hAnsi="FangSong"/>
                <w:sz w:val="24"/>
              </w:rPr>
              <w:t>璃。</w:t>
            </w:r>
          </w:p>
          <w:p w14:paraId="74A24FF0" w14:textId="77777777" w:rsidR="003B6F9F" w:rsidRPr="003B6F9F" w:rsidRDefault="003B6F9F" w:rsidP="003B6F9F">
            <w:pPr>
              <w:spacing w:line="360" w:lineRule="auto"/>
              <w:rPr>
                <w:rFonts w:ascii="FangSong" w:eastAsia="FangSong" w:hAnsi="FangSong"/>
                <w:color w:val="00040D"/>
                <w:szCs w:val="21"/>
                <w:shd w:val="clear" w:color="auto" w:fill="FFFFFF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Pr="003B6F9F">
              <w:rPr>
                <w:rFonts w:ascii="FangSong" w:eastAsia="FangSong" w:hAnsi="FangSong"/>
                <w:b/>
                <w:bCs/>
                <w:sz w:val="24"/>
              </w:rPr>
              <w:t>请问福耀美国公司利润率相比中报下滑的原因？</w:t>
            </w:r>
          </w:p>
          <w:p w14:paraId="129CD531" w14:textId="77777777" w:rsidR="003B6F9F" w:rsidRPr="003B6F9F" w:rsidRDefault="003B6F9F" w:rsidP="003B6F9F">
            <w:pPr>
              <w:spacing w:line="360" w:lineRule="auto"/>
              <w:rPr>
                <w:rFonts w:ascii="FangSong" w:eastAsia="FangSong" w:hAnsi="FangSong"/>
                <w:color w:val="00040D"/>
                <w:szCs w:val="21"/>
                <w:shd w:val="clear" w:color="auto" w:fill="F6F7F8"/>
              </w:rPr>
            </w:pPr>
            <w:r w:rsidRPr="003B6F9F">
              <w:rPr>
                <w:rFonts w:ascii="FangSong" w:eastAsia="FangSong" w:hAnsi="FangSong" w:hint="eastAsia"/>
                <w:color w:val="00040D"/>
                <w:szCs w:val="21"/>
                <w:shd w:val="clear" w:color="auto" w:fill="FFFFFF"/>
              </w:rPr>
              <w:t>A：</w:t>
            </w:r>
            <w:r w:rsidRPr="003B6F9F">
              <w:rPr>
                <w:rFonts w:ascii="FangSong" w:eastAsia="FangSong" w:hAnsi="FangSong"/>
                <w:sz w:val="24"/>
              </w:rPr>
              <w:t>您好，主要是为美国新项目新增员工薪</w:t>
            </w:r>
            <w:proofErr w:type="gramStart"/>
            <w:r w:rsidRPr="003B6F9F">
              <w:rPr>
                <w:rFonts w:ascii="FangSong" w:eastAsia="FangSong" w:hAnsi="FangSong"/>
                <w:sz w:val="24"/>
              </w:rPr>
              <w:t>酬</w:t>
            </w:r>
            <w:proofErr w:type="gramEnd"/>
            <w:r w:rsidRPr="003B6F9F">
              <w:rPr>
                <w:rFonts w:ascii="FangSong" w:eastAsia="FangSong" w:hAnsi="FangSong"/>
                <w:sz w:val="24"/>
              </w:rPr>
              <w:t>增加及相关培训成本。</w:t>
            </w:r>
          </w:p>
          <w:p w14:paraId="73A3707C" w14:textId="77777777" w:rsidR="003B6F9F" w:rsidRPr="003B6F9F" w:rsidRDefault="003B6F9F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Pr="003B6F9F">
              <w:rPr>
                <w:rFonts w:ascii="FangSong" w:eastAsia="FangSong" w:hAnsi="FangSong"/>
                <w:b/>
                <w:bCs/>
                <w:sz w:val="24"/>
              </w:rPr>
              <w:t>未来公司的毛利率和净利率是否还有继续提升优化的空间？</w:t>
            </w:r>
          </w:p>
          <w:p w14:paraId="7EE08C9B" w14:textId="77777777" w:rsidR="003B6F9F" w:rsidRPr="003B6F9F" w:rsidRDefault="003B6F9F" w:rsidP="003B6F9F">
            <w:pPr>
              <w:spacing w:line="360" w:lineRule="auto"/>
              <w:rPr>
                <w:rFonts w:ascii="FangSong" w:eastAsia="FangSong" w:hAnsi="FangSong"/>
                <w:color w:val="00040D"/>
                <w:szCs w:val="21"/>
                <w:shd w:val="clear" w:color="auto" w:fill="F6F7F8"/>
              </w:rPr>
            </w:pPr>
            <w:r w:rsidRPr="003B6F9F">
              <w:rPr>
                <w:rFonts w:ascii="FangSong" w:eastAsia="FangSong" w:hAnsi="FangSong" w:hint="eastAsia"/>
                <w:color w:val="00040D"/>
                <w:szCs w:val="21"/>
                <w:shd w:val="clear" w:color="auto" w:fill="FFFFFF"/>
              </w:rPr>
              <w:lastRenderedPageBreak/>
              <w:t>A：</w:t>
            </w:r>
            <w:r w:rsidRPr="003B6F9F">
              <w:rPr>
                <w:rFonts w:ascii="FangSong" w:eastAsia="FangSong" w:hAnsi="FangSong"/>
                <w:sz w:val="24"/>
              </w:rPr>
              <w:t>您好，公司持续加强研发投入、发挥创新引擎作用，推动产品结构升级，提升产品附加值，提升运营能力、管控能力、交付能力，发挥全员能动性，为公司的盈利能力提供坚实保障。</w:t>
            </w:r>
          </w:p>
          <w:p w14:paraId="3E2205A1" w14:textId="77777777" w:rsidR="003B6F9F" w:rsidRPr="003B6F9F" w:rsidRDefault="003B6F9F" w:rsidP="003B6F9F">
            <w:pPr>
              <w:spacing w:line="360" w:lineRule="auto"/>
              <w:rPr>
                <w:rFonts w:ascii="FangSong" w:eastAsia="FangSong" w:hAnsi="FangSong"/>
                <w:color w:val="00040D"/>
                <w:szCs w:val="21"/>
                <w:shd w:val="clear" w:color="auto" w:fill="FFFFFF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Pr="003B6F9F">
              <w:rPr>
                <w:rFonts w:ascii="FangSong" w:eastAsia="FangSong" w:hAnsi="FangSong"/>
                <w:b/>
                <w:bCs/>
                <w:sz w:val="24"/>
              </w:rPr>
              <w:t>肥西福耀和福清新项目生产基地建设进度如何？何时能正式量产？</w:t>
            </w:r>
          </w:p>
          <w:p w14:paraId="7820C346" w14:textId="2CDABE5B" w:rsidR="003B6F9F" w:rsidRPr="003B6F9F" w:rsidRDefault="003B6F9F" w:rsidP="003B6F9F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Pr="003B6F9F">
              <w:rPr>
                <w:rFonts w:ascii="FangSong" w:eastAsia="FangSong" w:hAnsi="FangSong"/>
                <w:sz w:val="24"/>
              </w:rPr>
              <w:t>您好，预计2025年底建成投产，后续进入爬坡量产</w:t>
            </w:r>
            <w:r w:rsidRPr="003B6F9F">
              <w:rPr>
                <w:rFonts w:ascii="仿宋" w:eastAsia="仿宋" w:hAnsi="仿宋"/>
                <w:sz w:val="24"/>
              </w:rPr>
              <w:t>阶段。</w:t>
            </w:r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B5D56" w14:textId="77777777" w:rsidR="00F13EE2" w:rsidRDefault="00F13EE2" w:rsidP="00BB0343">
      <w:r>
        <w:separator/>
      </w:r>
    </w:p>
  </w:endnote>
  <w:endnote w:type="continuationSeparator" w:id="0">
    <w:p w14:paraId="01438D91" w14:textId="77777777" w:rsidR="00F13EE2" w:rsidRDefault="00F13EE2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5DE2" w14:textId="77777777" w:rsidR="00F13EE2" w:rsidRDefault="00F13EE2" w:rsidP="00BB0343">
      <w:r>
        <w:separator/>
      </w:r>
    </w:p>
  </w:footnote>
  <w:footnote w:type="continuationSeparator" w:id="0">
    <w:p w14:paraId="5F53206C" w14:textId="77777777" w:rsidR="00F13EE2" w:rsidRDefault="00F13EE2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32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15CD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B6F9F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178A2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13F2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0BE3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02B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338F"/>
    <w:rsid w:val="00DB5DA0"/>
    <w:rsid w:val="00DB7712"/>
    <w:rsid w:val="00DC1446"/>
    <w:rsid w:val="00DC2279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A2A27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3EE2"/>
    <w:rsid w:val="00F14797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  <w:style w:type="paragraph" w:customStyle="1" w:styleId="contenthtml">
    <w:name w:val="content_html"/>
    <w:basedOn w:val="a"/>
    <w:rsid w:val="003B6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47</cp:revision>
  <cp:lastPrinted>2020-01-15T06:59:00Z</cp:lastPrinted>
  <dcterms:created xsi:type="dcterms:W3CDTF">2022-04-18T07:51:00Z</dcterms:created>
  <dcterms:modified xsi:type="dcterms:W3CDTF">2025-03-26T08:09:00Z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