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Times New Roman" w:hAnsi="Times New Roman"/>
        </w:rPr>
      </w:pPr>
      <w:r>
        <w:rPr>
          <w:rFonts w:hint="eastAsia" w:ascii="Times New Roman" w:hAnsi="Times New Roman"/>
        </w:rPr>
        <w:t xml:space="preserve"> </w:t>
      </w:r>
      <w:r>
        <w:rPr>
          <w:rFonts w:ascii="Times New Roman" w:hAnsi="Times New Roman"/>
        </w:rPr>
        <w:t>证券代码：</w:t>
      </w:r>
      <w:r>
        <w:rPr>
          <w:rFonts w:hint="eastAsia" w:ascii="Times New Roman" w:hAnsi="Times New Roman"/>
        </w:rPr>
        <w:t>6</w:t>
      </w:r>
      <w:r>
        <w:rPr>
          <w:rFonts w:ascii="Times New Roman" w:hAnsi="Times New Roman"/>
        </w:rPr>
        <w:t>88620  证券简称：安凯微</w:t>
      </w:r>
    </w:p>
    <w:p>
      <w:pPr>
        <w:spacing w:before="156" w:beforeLines="50" w:after="156" w:afterLines="50"/>
        <w:jc w:val="center"/>
        <w:rPr>
          <w:rFonts w:ascii="Times New Roman" w:hAnsi="Times New Roman"/>
          <w:sz w:val="30"/>
          <w:szCs w:val="30"/>
        </w:rPr>
      </w:pPr>
      <w:r>
        <w:rPr>
          <w:rFonts w:ascii="Times New Roman" w:hAnsi="Times New Roman"/>
          <w:sz w:val="30"/>
          <w:szCs w:val="30"/>
        </w:rPr>
        <w:t>广州安凯微电子股份有限公司</w:t>
      </w:r>
    </w:p>
    <w:p>
      <w:pPr>
        <w:spacing w:before="156" w:beforeLines="50" w:after="156" w:afterLines="50"/>
        <w:jc w:val="center"/>
        <w:rPr>
          <w:rFonts w:ascii="Times New Roman" w:hAnsi="Times New Roman"/>
          <w:sz w:val="30"/>
          <w:szCs w:val="30"/>
        </w:rPr>
      </w:pPr>
      <w:r>
        <w:rPr>
          <w:rFonts w:ascii="Times New Roman" w:hAnsi="Times New Roman"/>
          <w:sz w:val="30"/>
          <w:szCs w:val="30"/>
        </w:rPr>
        <w:t>投资者关系活动记录表</w:t>
      </w:r>
    </w:p>
    <w:p>
      <w:pPr>
        <w:spacing w:before="156" w:beforeLines="50" w:after="156" w:afterLines="50"/>
        <w:jc w:val="right"/>
        <w:rPr>
          <w:rFonts w:ascii="Times New Roman" w:hAnsi="Times New Roman"/>
        </w:rPr>
      </w:pPr>
      <w:r>
        <w:rPr>
          <w:rFonts w:ascii="Times New Roman" w:hAnsi="Times New Roman"/>
        </w:rPr>
        <w:t>编号：</w:t>
      </w:r>
      <w:r>
        <w:rPr>
          <w:rFonts w:hint="eastAsia" w:ascii="Times New Roman" w:hAnsi="Times New Roman"/>
        </w:rPr>
        <w:t>2</w:t>
      </w:r>
      <w:r>
        <w:rPr>
          <w:rFonts w:ascii="Times New Roman" w:hAnsi="Times New Roman"/>
        </w:rPr>
        <w:t>02</w:t>
      </w:r>
      <w:r>
        <w:rPr>
          <w:rFonts w:hint="eastAsia" w:ascii="Times New Roman" w:hAnsi="Times New Roman"/>
        </w:rPr>
        <w:t>5</w:t>
      </w:r>
      <w:r>
        <w:rPr>
          <w:rFonts w:ascii="Times New Roman" w:hAnsi="Times New Roman"/>
        </w:rPr>
        <w:t>-IR-0</w:t>
      </w:r>
      <w:r>
        <w:rPr>
          <w:rFonts w:hint="eastAsia" w:ascii="Times New Roman" w:hAnsi="Times New Roman"/>
        </w:rPr>
        <w:t>05</w:t>
      </w:r>
    </w:p>
    <w:tbl>
      <w:tblPr>
        <w:tblStyle w:val="14"/>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6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5" w:type="dxa"/>
          </w:tcPr>
          <w:p>
            <w:pPr>
              <w:spacing w:before="156" w:beforeLines="50" w:after="156" w:afterLines="50"/>
              <w:rPr>
                <w:rFonts w:ascii="Times New Roman" w:hAnsi="Times New Roman"/>
              </w:rPr>
            </w:pPr>
            <w:r>
              <w:rPr>
                <w:rFonts w:hint="eastAsia" w:ascii="Times New Roman" w:hAnsi="Times New Roman"/>
              </w:rPr>
              <w:t>投资者关系活动类别</w:t>
            </w:r>
          </w:p>
        </w:tc>
        <w:tc>
          <w:tcPr>
            <w:tcW w:w="6494" w:type="dxa"/>
          </w:tcPr>
          <w:p>
            <w:pPr>
              <w:spacing w:before="156" w:beforeLines="50" w:after="156" w:afterLines="50"/>
              <w:rPr>
                <w:rFonts w:ascii="Times New Roman" w:hAnsi="Times New Roman"/>
              </w:rPr>
            </w:pPr>
            <w:r>
              <w:rPr>
                <w:rFonts w:hint="eastAsia" w:ascii="Times New Roman" w:hAnsi="Times New Roman" w:cs="Cambria Math"/>
              </w:rPr>
              <w:t>■</w:t>
            </w:r>
            <w:r>
              <w:rPr>
                <w:rFonts w:hint="eastAsia" w:ascii="Cambria Math" w:hAnsi="Cambria Math" w:cs="Cambria Math"/>
              </w:rPr>
              <w:t xml:space="preserve"> </w:t>
            </w:r>
            <w:r>
              <w:rPr>
                <w:rFonts w:hint="eastAsia" w:ascii="Times New Roman" w:hAnsi="Times New Roman"/>
              </w:rPr>
              <w:t xml:space="preserve">特定对象调研 </w:t>
            </w:r>
            <w:r>
              <w:rPr>
                <w:rFonts w:ascii="Times New Roman" w:hAnsi="Times New Roman"/>
              </w:rPr>
              <w:t xml:space="preserve">  </w:t>
            </w:r>
            <w:r>
              <w:rPr>
                <w:rFonts w:ascii="Cambria Math" w:hAnsi="Cambria Math" w:cs="Cambria Math"/>
              </w:rPr>
              <w:t>⃞</w:t>
            </w:r>
            <w:r>
              <w:rPr>
                <w:rFonts w:ascii="Times New Roman" w:hAnsi="Times New Roman"/>
              </w:rPr>
              <w:t xml:space="preserve"> 分析师会议</w:t>
            </w:r>
          </w:p>
          <w:p>
            <w:pPr>
              <w:spacing w:before="156" w:beforeLines="50" w:after="156" w:afterLines="50"/>
              <w:ind w:firstLine="210" w:firstLineChars="100"/>
              <w:rPr>
                <w:rFonts w:ascii="Times New Roman" w:hAnsi="Times New Roman"/>
              </w:rPr>
            </w:pPr>
            <w:r>
              <w:rPr>
                <w:rFonts w:ascii="Cambria Math" w:hAnsi="Cambria Math" w:cs="Cambria Math"/>
              </w:rPr>
              <w:t>⃞</w:t>
            </w:r>
            <w:r>
              <w:rPr>
                <w:rFonts w:hint="eastAsia" w:ascii="Times New Roman" w:hAnsi="Times New Roman"/>
              </w:rPr>
              <w:t xml:space="preserve"> 媒体采访 </w:t>
            </w:r>
            <w:r>
              <w:rPr>
                <w:rFonts w:ascii="Times New Roman" w:hAnsi="Times New Roman"/>
              </w:rPr>
              <w:t xml:space="preserve">      </w:t>
            </w:r>
            <w:r>
              <w:rPr>
                <w:rFonts w:ascii="Cambria Math" w:hAnsi="Cambria Math" w:cs="Cambria Math"/>
              </w:rPr>
              <w:t>⃞</w:t>
            </w:r>
            <w:r>
              <w:rPr>
                <w:rFonts w:ascii="Times New Roman" w:hAnsi="Times New Roman"/>
              </w:rPr>
              <w:t xml:space="preserve"> 业绩说明会</w:t>
            </w:r>
          </w:p>
          <w:p>
            <w:pPr>
              <w:spacing w:before="156" w:beforeLines="50" w:after="156" w:afterLines="50"/>
              <w:ind w:firstLine="210" w:firstLineChars="100"/>
              <w:rPr>
                <w:rFonts w:ascii="Times New Roman" w:hAnsi="Times New Roman"/>
              </w:rPr>
            </w:pPr>
            <w:r>
              <w:rPr>
                <w:rFonts w:ascii="Cambria Math" w:hAnsi="Cambria Math" w:cs="Cambria Math"/>
              </w:rPr>
              <w:t>⃞</w:t>
            </w:r>
            <w:r>
              <w:rPr>
                <w:rFonts w:hint="eastAsia" w:ascii="Times New Roman" w:hAnsi="Times New Roman"/>
              </w:rPr>
              <w:t xml:space="preserve"> 新闻发布会  </w:t>
            </w:r>
            <w:r>
              <w:rPr>
                <w:rFonts w:ascii="Times New Roman" w:hAnsi="Times New Roman"/>
              </w:rPr>
              <w:t xml:space="preserve">   </w:t>
            </w:r>
            <w:r>
              <w:rPr>
                <w:rFonts w:ascii="Cambria Math" w:hAnsi="Cambria Math" w:cs="Cambria Math"/>
              </w:rPr>
              <w:t>⃞</w:t>
            </w:r>
            <w:r>
              <w:rPr>
                <w:rFonts w:ascii="Times New Roman" w:hAnsi="Times New Roman"/>
              </w:rPr>
              <w:t xml:space="preserve"> 路演活动</w:t>
            </w:r>
          </w:p>
          <w:p>
            <w:pPr>
              <w:spacing w:before="156" w:beforeLines="50" w:after="156" w:afterLines="50"/>
              <w:rPr>
                <w:rFonts w:ascii="Times New Roman" w:hAnsi="Times New Roman"/>
              </w:rPr>
            </w:pPr>
            <w:r>
              <w:rPr>
                <w:rFonts w:ascii="Times New Roman" w:hAnsi="Times New Roman"/>
              </w:rPr>
              <w:t xml:space="preserve">  </w:t>
            </w:r>
            <w:r>
              <w:rPr>
                <w:rFonts w:ascii="Cambria Math" w:hAnsi="Cambria Math" w:cs="Cambria Math"/>
              </w:rPr>
              <w:t>⃞</w:t>
            </w:r>
            <w:r>
              <w:rPr>
                <w:rFonts w:hint="eastAsia" w:ascii="Cambria Math" w:hAnsi="Cambria Math" w:cs="Cambria Math"/>
              </w:rPr>
              <w:t xml:space="preserve"> </w:t>
            </w:r>
            <w:r>
              <w:rPr>
                <w:rFonts w:hint="eastAsia" w:ascii="Times New Roman" w:hAnsi="Times New Roman"/>
              </w:rPr>
              <w:t xml:space="preserve">现场参观 </w:t>
            </w:r>
            <w:r>
              <w:rPr>
                <w:rFonts w:ascii="Times New Roman" w:hAnsi="Times New Roman"/>
              </w:rPr>
              <w:t xml:space="preserve">      </w:t>
            </w:r>
            <w:r>
              <w:rPr>
                <w:rFonts w:ascii="Cambria Math" w:hAnsi="Cambria Math" w:cs="Cambria Math"/>
              </w:rPr>
              <w:t>⃞</w:t>
            </w:r>
            <w:r>
              <w:rPr>
                <w:rFonts w:ascii="Times New Roman" w:hAnsi="Times New Roman"/>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5" w:type="dxa"/>
          </w:tcPr>
          <w:p>
            <w:pPr>
              <w:spacing w:before="156" w:beforeLines="50" w:after="156" w:afterLines="50"/>
              <w:rPr>
                <w:rFonts w:ascii="Times New Roman" w:hAnsi="Times New Roman"/>
              </w:rPr>
            </w:pPr>
            <w:r>
              <w:rPr>
                <w:rFonts w:hint="eastAsia" w:ascii="Times New Roman" w:hAnsi="Times New Roman"/>
              </w:rPr>
              <w:t>参与单位名称</w:t>
            </w:r>
          </w:p>
        </w:tc>
        <w:tc>
          <w:tcPr>
            <w:tcW w:w="6494" w:type="dxa"/>
          </w:tcPr>
          <w:p>
            <w:pPr>
              <w:spacing w:before="156" w:beforeLines="50" w:after="156" w:afterLines="50"/>
              <w:rPr>
                <w:rFonts w:ascii="Times New Roman" w:hAnsi="Times New Roman" w:cs="Times New Roman"/>
              </w:rPr>
            </w:pPr>
            <w:r>
              <w:rPr>
                <w:rFonts w:hint="eastAsia" w:ascii="Times New Roman" w:hAnsi="Times New Roman" w:cs="Times New Roman"/>
              </w:rPr>
              <w:t>中邮证券、华商基金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5" w:type="dxa"/>
          </w:tcPr>
          <w:p>
            <w:pPr>
              <w:spacing w:before="156" w:beforeLines="50" w:after="156" w:afterLines="50"/>
              <w:rPr>
                <w:rFonts w:ascii="Times New Roman" w:hAnsi="Times New Roman"/>
              </w:rPr>
            </w:pPr>
            <w:r>
              <w:rPr>
                <w:rFonts w:hint="eastAsia" w:ascii="Times New Roman" w:hAnsi="Times New Roman"/>
              </w:rPr>
              <w:t>时间</w:t>
            </w:r>
          </w:p>
        </w:tc>
        <w:tc>
          <w:tcPr>
            <w:tcW w:w="6494" w:type="dxa"/>
          </w:tcPr>
          <w:p>
            <w:pPr>
              <w:spacing w:before="156" w:beforeLines="50" w:after="156" w:afterLines="50"/>
              <w:rPr>
                <w:rFonts w:ascii="Times New Roman" w:hAnsi="Times New Roman"/>
              </w:rPr>
            </w:pPr>
            <w:r>
              <w:rPr>
                <w:rFonts w:hint="eastAsia" w:ascii="Times New Roman" w:hAnsi="Times New Roman"/>
              </w:rPr>
              <w:t>2</w:t>
            </w:r>
            <w:r>
              <w:rPr>
                <w:rFonts w:ascii="Times New Roman" w:hAnsi="Times New Roman"/>
              </w:rPr>
              <w:t>02</w:t>
            </w:r>
            <w:r>
              <w:rPr>
                <w:rFonts w:hint="eastAsia" w:ascii="Times New Roman" w:hAnsi="Times New Roman"/>
              </w:rPr>
              <w:t>5</w:t>
            </w:r>
            <w:r>
              <w:rPr>
                <w:rFonts w:ascii="Times New Roman" w:hAnsi="Times New Roman"/>
              </w:rPr>
              <w:t>年</w:t>
            </w:r>
            <w:r>
              <w:rPr>
                <w:rFonts w:hint="eastAsia" w:ascii="Times New Roman" w:hAnsi="Times New Roman"/>
              </w:rPr>
              <w:t>03</w:t>
            </w:r>
            <w:r>
              <w:rPr>
                <w:rFonts w:ascii="Times New Roman" w:hAnsi="Times New Roman"/>
              </w:rPr>
              <w:t>月</w:t>
            </w:r>
            <w:r>
              <w:rPr>
                <w:rFonts w:hint="eastAsia" w:ascii="Times New Roman" w:hAnsi="Times New Roman"/>
              </w:rPr>
              <w:t>25</w:t>
            </w:r>
            <w:r>
              <w:rPr>
                <w:rFonts w:ascii="Times New Roman" w:hAnsi="Times New Roman"/>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865" w:type="dxa"/>
          </w:tcPr>
          <w:p>
            <w:pPr>
              <w:spacing w:before="156" w:beforeLines="50" w:after="156" w:afterLines="50"/>
              <w:rPr>
                <w:rFonts w:ascii="Times New Roman" w:hAnsi="Times New Roman"/>
              </w:rPr>
            </w:pPr>
            <w:r>
              <w:rPr>
                <w:rFonts w:hint="eastAsia" w:ascii="Times New Roman" w:hAnsi="Times New Roman"/>
              </w:rPr>
              <w:t>地点</w:t>
            </w:r>
          </w:p>
        </w:tc>
        <w:tc>
          <w:tcPr>
            <w:tcW w:w="6494" w:type="dxa"/>
          </w:tcPr>
          <w:p>
            <w:pPr>
              <w:spacing w:before="156" w:beforeLines="50" w:after="156" w:afterLines="50"/>
              <w:rPr>
                <w:rFonts w:ascii="Times New Roman" w:hAnsi="Times New Roman"/>
              </w:rPr>
            </w:pPr>
            <w:r>
              <w:rPr>
                <w:rFonts w:hint="eastAsia" w:ascii="Times New Roman" w:hAnsi="Times New Roman"/>
              </w:rPr>
              <w:t>广州安凯微电子H大厦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5" w:type="dxa"/>
          </w:tcPr>
          <w:p>
            <w:pPr>
              <w:spacing w:before="156" w:beforeLines="50" w:after="156" w:afterLines="50"/>
              <w:rPr>
                <w:rFonts w:ascii="Times New Roman" w:hAnsi="Times New Roman"/>
              </w:rPr>
            </w:pPr>
            <w:r>
              <w:rPr>
                <w:rFonts w:hint="eastAsia" w:ascii="Times New Roman" w:hAnsi="Times New Roman"/>
              </w:rPr>
              <w:t>上市公司参会人员姓名</w:t>
            </w:r>
          </w:p>
        </w:tc>
        <w:tc>
          <w:tcPr>
            <w:tcW w:w="6494" w:type="dxa"/>
          </w:tcPr>
          <w:p>
            <w:pPr>
              <w:pStyle w:val="47"/>
              <w:numPr>
                <w:ilvl w:val="0"/>
                <w:numId w:val="1"/>
              </w:numPr>
              <w:spacing w:before="156" w:beforeLines="50" w:after="156" w:afterLines="50"/>
              <w:ind w:firstLineChars="0"/>
              <w:rPr>
                <w:rFonts w:ascii="Times New Roman" w:hAnsi="Times New Roman"/>
              </w:rPr>
            </w:pPr>
            <w:r>
              <w:rPr>
                <w:rFonts w:hint="eastAsia" w:ascii="Times New Roman" w:hAnsi="Times New Roman"/>
              </w:rPr>
              <w:t>副总经理、董事会秘书 李瑾懿</w:t>
            </w:r>
          </w:p>
          <w:p>
            <w:pPr>
              <w:spacing w:before="156" w:beforeLines="50" w:after="156" w:afterLines="50"/>
              <w:rPr>
                <w:rFonts w:ascii="Times New Roman" w:hAnsi="Times New Roman"/>
              </w:rPr>
            </w:pPr>
            <w:r>
              <w:rPr>
                <w:rFonts w:hint="eastAsia" w:ascii="Times New Roman" w:hAnsi="Times New Roman"/>
              </w:rPr>
              <w:t>2、证券事务部 葛淳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6" w:hRule="atLeast"/>
          <w:jc w:val="center"/>
        </w:trPr>
        <w:tc>
          <w:tcPr>
            <w:tcW w:w="1865" w:type="dxa"/>
          </w:tcPr>
          <w:p>
            <w:pPr>
              <w:spacing w:before="156" w:beforeLines="50" w:after="156" w:afterLines="50"/>
              <w:rPr>
                <w:rFonts w:ascii="Times New Roman" w:hAnsi="Times New Roman"/>
              </w:rPr>
            </w:pPr>
            <w:r>
              <w:rPr>
                <w:rFonts w:hint="eastAsia" w:ascii="Times New Roman" w:hAnsi="Times New Roman"/>
              </w:rPr>
              <w:t>投资者关系活动主要内容介绍</w:t>
            </w:r>
          </w:p>
        </w:tc>
        <w:tc>
          <w:tcPr>
            <w:tcW w:w="6494" w:type="dxa"/>
          </w:tcPr>
          <w:p>
            <w:pPr>
              <w:pStyle w:val="47"/>
              <w:numPr>
                <w:ilvl w:val="0"/>
                <w:numId w:val="2"/>
              </w:numPr>
              <w:spacing w:before="156" w:beforeLines="50" w:after="156" w:afterLines="50" w:line="276" w:lineRule="auto"/>
              <w:ind w:firstLineChars="0"/>
              <w:rPr>
                <w:rFonts w:ascii="Times New Roman" w:hAnsi="Times New Roman"/>
              </w:rPr>
            </w:pPr>
            <w:r>
              <w:rPr>
                <w:rFonts w:hint="eastAsia" w:ascii="Times New Roman" w:hAnsi="Times New Roman"/>
              </w:rPr>
              <w:t>投资者了解公司发展历程、主营业务、技术、产品、市场经营、发展战略等情况。</w:t>
            </w:r>
          </w:p>
          <w:p>
            <w:pPr>
              <w:pStyle w:val="52"/>
              <w:numPr>
                <w:ilvl w:val="0"/>
                <w:numId w:val="2"/>
              </w:numPr>
              <w:spacing w:before="156" w:beforeLines="50" w:after="156" w:afterLines="50" w:line="276" w:lineRule="auto"/>
              <w:ind w:firstLineChars="0"/>
              <w:rPr>
                <w:rFonts w:ascii="Times New Roman" w:hAnsi="Times New Roman"/>
              </w:rPr>
            </w:pPr>
            <w:r>
              <w:rPr>
                <w:rFonts w:ascii="Times New Roman" w:hAnsi="Times New Roman"/>
              </w:rPr>
              <w:t>投资者提出的问题与公司的回复情况</w:t>
            </w:r>
            <w:r>
              <w:rPr>
                <w:rFonts w:hint="eastAsia" w:ascii="Times New Roman" w:hAnsi="Times New Roman"/>
              </w:rPr>
              <w:t>。</w:t>
            </w:r>
          </w:p>
          <w:p>
            <w:pPr>
              <w:pStyle w:val="52"/>
              <w:spacing w:before="156" w:beforeLines="50" w:after="156" w:afterLines="50" w:line="276" w:lineRule="auto"/>
              <w:ind w:firstLine="0" w:firstLineChars="0"/>
              <w:rPr>
                <w:rFonts w:ascii="Times New Roman" w:hAnsi="Times New Roman"/>
                <w:b/>
                <w:bCs/>
              </w:rPr>
            </w:pPr>
            <w:r>
              <w:rPr>
                <w:rFonts w:hint="eastAsia" w:ascii="Times New Roman" w:hAnsi="Times New Roman"/>
                <w:b/>
                <w:bCs/>
              </w:rPr>
              <w:t>Q</w:t>
            </w:r>
            <w:r>
              <w:rPr>
                <w:rFonts w:hint="eastAsia" w:ascii="Times New Roman" w:hAnsi="Times New Roman"/>
                <w:b/>
                <w:bCs/>
                <w:lang w:val="en-US" w:eastAsia="zh-CN"/>
              </w:rPr>
              <w:t>1</w:t>
            </w:r>
            <w:r>
              <w:rPr>
                <w:rFonts w:hint="eastAsia" w:ascii="Times New Roman" w:hAnsi="Times New Roman"/>
                <w:b/>
                <w:bCs/>
              </w:rPr>
              <w:t>：鉴于</w:t>
            </w:r>
            <w:r>
              <w:rPr>
                <w:rFonts w:hint="eastAsia" w:ascii="Times New Roman" w:hAnsi="Times New Roman"/>
                <w:b/>
                <w:bCs/>
                <w:lang w:val="en-US" w:eastAsia="zh-CN"/>
              </w:rPr>
              <w:t>公司SoC</w:t>
            </w:r>
            <w:r>
              <w:rPr>
                <w:rFonts w:hint="eastAsia" w:ascii="Times New Roman" w:hAnsi="Times New Roman"/>
                <w:b/>
                <w:bCs/>
              </w:rPr>
              <w:t>芯片覆盖的终端细分市场比较广泛，</w:t>
            </w:r>
            <w:r>
              <w:rPr>
                <w:rFonts w:ascii="Times New Roman" w:hAnsi="Times New Roman"/>
                <w:b/>
                <w:bCs/>
              </w:rPr>
              <w:t>在智能化发展趋势下</w:t>
            </w:r>
            <w:r>
              <w:rPr>
                <w:rFonts w:hint="eastAsia" w:ascii="Times New Roman" w:hAnsi="Times New Roman"/>
                <w:b/>
                <w:bCs/>
                <w:lang w:val="en-US" w:eastAsia="zh-CN"/>
              </w:rPr>
              <w:t>产品</w:t>
            </w:r>
            <w:r>
              <w:rPr>
                <w:rFonts w:hint="eastAsia" w:ascii="Times New Roman" w:hAnsi="Times New Roman"/>
                <w:b/>
                <w:bCs/>
              </w:rPr>
              <w:t>有哪些</w:t>
            </w:r>
            <w:r>
              <w:rPr>
                <w:rFonts w:ascii="Times New Roman" w:hAnsi="Times New Roman"/>
                <w:b/>
                <w:bCs/>
              </w:rPr>
              <w:t>发展潜力</w:t>
            </w:r>
            <w:r>
              <w:rPr>
                <w:rFonts w:hint="eastAsia" w:ascii="Times New Roman" w:hAnsi="Times New Roman"/>
                <w:b/>
                <w:bCs/>
                <w:lang w:eastAsia="zh-CN"/>
              </w:rPr>
              <w:t>，</w:t>
            </w:r>
            <w:r>
              <w:rPr>
                <w:rFonts w:hint="eastAsia" w:ascii="Times New Roman" w:hAnsi="Times New Roman"/>
                <w:b/>
                <w:bCs/>
                <w:lang w:val="en-US" w:eastAsia="zh-CN"/>
              </w:rPr>
              <w:t>有哪些新的应用可拓展</w:t>
            </w:r>
            <w:r>
              <w:rPr>
                <w:rFonts w:ascii="Times New Roman" w:hAnsi="Times New Roman"/>
                <w:b/>
                <w:bCs/>
              </w:rPr>
              <w:t>？</w:t>
            </w:r>
          </w:p>
          <w:p>
            <w:pPr>
              <w:pStyle w:val="52"/>
              <w:spacing w:before="156" w:beforeLines="50" w:after="156" w:afterLines="50" w:line="276" w:lineRule="auto"/>
              <w:ind w:firstLine="0" w:firstLineChars="0"/>
              <w:rPr>
                <w:rFonts w:hint="eastAsia" w:ascii="Times New Roman" w:hAnsi="Times New Roman"/>
              </w:rPr>
            </w:pPr>
            <w:r>
              <w:rPr>
                <w:rFonts w:hint="eastAsia" w:ascii="Times New Roman" w:hAnsi="Times New Roman"/>
              </w:rPr>
              <w:t>A</w:t>
            </w:r>
            <w:r>
              <w:rPr>
                <w:rFonts w:hint="eastAsia" w:ascii="Times New Roman" w:hAnsi="Times New Roman"/>
                <w:lang w:val="en-US" w:eastAsia="zh-CN"/>
              </w:rPr>
              <w:t>1</w:t>
            </w:r>
            <w:r>
              <w:rPr>
                <w:rFonts w:hint="eastAsia" w:ascii="Times New Roman" w:hAnsi="Times New Roman"/>
              </w:rPr>
              <w:t>：公司芯片的下游市场非常广阔，针对广泛的IoT终端</w:t>
            </w:r>
            <w:r>
              <w:rPr>
                <w:rFonts w:hint="eastAsia" w:ascii="Times New Roman" w:hAnsi="Times New Roman"/>
                <w:lang w:eastAsia="zh-CN"/>
              </w:rPr>
              <w:t>。</w:t>
            </w:r>
            <w:r>
              <w:rPr>
                <w:rFonts w:hint="eastAsia" w:ascii="Times New Roman" w:hAnsi="Times New Roman"/>
                <w:lang w:val="en-US" w:eastAsia="zh-CN"/>
              </w:rPr>
              <w:t>芯片</w:t>
            </w:r>
            <w:r>
              <w:rPr>
                <w:rFonts w:hint="eastAsia" w:ascii="Times New Roman" w:hAnsi="Times New Roman"/>
              </w:rPr>
              <w:t>特点之一就是</w:t>
            </w:r>
            <w:r>
              <w:rPr>
                <w:rFonts w:hint="eastAsia" w:ascii="Times New Roman" w:hAnsi="Times New Roman"/>
                <w:lang w:val="en-US" w:eastAsia="zh-CN"/>
              </w:rPr>
              <w:t>集成度高，</w:t>
            </w:r>
            <w:r>
              <w:rPr>
                <w:rFonts w:hint="eastAsia" w:ascii="Times New Roman" w:hAnsi="Times New Roman"/>
              </w:rPr>
              <w:t>单颗芯片可以支持多种功能</w:t>
            </w:r>
            <w:r>
              <w:rPr>
                <w:rFonts w:hint="eastAsia" w:ascii="Times New Roman" w:hAnsi="Times New Roman"/>
                <w:lang w:eastAsia="zh-CN"/>
              </w:rPr>
              <w:t>。</w:t>
            </w:r>
            <w:r>
              <w:rPr>
                <w:rFonts w:hint="eastAsia" w:ascii="Times New Roman" w:hAnsi="Times New Roman"/>
              </w:rPr>
              <w:t>可以根据具体场景的需要，基于同一芯片开发不同的系统软硬件及应用。除了不断推出新的芯片产品，公司也持续在通过这个方式拓宽各类芯片产品在新的领域应用，如智能零售终端、智能耳机</w:t>
            </w:r>
            <w:r>
              <w:rPr>
                <w:rFonts w:hint="eastAsia" w:ascii="Times New Roman" w:hAnsi="Times New Roman"/>
                <w:lang w:eastAsia="zh-CN"/>
              </w:rPr>
              <w:t>、</w:t>
            </w:r>
            <w:r>
              <w:rPr>
                <w:rFonts w:hint="eastAsia" w:ascii="Times New Roman" w:hAnsi="Times New Roman"/>
                <w:lang w:val="en-US" w:eastAsia="zh-CN"/>
              </w:rPr>
              <w:t>智能玩具、AI眼镜</w:t>
            </w:r>
            <w:r>
              <w:rPr>
                <w:rFonts w:hint="eastAsia" w:ascii="Times New Roman" w:hAnsi="Times New Roman"/>
              </w:rPr>
              <w:t>等等。</w:t>
            </w:r>
          </w:p>
          <w:p>
            <w:pPr>
              <w:pStyle w:val="52"/>
              <w:spacing w:before="156" w:beforeLines="50" w:after="156" w:afterLines="50" w:line="276" w:lineRule="auto"/>
              <w:ind w:firstLine="0" w:firstLineChars="0"/>
              <w:rPr>
                <w:rFonts w:hint="eastAsia" w:ascii="Times New Roman" w:hAnsi="Times New Roman"/>
                <w:b/>
                <w:bCs/>
              </w:rPr>
            </w:pPr>
            <w:r>
              <w:rPr>
                <w:rFonts w:hint="eastAsia" w:ascii="Times New Roman" w:hAnsi="Times New Roman"/>
                <w:b/>
                <w:bCs/>
              </w:rPr>
              <w:t>Q</w:t>
            </w:r>
            <w:r>
              <w:rPr>
                <w:rFonts w:hint="eastAsia" w:ascii="Times New Roman" w:hAnsi="Times New Roman"/>
                <w:b/>
                <w:bCs/>
                <w:lang w:val="en-US" w:eastAsia="zh-CN"/>
              </w:rPr>
              <w:t>2</w:t>
            </w:r>
            <w:r>
              <w:rPr>
                <w:rFonts w:hint="eastAsia" w:ascii="Times New Roman" w:hAnsi="Times New Roman"/>
                <w:b/>
                <w:bCs/>
              </w:rPr>
              <w:t>：</w:t>
            </w:r>
            <w:r>
              <w:rPr>
                <w:rFonts w:hint="eastAsia" w:ascii="Times New Roman" w:hAnsi="Times New Roman"/>
                <w:b/>
                <w:bCs/>
                <w:lang w:val="en-US" w:eastAsia="zh-CN"/>
              </w:rPr>
              <w:t>作为芯片公司，公司与终端品牌厂商是什么样的合作关系</w:t>
            </w:r>
            <w:r>
              <w:rPr>
                <w:rFonts w:hint="eastAsia" w:ascii="Times New Roman" w:hAnsi="Times New Roman"/>
                <w:b/>
                <w:bCs/>
              </w:rPr>
              <w:t>？公司是否直接与终端进行业务往来或者是否直接接触</w:t>
            </w:r>
            <w:r>
              <w:rPr>
                <w:rFonts w:hint="eastAsia" w:ascii="Times New Roman" w:hAnsi="Times New Roman"/>
                <w:b/>
                <w:bCs/>
                <w:lang w:val="en-US" w:eastAsia="zh-CN"/>
              </w:rPr>
              <w:t>智能终端</w:t>
            </w:r>
            <w:r>
              <w:rPr>
                <w:rFonts w:hint="eastAsia" w:ascii="Times New Roman" w:hAnsi="Times New Roman"/>
                <w:b/>
                <w:bCs/>
              </w:rPr>
              <w:t>厂商？</w:t>
            </w:r>
          </w:p>
          <w:p>
            <w:pPr>
              <w:pStyle w:val="52"/>
              <w:spacing w:before="156" w:beforeLines="50" w:after="156" w:afterLines="50" w:line="276" w:lineRule="auto"/>
              <w:ind w:firstLine="0" w:firstLineChars="0"/>
              <w:rPr>
                <w:rFonts w:ascii="Times New Roman" w:hAnsi="Times New Roman"/>
              </w:rPr>
            </w:pPr>
            <w:r>
              <w:rPr>
                <w:rFonts w:hint="eastAsia" w:ascii="Times New Roman" w:hAnsi="Times New Roman"/>
              </w:rPr>
              <w:t>A</w:t>
            </w:r>
            <w:r>
              <w:rPr>
                <w:rFonts w:hint="eastAsia" w:ascii="Times New Roman" w:hAnsi="Times New Roman"/>
                <w:lang w:val="en-US" w:eastAsia="zh-CN"/>
              </w:rPr>
              <w:t>2</w:t>
            </w:r>
            <w:r>
              <w:rPr>
                <w:rFonts w:hint="eastAsia" w:ascii="Times New Roman" w:hAnsi="Times New Roman"/>
              </w:rPr>
              <w:t>：公司</w:t>
            </w:r>
            <w:r>
              <w:rPr>
                <w:rFonts w:hint="eastAsia" w:ascii="Times New Roman" w:hAnsi="Times New Roman"/>
                <w:lang w:val="en-US" w:eastAsia="zh-CN"/>
              </w:rPr>
              <w:t>一般通过直接服务于终端厂商</w:t>
            </w:r>
            <w:r>
              <w:rPr>
                <w:rFonts w:hint="eastAsia" w:ascii="Times New Roman" w:hAnsi="Times New Roman"/>
                <w:lang w:eastAsia="zh-CN"/>
              </w:rPr>
              <w:t>，</w:t>
            </w:r>
            <w:r>
              <w:rPr>
                <w:rFonts w:hint="eastAsia" w:ascii="Times New Roman" w:hAnsi="Times New Roman"/>
                <w:lang w:val="en-US" w:eastAsia="zh-CN"/>
              </w:rPr>
              <w:t>或者通过下游方案设计</w:t>
            </w:r>
            <w:r>
              <w:rPr>
                <w:rFonts w:hint="eastAsia" w:ascii="Times New Roman" w:hAnsi="Times New Roman"/>
              </w:rPr>
              <w:t>公司</w:t>
            </w:r>
            <w:r>
              <w:rPr>
                <w:rFonts w:hint="eastAsia" w:ascii="Times New Roman" w:hAnsi="Times New Roman"/>
                <w:lang w:val="en-US" w:eastAsia="zh-CN"/>
              </w:rPr>
              <w:t>向</w:t>
            </w:r>
            <w:r>
              <w:rPr>
                <w:rFonts w:hint="eastAsia" w:ascii="Times New Roman" w:hAnsi="Times New Roman"/>
              </w:rPr>
              <w:t>客户</w:t>
            </w:r>
            <w:r>
              <w:rPr>
                <w:rFonts w:hint="eastAsia" w:ascii="Times New Roman" w:hAnsi="Times New Roman"/>
                <w:lang w:val="en-US" w:eastAsia="zh-CN"/>
              </w:rPr>
              <w:t>推广或提供解决方案和服务的方式与终端厂商合作</w:t>
            </w:r>
            <w:r>
              <w:rPr>
                <w:rFonts w:hint="eastAsia" w:ascii="Times New Roman" w:hAnsi="Times New Roman"/>
              </w:rPr>
              <w:t>。</w:t>
            </w:r>
            <w:r>
              <w:rPr>
                <w:rFonts w:hint="eastAsia" w:ascii="Times New Roman" w:hAnsi="Times New Roman"/>
                <w:lang w:val="en-US" w:eastAsia="zh-CN"/>
              </w:rPr>
              <w:t>比如，公司有合作密切的玩具方案设计公司，他们会基于公司的芯片和产品开发包开发差异化的玩具解决方案并向各玩具终端厂商推广</w:t>
            </w:r>
            <w:r>
              <w:rPr>
                <w:rFonts w:hint="eastAsia" w:ascii="Times New Roman" w:hAnsi="Times New Roman"/>
              </w:rPr>
              <w:t>，公司会视客户需求</w:t>
            </w:r>
            <w:bookmarkStart w:id="0" w:name="_GoBack"/>
            <w:bookmarkEnd w:id="0"/>
            <w:r>
              <w:rPr>
                <w:rFonts w:hint="eastAsia" w:ascii="Times New Roman" w:hAnsi="Times New Roman"/>
                <w:lang w:val="en-US" w:eastAsia="zh-CN"/>
              </w:rPr>
              <w:t>提供不同颗粒度的</w:t>
            </w:r>
            <w:r>
              <w:rPr>
                <w:rFonts w:hint="eastAsia" w:ascii="Times New Roman" w:hAnsi="Times New Roman"/>
              </w:rPr>
              <w:t>支持。</w:t>
            </w:r>
          </w:p>
          <w:p>
            <w:pPr>
              <w:pStyle w:val="52"/>
              <w:spacing w:before="156" w:beforeLines="50" w:after="156" w:afterLines="50" w:line="276" w:lineRule="auto"/>
              <w:ind w:firstLine="0" w:firstLineChars="0"/>
              <w:rPr>
                <w:rFonts w:hint="eastAsia" w:ascii="Times New Roman" w:hAnsi="Times New Roman"/>
                <w:b/>
                <w:bCs/>
              </w:rPr>
            </w:pPr>
            <w:r>
              <w:rPr>
                <w:rFonts w:hint="eastAsia" w:ascii="Times New Roman" w:hAnsi="Times New Roman"/>
                <w:b/>
                <w:bCs/>
              </w:rPr>
              <w:t>Q3：公司在智能门锁的市场的合作伙伴？</w:t>
            </w:r>
            <w:r>
              <w:rPr>
                <w:rFonts w:ascii="Times New Roman" w:hAnsi="Times New Roman"/>
                <w:b/>
                <w:bCs/>
              </w:rPr>
              <w:t>今年智能门锁市场是否预期仍有增长空间？</w:t>
            </w:r>
            <w:r>
              <w:rPr>
                <w:rFonts w:hint="eastAsia" w:ascii="Times New Roman" w:hAnsi="Times New Roman"/>
                <w:b/>
                <w:bCs/>
              </w:rPr>
              <w:t xml:space="preserve"> </w:t>
            </w:r>
          </w:p>
          <w:p>
            <w:pPr>
              <w:pStyle w:val="52"/>
              <w:spacing w:before="156" w:beforeLines="50" w:after="156" w:afterLines="50" w:line="276" w:lineRule="auto"/>
              <w:ind w:firstLine="0" w:firstLineChars="0"/>
              <w:rPr>
                <w:rFonts w:hint="eastAsia" w:ascii="Times New Roman" w:hAnsi="Times New Roman"/>
              </w:rPr>
            </w:pPr>
            <w:r>
              <w:rPr>
                <w:rFonts w:hint="eastAsia" w:ascii="Times New Roman" w:hAnsi="Times New Roman"/>
              </w:rPr>
              <w:t>A3：公司在智能门锁领域积累了如凯迪仕、德施曼、浙江公牛等合作伙伴。依据《2024年全国智能门锁行业市场调研报告》，2024年智能门锁全年产销量约2250万套，相较2023年增长约7.1%，市场渗透率不断扩大。公司芯片产品和解决方案可以支持人脸识别、掌纹识别、掌静脉识别等多样化功能需求，并为下游客户提供“全栈式、工业级”解决方案。客户可以根据实际项目和功能需求采购单颗或者多颗安凯微的芯片，也可以采购基于公司芯片的智能锁模组或者套料产品，产品化更便利。至今公司多个智能锁新项目已经实现量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5" w:type="dxa"/>
          </w:tcPr>
          <w:p>
            <w:pPr>
              <w:spacing w:before="156" w:beforeLines="50" w:after="156" w:afterLines="50"/>
              <w:rPr>
                <w:rFonts w:ascii="Times New Roman" w:hAnsi="Times New Roman"/>
              </w:rPr>
            </w:pPr>
            <w:r>
              <w:rPr>
                <w:rFonts w:hint="eastAsia" w:ascii="Times New Roman" w:hAnsi="Times New Roman"/>
              </w:rPr>
              <w:t>关于本次活动是否涉及应披露重大信息的说明</w:t>
            </w:r>
          </w:p>
        </w:tc>
        <w:tc>
          <w:tcPr>
            <w:tcW w:w="6494" w:type="dxa"/>
          </w:tcPr>
          <w:p>
            <w:pPr>
              <w:spacing w:before="156" w:beforeLines="50" w:after="156" w:afterLines="50"/>
              <w:rPr>
                <w:rFonts w:ascii="Times New Roman" w:hAnsi="Times New Roman"/>
              </w:rPr>
            </w:pPr>
            <w:r>
              <w:rPr>
                <w:rFonts w:hint="eastAsia" w:ascii="Times New Roman" w:hAnsi="Times New Roman"/>
              </w:rPr>
              <w:t>本次交流活动期间，公司不存在透露任何未公开重大信息的情形。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5" w:type="dxa"/>
          </w:tcPr>
          <w:p>
            <w:pPr>
              <w:spacing w:before="156" w:beforeLines="50" w:after="156" w:afterLines="50"/>
              <w:rPr>
                <w:rFonts w:ascii="Times New Roman" w:hAnsi="Times New Roman"/>
              </w:rPr>
            </w:pPr>
            <w:r>
              <w:rPr>
                <w:rFonts w:hint="eastAsia" w:ascii="Times New Roman" w:hAnsi="Times New Roman"/>
              </w:rPr>
              <w:t>日期</w:t>
            </w:r>
          </w:p>
        </w:tc>
        <w:tc>
          <w:tcPr>
            <w:tcW w:w="6494" w:type="dxa"/>
          </w:tcPr>
          <w:p>
            <w:pPr>
              <w:spacing w:before="156" w:beforeLines="50" w:after="156" w:afterLines="50"/>
              <w:rPr>
                <w:rFonts w:ascii="Times New Roman" w:hAnsi="Times New Roman"/>
              </w:rPr>
            </w:pPr>
            <w:r>
              <w:rPr>
                <w:rFonts w:hint="eastAsia" w:ascii="Times New Roman" w:hAnsi="Times New Roman"/>
              </w:rPr>
              <w:t>2</w:t>
            </w:r>
            <w:r>
              <w:rPr>
                <w:rFonts w:ascii="Times New Roman" w:hAnsi="Times New Roman"/>
              </w:rPr>
              <w:t>02</w:t>
            </w:r>
            <w:r>
              <w:rPr>
                <w:rFonts w:hint="eastAsia" w:ascii="Times New Roman" w:hAnsi="Times New Roman"/>
              </w:rPr>
              <w:t>5</w:t>
            </w:r>
            <w:r>
              <w:rPr>
                <w:rFonts w:ascii="Times New Roman" w:hAnsi="Times New Roman"/>
              </w:rPr>
              <w:t>年</w:t>
            </w:r>
            <w:r>
              <w:rPr>
                <w:rFonts w:hint="eastAsia" w:ascii="Times New Roman" w:hAnsi="Times New Roman"/>
              </w:rPr>
              <w:t>03</w:t>
            </w:r>
            <w:r>
              <w:rPr>
                <w:rFonts w:ascii="Times New Roman" w:hAnsi="Times New Roman"/>
              </w:rPr>
              <w:t>月</w:t>
            </w:r>
            <w:r>
              <w:rPr>
                <w:rFonts w:hint="eastAsia" w:ascii="Times New Roman" w:hAnsi="Times New Roman"/>
              </w:rPr>
              <w:t>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359" w:type="dxa"/>
            <w:gridSpan w:val="2"/>
          </w:tcPr>
          <w:p>
            <w:pPr>
              <w:spacing w:before="156" w:beforeLines="50" w:after="156" w:afterLines="50"/>
              <w:rPr>
                <w:rFonts w:hint="eastAsia" w:ascii="Times New Roman" w:hAnsi="Times New Roman"/>
              </w:rPr>
            </w:pPr>
            <w:r>
              <w:rPr>
                <w:rFonts w:hint="eastAsia" w:ascii="Times New Roman" w:hAnsi="Times New Roman"/>
              </w:rPr>
              <w:t xml:space="preserve">会议记录人：葛淳 </w:t>
            </w:r>
            <w:r>
              <w:rPr>
                <w:rFonts w:ascii="Times New Roman" w:hAnsi="Times New Roman"/>
              </w:rPr>
              <w:t xml:space="preserve"> 填表人：</w:t>
            </w:r>
            <w:r>
              <w:rPr>
                <w:rFonts w:hint="eastAsia" w:ascii="Times New Roman" w:hAnsi="Times New Roman"/>
              </w:rPr>
              <w:t xml:space="preserve">葛淳 </w:t>
            </w:r>
            <w:r>
              <w:rPr>
                <w:rFonts w:ascii="Times New Roman" w:hAnsi="Times New Roman"/>
              </w:rPr>
              <w:t xml:space="preserve"> 填表日期：</w:t>
            </w:r>
            <w:r>
              <w:rPr>
                <w:rFonts w:hint="eastAsia" w:ascii="Times New Roman" w:hAnsi="Times New Roman"/>
              </w:rPr>
              <w:t>2</w:t>
            </w:r>
            <w:r>
              <w:rPr>
                <w:rFonts w:ascii="Times New Roman" w:hAnsi="Times New Roman"/>
              </w:rPr>
              <w:t>02</w:t>
            </w:r>
            <w:r>
              <w:rPr>
                <w:rFonts w:hint="eastAsia" w:ascii="Times New Roman" w:hAnsi="Times New Roman"/>
              </w:rPr>
              <w:t>5</w:t>
            </w:r>
            <w:r>
              <w:rPr>
                <w:rFonts w:ascii="Times New Roman" w:hAnsi="Times New Roman"/>
              </w:rPr>
              <w:t>-</w:t>
            </w:r>
            <w:r>
              <w:rPr>
                <w:rFonts w:hint="eastAsia" w:ascii="Times New Roman" w:hAnsi="Times New Roman"/>
              </w:rPr>
              <w:t>03-25</w:t>
            </w:r>
          </w:p>
        </w:tc>
      </w:tr>
    </w:tbl>
    <w:p>
      <w:pPr>
        <w:spacing w:before="156" w:beforeLines="50" w:after="156" w:afterLines="50"/>
        <w:rPr>
          <w:rFonts w:ascii="Times New Roman" w:hAnsi="Times New Roman"/>
        </w:rPr>
      </w:pPr>
    </w:p>
    <w:sectPr>
      <w:pgSz w:w="11906" w:h="16838"/>
      <w:pgMar w:top="1361"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cmsicon">
    <w:altName w:val="Segoe Print"/>
    <w:panose1 w:val="00000000000000000000"/>
    <w:charset w:val="00"/>
    <w:family w:val="auto"/>
    <w:pitch w:val="default"/>
    <w:sig w:usb0="00000000" w:usb1="00000000" w:usb2="00000000" w:usb3="00000000" w:csb0="00000000" w:csb1="00000000"/>
  </w:font>
  <w:font w:name="public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504A3C"/>
    <w:multiLevelType w:val="multilevel"/>
    <w:tmpl w:val="36504A3C"/>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25"/>
    <w:rsid w:val="0001105E"/>
    <w:rsid w:val="000161A9"/>
    <w:rsid w:val="0006758F"/>
    <w:rsid w:val="00073BF6"/>
    <w:rsid w:val="000A2FC1"/>
    <w:rsid w:val="000A6A6B"/>
    <w:rsid w:val="000F178D"/>
    <w:rsid w:val="001018FA"/>
    <w:rsid w:val="001451D9"/>
    <w:rsid w:val="00145C35"/>
    <w:rsid w:val="00151857"/>
    <w:rsid w:val="00152F42"/>
    <w:rsid w:val="001637C5"/>
    <w:rsid w:val="00175B27"/>
    <w:rsid w:val="0019080B"/>
    <w:rsid w:val="001909FD"/>
    <w:rsid w:val="00192A1A"/>
    <w:rsid w:val="00193D08"/>
    <w:rsid w:val="00196CC0"/>
    <w:rsid w:val="001A6EF6"/>
    <w:rsid w:val="001C09E1"/>
    <w:rsid w:val="001C1152"/>
    <w:rsid w:val="001D0EEE"/>
    <w:rsid w:val="001D14C1"/>
    <w:rsid w:val="001F3392"/>
    <w:rsid w:val="001F3484"/>
    <w:rsid w:val="00214FAC"/>
    <w:rsid w:val="00216C6C"/>
    <w:rsid w:val="00217AE1"/>
    <w:rsid w:val="0022186A"/>
    <w:rsid w:val="0023095F"/>
    <w:rsid w:val="002363C6"/>
    <w:rsid w:val="00242D39"/>
    <w:rsid w:val="002445CA"/>
    <w:rsid w:val="00244AAC"/>
    <w:rsid w:val="00244BF8"/>
    <w:rsid w:val="00246557"/>
    <w:rsid w:val="00275E7C"/>
    <w:rsid w:val="002817CE"/>
    <w:rsid w:val="002818E6"/>
    <w:rsid w:val="00287457"/>
    <w:rsid w:val="00287634"/>
    <w:rsid w:val="002C7CE1"/>
    <w:rsid w:val="002C7F0B"/>
    <w:rsid w:val="002E0CBB"/>
    <w:rsid w:val="002E7179"/>
    <w:rsid w:val="003A6046"/>
    <w:rsid w:val="003C2DBA"/>
    <w:rsid w:val="003D50F5"/>
    <w:rsid w:val="003F3116"/>
    <w:rsid w:val="00477321"/>
    <w:rsid w:val="0048022B"/>
    <w:rsid w:val="004858C7"/>
    <w:rsid w:val="004A2AA8"/>
    <w:rsid w:val="004A5A34"/>
    <w:rsid w:val="004A6697"/>
    <w:rsid w:val="004D39C3"/>
    <w:rsid w:val="004E315C"/>
    <w:rsid w:val="004E773B"/>
    <w:rsid w:val="004F4765"/>
    <w:rsid w:val="0050196A"/>
    <w:rsid w:val="005111B9"/>
    <w:rsid w:val="005112D5"/>
    <w:rsid w:val="00522D60"/>
    <w:rsid w:val="00532D8E"/>
    <w:rsid w:val="00532EFE"/>
    <w:rsid w:val="00534976"/>
    <w:rsid w:val="00561BEC"/>
    <w:rsid w:val="005725F1"/>
    <w:rsid w:val="005917B1"/>
    <w:rsid w:val="00595EED"/>
    <w:rsid w:val="005B21B5"/>
    <w:rsid w:val="005B47EF"/>
    <w:rsid w:val="005B7248"/>
    <w:rsid w:val="005B7C29"/>
    <w:rsid w:val="005C3883"/>
    <w:rsid w:val="005C4C9E"/>
    <w:rsid w:val="005D00FD"/>
    <w:rsid w:val="005D45EA"/>
    <w:rsid w:val="005E3DC6"/>
    <w:rsid w:val="005F1281"/>
    <w:rsid w:val="00613B15"/>
    <w:rsid w:val="00614362"/>
    <w:rsid w:val="006205B9"/>
    <w:rsid w:val="00622EAD"/>
    <w:rsid w:val="00634F75"/>
    <w:rsid w:val="00647151"/>
    <w:rsid w:val="0065492F"/>
    <w:rsid w:val="0066044F"/>
    <w:rsid w:val="0069197D"/>
    <w:rsid w:val="00693C9D"/>
    <w:rsid w:val="006B1745"/>
    <w:rsid w:val="006B5F2D"/>
    <w:rsid w:val="006B7E94"/>
    <w:rsid w:val="006E0F15"/>
    <w:rsid w:val="006E2B39"/>
    <w:rsid w:val="006F2042"/>
    <w:rsid w:val="006F5ACA"/>
    <w:rsid w:val="006F5D02"/>
    <w:rsid w:val="00703E78"/>
    <w:rsid w:val="00704754"/>
    <w:rsid w:val="00705410"/>
    <w:rsid w:val="00706D98"/>
    <w:rsid w:val="00712A41"/>
    <w:rsid w:val="00720D7F"/>
    <w:rsid w:val="00720F0A"/>
    <w:rsid w:val="007417C4"/>
    <w:rsid w:val="00745A17"/>
    <w:rsid w:val="00776664"/>
    <w:rsid w:val="0078306E"/>
    <w:rsid w:val="007A1A18"/>
    <w:rsid w:val="007A2D75"/>
    <w:rsid w:val="007B3B0F"/>
    <w:rsid w:val="007B46B0"/>
    <w:rsid w:val="007B732E"/>
    <w:rsid w:val="007C28EC"/>
    <w:rsid w:val="007C7FAF"/>
    <w:rsid w:val="007E2745"/>
    <w:rsid w:val="007E62ED"/>
    <w:rsid w:val="007E64E0"/>
    <w:rsid w:val="0081756C"/>
    <w:rsid w:val="008362EF"/>
    <w:rsid w:val="00836D5D"/>
    <w:rsid w:val="008537FB"/>
    <w:rsid w:val="008549E4"/>
    <w:rsid w:val="00866905"/>
    <w:rsid w:val="00872818"/>
    <w:rsid w:val="008832F5"/>
    <w:rsid w:val="00887DC7"/>
    <w:rsid w:val="00891B9E"/>
    <w:rsid w:val="008A1676"/>
    <w:rsid w:val="008A7F3F"/>
    <w:rsid w:val="008B7749"/>
    <w:rsid w:val="008C0B76"/>
    <w:rsid w:val="008C3EB3"/>
    <w:rsid w:val="008D3E5C"/>
    <w:rsid w:val="008D6D6A"/>
    <w:rsid w:val="00915908"/>
    <w:rsid w:val="0093213C"/>
    <w:rsid w:val="00947CBA"/>
    <w:rsid w:val="00957C46"/>
    <w:rsid w:val="00966249"/>
    <w:rsid w:val="0096666E"/>
    <w:rsid w:val="009A6E7B"/>
    <w:rsid w:val="009D124D"/>
    <w:rsid w:val="009D3EBD"/>
    <w:rsid w:val="009E2533"/>
    <w:rsid w:val="009E7512"/>
    <w:rsid w:val="009F5CF9"/>
    <w:rsid w:val="00A02BE8"/>
    <w:rsid w:val="00A073FA"/>
    <w:rsid w:val="00A14CC0"/>
    <w:rsid w:val="00A26456"/>
    <w:rsid w:val="00A502C1"/>
    <w:rsid w:val="00A724A1"/>
    <w:rsid w:val="00A90634"/>
    <w:rsid w:val="00A914FA"/>
    <w:rsid w:val="00AC457C"/>
    <w:rsid w:val="00AF5A7A"/>
    <w:rsid w:val="00B00C46"/>
    <w:rsid w:val="00B26B7D"/>
    <w:rsid w:val="00B42498"/>
    <w:rsid w:val="00B60502"/>
    <w:rsid w:val="00B74B94"/>
    <w:rsid w:val="00B772DF"/>
    <w:rsid w:val="00B84577"/>
    <w:rsid w:val="00B9764D"/>
    <w:rsid w:val="00BA1D0D"/>
    <w:rsid w:val="00BB7AD0"/>
    <w:rsid w:val="00BD19C3"/>
    <w:rsid w:val="00BE1E28"/>
    <w:rsid w:val="00BE4EB8"/>
    <w:rsid w:val="00BF0307"/>
    <w:rsid w:val="00C002F7"/>
    <w:rsid w:val="00C4477C"/>
    <w:rsid w:val="00C65735"/>
    <w:rsid w:val="00C74DE2"/>
    <w:rsid w:val="00C85CB3"/>
    <w:rsid w:val="00CA640C"/>
    <w:rsid w:val="00CD047D"/>
    <w:rsid w:val="00CD17C4"/>
    <w:rsid w:val="00D11DFB"/>
    <w:rsid w:val="00D11E92"/>
    <w:rsid w:val="00D1268E"/>
    <w:rsid w:val="00D26348"/>
    <w:rsid w:val="00D304EF"/>
    <w:rsid w:val="00D3099F"/>
    <w:rsid w:val="00D34D03"/>
    <w:rsid w:val="00D55F1D"/>
    <w:rsid w:val="00D62F25"/>
    <w:rsid w:val="00D7313F"/>
    <w:rsid w:val="00D97960"/>
    <w:rsid w:val="00DA36B5"/>
    <w:rsid w:val="00DC22D7"/>
    <w:rsid w:val="00DC3B72"/>
    <w:rsid w:val="00DC6550"/>
    <w:rsid w:val="00E06947"/>
    <w:rsid w:val="00E21F9B"/>
    <w:rsid w:val="00E42066"/>
    <w:rsid w:val="00E63682"/>
    <w:rsid w:val="00E71BC5"/>
    <w:rsid w:val="00E74102"/>
    <w:rsid w:val="00E74170"/>
    <w:rsid w:val="00E77513"/>
    <w:rsid w:val="00E87301"/>
    <w:rsid w:val="00E960FA"/>
    <w:rsid w:val="00EA138E"/>
    <w:rsid w:val="00EB4058"/>
    <w:rsid w:val="00EC47D8"/>
    <w:rsid w:val="00ED3A83"/>
    <w:rsid w:val="00ED5CC5"/>
    <w:rsid w:val="00EE3BE7"/>
    <w:rsid w:val="00F003CD"/>
    <w:rsid w:val="00F22F7F"/>
    <w:rsid w:val="00F31692"/>
    <w:rsid w:val="00F4185E"/>
    <w:rsid w:val="00F814B8"/>
    <w:rsid w:val="00F867DB"/>
    <w:rsid w:val="00F95E9A"/>
    <w:rsid w:val="00FA1507"/>
    <w:rsid w:val="00FA6C77"/>
    <w:rsid w:val="00FB3087"/>
    <w:rsid w:val="00FB69FD"/>
    <w:rsid w:val="00FD0808"/>
    <w:rsid w:val="00FD6DDD"/>
    <w:rsid w:val="00FE6251"/>
    <w:rsid w:val="00FE7242"/>
    <w:rsid w:val="08F71E9B"/>
    <w:rsid w:val="0F204BEA"/>
    <w:rsid w:val="14D26FD0"/>
    <w:rsid w:val="14E556A5"/>
    <w:rsid w:val="1F7A06BC"/>
    <w:rsid w:val="27CC1FA5"/>
    <w:rsid w:val="34586D5E"/>
    <w:rsid w:val="3D651F4A"/>
    <w:rsid w:val="4B7E77E4"/>
    <w:rsid w:val="4CF747A6"/>
    <w:rsid w:val="596B3EF5"/>
    <w:rsid w:val="5AB525BB"/>
    <w:rsid w:val="5ABA2F4A"/>
    <w:rsid w:val="5DF143F5"/>
    <w:rsid w:val="5F1E5607"/>
    <w:rsid w:val="66166EEB"/>
    <w:rsid w:val="6D27738D"/>
    <w:rsid w:val="6DEE6B86"/>
    <w:rsid w:val="6F9129DA"/>
    <w:rsid w:val="7425026D"/>
    <w:rsid w:val="77BE6FD1"/>
    <w:rsid w:val="78156817"/>
    <w:rsid w:val="7F7D3E7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宋体"/>
      <w:kern w:val="2"/>
      <w:sz w:val="21"/>
      <w:szCs w:val="22"/>
      <w:lang w:val="en-US" w:eastAsia="zh-CN" w:bidi="ar-SA"/>
    </w:rPr>
  </w:style>
  <w:style w:type="paragraph" w:styleId="2">
    <w:name w:val="heading 1"/>
    <w:basedOn w:val="1"/>
    <w:next w:val="1"/>
    <w:link w:val="57"/>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7"/>
    <w:qFormat/>
    <w:uiPriority w:val="99"/>
    <w:rPr>
      <w:b/>
      <w:bCs/>
    </w:rPr>
  </w:style>
  <w:style w:type="paragraph" w:styleId="4">
    <w:name w:val="annotation text"/>
    <w:basedOn w:val="1"/>
    <w:link w:val="16"/>
    <w:qFormat/>
    <w:uiPriority w:val="99"/>
    <w:pPr>
      <w:jc w:val="left"/>
    </w:pPr>
  </w:style>
  <w:style w:type="paragraph" w:styleId="5">
    <w:name w:val="Balloon Text"/>
    <w:basedOn w:val="1"/>
    <w:link w:val="18"/>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sz w:val="18"/>
      <w:szCs w:val="18"/>
    </w:rPr>
  </w:style>
  <w:style w:type="paragraph" w:styleId="7">
    <w:name w:val="header"/>
    <w:basedOn w:val="1"/>
    <w:link w:val="21"/>
    <w:qFormat/>
    <w:uiPriority w:val="99"/>
    <w:pPr>
      <w:tabs>
        <w:tab w:val="center" w:pos="4153"/>
        <w:tab w:val="right" w:pos="8306"/>
      </w:tabs>
      <w:snapToGrid w:val="0"/>
      <w:jc w:val="center"/>
    </w:pPr>
    <w:rPr>
      <w:sz w:val="18"/>
      <w:szCs w:val="18"/>
    </w:rPr>
  </w:style>
  <w:style w:type="paragraph" w:styleId="8">
    <w:name w:val="HTML Preformatted"/>
    <w:basedOn w:val="1"/>
    <w:link w:val="40"/>
    <w:qFormat/>
    <w:uiPriority w:val="0"/>
    <w:rPr>
      <w:rFonts w:ascii="Courier New" w:hAnsi="Courier New" w:cs="Courier New"/>
      <w:sz w:val="20"/>
      <w:szCs w:val="20"/>
    </w:rPr>
  </w:style>
  <w:style w:type="paragraph" w:styleId="9">
    <w:name w:val="Normal (Web)"/>
    <w:basedOn w:val="1"/>
    <w:qFormat/>
    <w:uiPriority w:val="0"/>
    <w:rPr>
      <w:rFonts w:ascii="Times New Roman" w:hAnsi="Times New Roman" w:cs="Times New Roman"/>
      <w:sz w:val="24"/>
      <w:szCs w:val="24"/>
    </w:rPr>
  </w:style>
  <w:style w:type="character" w:styleId="11">
    <w:name w:val="Hyperlink"/>
    <w:basedOn w:val="10"/>
    <w:qFormat/>
    <w:uiPriority w:val="0"/>
    <w:rPr>
      <w:color w:val="0000FF"/>
      <w:u w:val="single"/>
    </w:rPr>
  </w:style>
  <w:style w:type="character" w:styleId="12">
    <w:name w:val="annotation reference"/>
    <w:basedOn w:val="10"/>
    <w:qFormat/>
    <w:uiPriority w:val="99"/>
    <w:rPr>
      <w:sz w:val="21"/>
      <w:szCs w:val="21"/>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出段落1"/>
    <w:basedOn w:val="1"/>
    <w:qFormat/>
    <w:uiPriority w:val="34"/>
    <w:pPr>
      <w:ind w:firstLine="420" w:firstLineChars="200"/>
    </w:pPr>
  </w:style>
  <w:style w:type="character" w:customStyle="1" w:styleId="16">
    <w:name w:val="批注文字 字符"/>
    <w:basedOn w:val="10"/>
    <w:link w:val="4"/>
    <w:qFormat/>
    <w:uiPriority w:val="99"/>
  </w:style>
  <w:style w:type="character" w:customStyle="1" w:styleId="17">
    <w:name w:val="批注主题 字符"/>
    <w:basedOn w:val="16"/>
    <w:link w:val="3"/>
    <w:qFormat/>
    <w:uiPriority w:val="99"/>
    <w:rPr>
      <w:b/>
      <w:bCs/>
    </w:rPr>
  </w:style>
  <w:style w:type="character" w:customStyle="1" w:styleId="18">
    <w:name w:val="批注框文本 字符"/>
    <w:basedOn w:val="10"/>
    <w:link w:val="5"/>
    <w:qFormat/>
    <w:uiPriority w:val="99"/>
    <w:rPr>
      <w:sz w:val="18"/>
      <w:szCs w:val="18"/>
    </w:rPr>
  </w:style>
  <w:style w:type="paragraph" w:customStyle="1" w:styleId="19">
    <w:name w:val="修订1"/>
    <w:qFormat/>
    <w:uiPriority w:val="99"/>
    <w:pPr>
      <w:spacing w:after="160" w:line="278" w:lineRule="auto"/>
    </w:pPr>
    <w:rPr>
      <w:rFonts w:ascii="Calibri" w:hAnsi="Calibri" w:eastAsia="宋体" w:cs="宋体"/>
      <w:kern w:val="2"/>
      <w:sz w:val="21"/>
      <w:szCs w:val="22"/>
      <w:lang w:val="en-US" w:eastAsia="zh-CN" w:bidi="ar-SA"/>
    </w:rPr>
  </w:style>
  <w:style w:type="paragraph" w:customStyle="1" w:styleId="20">
    <w:name w:val="修订2"/>
    <w:qFormat/>
    <w:uiPriority w:val="99"/>
    <w:pPr>
      <w:spacing w:after="160" w:line="278" w:lineRule="auto"/>
    </w:pPr>
    <w:rPr>
      <w:rFonts w:ascii="Calibri" w:hAnsi="Calibri" w:eastAsia="宋体" w:cs="宋体"/>
      <w:kern w:val="2"/>
      <w:sz w:val="21"/>
      <w:szCs w:val="22"/>
      <w:lang w:val="en-US" w:eastAsia="zh-CN" w:bidi="ar-SA"/>
    </w:rPr>
  </w:style>
  <w:style w:type="character" w:customStyle="1" w:styleId="21">
    <w:name w:val="页眉 字符"/>
    <w:basedOn w:val="10"/>
    <w:link w:val="7"/>
    <w:qFormat/>
    <w:uiPriority w:val="99"/>
    <w:rPr>
      <w:rFonts w:ascii="Calibri" w:hAnsi="Calibri" w:eastAsia="宋体" w:cs="宋体"/>
      <w:kern w:val="2"/>
      <w:sz w:val="18"/>
      <w:szCs w:val="18"/>
    </w:rPr>
  </w:style>
  <w:style w:type="character" w:customStyle="1" w:styleId="22">
    <w:name w:val="页脚 字符"/>
    <w:basedOn w:val="10"/>
    <w:link w:val="6"/>
    <w:qFormat/>
    <w:uiPriority w:val="99"/>
    <w:rPr>
      <w:rFonts w:ascii="Calibri" w:hAnsi="Calibri" w:eastAsia="宋体" w:cs="宋体"/>
      <w:kern w:val="2"/>
      <w:sz w:val="18"/>
      <w:szCs w:val="18"/>
    </w:rPr>
  </w:style>
  <w:style w:type="paragraph" w:customStyle="1" w:styleId="23">
    <w:name w:val="修订3"/>
    <w:qFormat/>
    <w:uiPriority w:val="99"/>
    <w:pPr>
      <w:spacing w:after="160" w:line="278" w:lineRule="auto"/>
    </w:pPr>
    <w:rPr>
      <w:rFonts w:ascii="Calibri" w:hAnsi="Calibri" w:eastAsia="宋体" w:cs="宋体"/>
      <w:kern w:val="2"/>
      <w:sz w:val="21"/>
      <w:szCs w:val="22"/>
      <w:lang w:val="en-US" w:eastAsia="zh-CN" w:bidi="ar-SA"/>
    </w:rPr>
  </w:style>
  <w:style w:type="paragraph" w:customStyle="1" w:styleId="24">
    <w:name w:val="修订4"/>
    <w:qFormat/>
    <w:uiPriority w:val="99"/>
    <w:pPr>
      <w:spacing w:after="160" w:line="278" w:lineRule="auto"/>
    </w:pPr>
    <w:rPr>
      <w:rFonts w:ascii="Calibri" w:hAnsi="Calibri" w:eastAsia="宋体" w:cs="宋体"/>
      <w:kern w:val="2"/>
      <w:sz w:val="21"/>
      <w:szCs w:val="22"/>
      <w:lang w:val="en-US" w:eastAsia="zh-CN" w:bidi="ar-SA"/>
    </w:rPr>
  </w:style>
  <w:style w:type="paragraph" w:customStyle="1" w:styleId="25">
    <w:name w:val="修订5"/>
    <w:qFormat/>
    <w:uiPriority w:val="99"/>
    <w:pPr>
      <w:spacing w:after="160" w:line="278" w:lineRule="auto"/>
    </w:pPr>
    <w:rPr>
      <w:rFonts w:ascii="Calibri" w:hAnsi="Calibri" w:eastAsia="宋体" w:cs="宋体"/>
      <w:kern w:val="2"/>
      <w:sz w:val="21"/>
      <w:szCs w:val="22"/>
      <w:lang w:val="en-US" w:eastAsia="zh-CN" w:bidi="ar-SA"/>
    </w:rPr>
  </w:style>
  <w:style w:type="paragraph" w:customStyle="1" w:styleId="26">
    <w:name w:val="修订6"/>
    <w:qFormat/>
    <w:uiPriority w:val="99"/>
    <w:pPr>
      <w:spacing w:after="160" w:line="278" w:lineRule="auto"/>
    </w:pPr>
    <w:rPr>
      <w:rFonts w:ascii="Calibri" w:hAnsi="Calibri" w:eastAsia="宋体" w:cs="宋体"/>
      <w:kern w:val="2"/>
      <w:sz w:val="21"/>
      <w:szCs w:val="22"/>
      <w:lang w:val="en-US" w:eastAsia="zh-CN" w:bidi="ar-SA"/>
    </w:rPr>
  </w:style>
  <w:style w:type="paragraph" w:customStyle="1" w:styleId="27">
    <w:name w:val="修订7"/>
    <w:qFormat/>
    <w:uiPriority w:val="99"/>
    <w:pPr>
      <w:spacing w:after="160" w:line="278" w:lineRule="auto"/>
    </w:pPr>
    <w:rPr>
      <w:rFonts w:ascii="Calibri" w:hAnsi="Calibri" w:eastAsia="宋体" w:cs="宋体"/>
      <w:kern w:val="2"/>
      <w:sz w:val="21"/>
      <w:szCs w:val="22"/>
      <w:lang w:val="en-US" w:eastAsia="zh-CN" w:bidi="ar-SA"/>
    </w:rPr>
  </w:style>
  <w:style w:type="paragraph" w:customStyle="1" w:styleId="28">
    <w:name w:val="修订8"/>
    <w:qFormat/>
    <w:uiPriority w:val="99"/>
    <w:pPr>
      <w:spacing w:after="160" w:line="278" w:lineRule="auto"/>
    </w:pPr>
    <w:rPr>
      <w:rFonts w:ascii="Calibri" w:hAnsi="Calibri" w:eastAsia="宋体" w:cs="宋体"/>
      <w:kern w:val="2"/>
      <w:sz w:val="21"/>
      <w:szCs w:val="22"/>
      <w:lang w:val="en-US" w:eastAsia="zh-CN" w:bidi="ar-SA"/>
    </w:rPr>
  </w:style>
  <w:style w:type="paragraph" w:customStyle="1" w:styleId="29">
    <w:name w:val="修订9"/>
    <w:qFormat/>
    <w:uiPriority w:val="99"/>
    <w:pPr>
      <w:spacing w:after="160" w:line="278" w:lineRule="auto"/>
    </w:pPr>
    <w:rPr>
      <w:rFonts w:ascii="Calibri" w:hAnsi="Calibri" w:eastAsia="宋体" w:cs="宋体"/>
      <w:kern w:val="2"/>
      <w:sz w:val="21"/>
      <w:szCs w:val="22"/>
      <w:lang w:val="en-US" w:eastAsia="zh-CN" w:bidi="ar-SA"/>
    </w:rPr>
  </w:style>
  <w:style w:type="paragraph" w:customStyle="1" w:styleId="30">
    <w:name w:val="修订10"/>
    <w:qFormat/>
    <w:uiPriority w:val="99"/>
    <w:pPr>
      <w:spacing w:after="160" w:line="278" w:lineRule="auto"/>
    </w:pPr>
    <w:rPr>
      <w:rFonts w:ascii="Calibri" w:hAnsi="Calibri" w:eastAsia="宋体" w:cs="宋体"/>
      <w:kern w:val="2"/>
      <w:sz w:val="21"/>
      <w:szCs w:val="22"/>
      <w:lang w:val="en-US" w:eastAsia="zh-CN" w:bidi="ar-SA"/>
    </w:rPr>
  </w:style>
  <w:style w:type="paragraph" w:customStyle="1" w:styleId="31">
    <w:name w:val="修订11"/>
    <w:qFormat/>
    <w:uiPriority w:val="99"/>
    <w:pPr>
      <w:spacing w:after="160" w:line="278" w:lineRule="auto"/>
    </w:pPr>
    <w:rPr>
      <w:rFonts w:ascii="Calibri" w:hAnsi="Calibri" w:eastAsia="宋体" w:cs="宋体"/>
      <w:kern w:val="2"/>
      <w:sz w:val="21"/>
      <w:szCs w:val="22"/>
      <w:lang w:val="en-US" w:eastAsia="zh-CN" w:bidi="ar-SA"/>
    </w:rPr>
  </w:style>
  <w:style w:type="character" w:customStyle="1" w:styleId="32">
    <w:name w:val="highlight"/>
    <w:basedOn w:val="10"/>
    <w:qFormat/>
    <w:uiPriority w:val="0"/>
  </w:style>
  <w:style w:type="paragraph" w:customStyle="1" w:styleId="33">
    <w:name w:val="004四级标题"/>
    <w:basedOn w:val="1"/>
    <w:qFormat/>
    <w:uiPriority w:val="0"/>
    <w:pPr>
      <w:keepNext/>
      <w:keepLines/>
      <w:spacing w:beforeLines="50" w:afterLines="50" w:line="360" w:lineRule="auto"/>
      <w:ind w:firstLine="200" w:firstLineChars="200"/>
      <w:outlineLvl w:val="3"/>
    </w:pPr>
    <w:rPr>
      <w:rFonts w:ascii="Times New Roman" w:hAnsi="Times New Roman"/>
      <w:b/>
      <w:bCs/>
      <w:sz w:val="24"/>
      <w:szCs w:val="28"/>
      <w:lang w:val="zh-CN"/>
    </w:rPr>
  </w:style>
  <w:style w:type="paragraph" w:customStyle="1" w:styleId="34">
    <w:name w:val="修订12"/>
    <w:qFormat/>
    <w:uiPriority w:val="99"/>
    <w:pPr>
      <w:spacing w:after="160" w:line="278" w:lineRule="auto"/>
    </w:pPr>
    <w:rPr>
      <w:rFonts w:ascii="Calibri" w:hAnsi="Calibri" w:eastAsia="宋体" w:cs="宋体"/>
      <w:kern w:val="2"/>
      <w:sz w:val="21"/>
      <w:szCs w:val="22"/>
      <w:lang w:val="en-US" w:eastAsia="zh-CN" w:bidi="ar-SA"/>
    </w:rPr>
  </w:style>
  <w:style w:type="paragraph" w:customStyle="1" w:styleId="35">
    <w:name w:val="列表段落1"/>
    <w:basedOn w:val="1"/>
    <w:qFormat/>
    <w:uiPriority w:val="99"/>
    <w:pPr>
      <w:ind w:firstLine="420" w:firstLineChars="200"/>
    </w:pPr>
  </w:style>
  <w:style w:type="paragraph" w:customStyle="1" w:styleId="36">
    <w:name w:val="修订13"/>
    <w:qFormat/>
    <w:uiPriority w:val="99"/>
    <w:pPr>
      <w:spacing w:after="160" w:line="278" w:lineRule="auto"/>
    </w:pPr>
    <w:rPr>
      <w:rFonts w:ascii="Calibri" w:hAnsi="Calibri" w:eastAsia="宋体" w:cs="宋体"/>
      <w:kern w:val="2"/>
      <w:sz w:val="21"/>
      <w:szCs w:val="22"/>
      <w:lang w:val="en-US" w:eastAsia="zh-CN" w:bidi="ar-SA"/>
    </w:rPr>
  </w:style>
  <w:style w:type="paragraph" w:customStyle="1" w:styleId="37">
    <w:name w:val="修订14"/>
    <w:qFormat/>
    <w:uiPriority w:val="99"/>
    <w:pPr>
      <w:spacing w:after="160" w:line="278" w:lineRule="auto"/>
    </w:pPr>
    <w:rPr>
      <w:rFonts w:ascii="Calibri" w:hAnsi="Calibri" w:eastAsia="宋体" w:cs="宋体"/>
      <w:kern w:val="2"/>
      <w:sz w:val="21"/>
      <w:szCs w:val="22"/>
      <w:lang w:val="en-US" w:eastAsia="zh-CN" w:bidi="ar-SA"/>
    </w:rPr>
  </w:style>
  <w:style w:type="paragraph" w:customStyle="1" w:styleId="38">
    <w:name w:val="修订15"/>
    <w:qFormat/>
    <w:uiPriority w:val="99"/>
    <w:pPr>
      <w:spacing w:after="160" w:line="278" w:lineRule="auto"/>
    </w:pPr>
    <w:rPr>
      <w:rFonts w:ascii="Calibri" w:hAnsi="Calibri" w:eastAsia="宋体" w:cs="宋体"/>
      <w:kern w:val="2"/>
      <w:sz w:val="21"/>
      <w:szCs w:val="22"/>
      <w:lang w:val="en-US" w:eastAsia="zh-CN" w:bidi="ar-SA"/>
    </w:rPr>
  </w:style>
  <w:style w:type="character" w:customStyle="1" w:styleId="39">
    <w:name w:val="未处理的提及1"/>
    <w:basedOn w:val="10"/>
    <w:qFormat/>
    <w:uiPriority w:val="99"/>
    <w:rPr>
      <w:color w:val="605E5C"/>
      <w:shd w:val="clear" w:color="auto" w:fill="E1DFDD"/>
    </w:rPr>
  </w:style>
  <w:style w:type="character" w:customStyle="1" w:styleId="40">
    <w:name w:val="HTML 预设格式 字符"/>
    <w:basedOn w:val="10"/>
    <w:link w:val="8"/>
    <w:qFormat/>
    <w:uiPriority w:val="0"/>
    <w:rPr>
      <w:rFonts w:ascii="Courier New" w:hAnsi="Courier New" w:cs="Courier New"/>
      <w:kern w:val="2"/>
    </w:rPr>
  </w:style>
  <w:style w:type="paragraph" w:customStyle="1" w:styleId="41">
    <w:name w:val="修订16"/>
    <w:qFormat/>
    <w:uiPriority w:val="99"/>
    <w:pPr>
      <w:spacing w:after="160" w:line="278" w:lineRule="auto"/>
    </w:pPr>
    <w:rPr>
      <w:rFonts w:ascii="Calibri" w:hAnsi="Calibri" w:eastAsia="宋体" w:cs="宋体"/>
      <w:kern w:val="2"/>
      <w:sz w:val="21"/>
      <w:szCs w:val="22"/>
      <w:lang w:val="en-US" w:eastAsia="zh-CN" w:bidi="ar-SA"/>
    </w:rPr>
  </w:style>
  <w:style w:type="paragraph" w:customStyle="1" w:styleId="42">
    <w:name w:val="修订17"/>
    <w:qFormat/>
    <w:uiPriority w:val="99"/>
    <w:pPr>
      <w:spacing w:after="160" w:line="278" w:lineRule="auto"/>
    </w:pPr>
    <w:rPr>
      <w:rFonts w:ascii="Calibri" w:hAnsi="Calibri" w:eastAsia="宋体" w:cs="宋体"/>
      <w:kern w:val="2"/>
      <w:sz w:val="21"/>
      <w:szCs w:val="22"/>
      <w:lang w:val="en-US" w:eastAsia="zh-CN" w:bidi="ar-SA"/>
    </w:rPr>
  </w:style>
  <w:style w:type="paragraph" w:customStyle="1" w:styleId="43">
    <w:name w:val="修订18"/>
    <w:qFormat/>
    <w:uiPriority w:val="99"/>
    <w:pPr>
      <w:spacing w:after="160" w:line="278" w:lineRule="auto"/>
    </w:pPr>
    <w:rPr>
      <w:rFonts w:ascii="Calibri" w:hAnsi="Calibri" w:eastAsia="宋体" w:cs="宋体"/>
      <w:kern w:val="2"/>
      <w:sz w:val="21"/>
      <w:szCs w:val="22"/>
      <w:lang w:val="en-US" w:eastAsia="zh-CN" w:bidi="ar-SA"/>
    </w:rPr>
  </w:style>
  <w:style w:type="paragraph" w:customStyle="1" w:styleId="44">
    <w:name w:val="列表段落2"/>
    <w:basedOn w:val="1"/>
    <w:qFormat/>
    <w:uiPriority w:val="99"/>
    <w:pPr>
      <w:ind w:firstLine="420" w:firstLineChars="200"/>
    </w:pPr>
  </w:style>
  <w:style w:type="paragraph" w:customStyle="1" w:styleId="45">
    <w:name w:val="修订19"/>
    <w:qFormat/>
    <w:uiPriority w:val="99"/>
    <w:pPr>
      <w:spacing w:after="160" w:line="278" w:lineRule="auto"/>
    </w:pPr>
    <w:rPr>
      <w:rFonts w:ascii="Calibri" w:hAnsi="Calibri" w:eastAsia="宋体" w:cs="宋体"/>
      <w:kern w:val="2"/>
      <w:sz w:val="21"/>
      <w:szCs w:val="22"/>
      <w:lang w:val="en-US" w:eastAsia="zh-CN" w:bidi="ar-SA"/>
    </w:rPr>
  </w:style>
  <w:style w:type="paragraph" w:customStyle="1" w:styleId="46">
    <w:name w:val="修订20"/>
    <w:qFormat/>
    <w:uiPriority w:val="99"/>
    <w:pPr>
      <w:spacing w:after="160" w:line="278" w:lineRule="auto"/>
    </w:pPr>
    <w:rPr>
      <w:rFonts w:ascii="Calibri" w:hAnsi="Calibri" w:eastAsia="宋体" w:cs="宋体"/>
      <w:kern w:val="2"/>
      <w:sz w:val="21"/>
      <w:szCs w:val="22"/>
      <w:lang w:val="en-US" w:eastAsia="zh-CN" w:bidi="ar-SA"/>
    </w:rPr>
  </w:style>
  <w:style w:type="paragraph" w:customStyle="1" w:styleId="47">
    <w:name w:val="列表段落3"/>
    <w:basedOn w:val="1"/>
    <w:qFormat/>
    <w:uiPriority w:val="99"/>
    <w:pPr>
      <w:ind w:firstLine="420" w:firstLineChars="200"/>
    </w:pPr>
  </w:style>
  <w:style w:type="paragraph" w:customStyle="1" w:styleId="48">
    <w:name w:val="Revision_7626adb2-cd58-4fbe-aa7a-e39e37df413b"/>
    <w:qFormat/>
    <w:uiPriority w:val="99"/>
    <w:pPr>
      <w:spacing w:after="160" w:line="278" w:lineRule="auto"/>
    </w:pPr>
    <w:rPr>
      <w:rFonts w:ascii="Calibri" w:hAnsi="Calibri" w:eastAsia="宋体" w:cs="宋体"/>
      <w:kern w:val="2"/>
      <w:sz w:val="21"/>
      <w:szCs w:val="22"/>
      <w:lang w:val="en-US" w:eastAsia="zh-CN" w:bidi="ar-SA"/>
    </w:rPr>
  </w:style>
  <w:style w:type="paragraph" w:customStyle="1" w:styleId="49">
    <w:name w:val="List Paragraph_c9710cf3-f521-432f-977c-c8a426720d59"/>
    <w:basedOn w:val="1"/>
    <w:qFormat/>
    <w:uiPriority w:val="99"/>
    <w:pPr>
      <w:ind w:firstLine="420" w:firstLineChars="200"/>
    </w:pPr>
  </w:style>
  <w:style w:type="character" w:customStyle="1" w:styleId="50">
    <w:name w:val="未处理的提及2"/>
    <w:basedOn w:val="10"/>
    <w:qFormat/>
    <w:uiPriority w:val="99"/>
    <w:rPr>
      <w:color w:val="605E5C"/>
      <w:shd w:val="clear" w:color="auto" w:fill="E1DFDD"/>
    </w:rPr>
  </w:style>
  <w:style w:type="paragraph" w:customStyle="1" w:styleId="51">
    <w:name w:val="修订21"/>
    <w:hidden/>
    <w:semiHidden/>
    <w:qFormat/>
    <w:uiPriority w:val="99"/>
    <w:pPr>
      <w:spacing w:after="160" w:line="278" w:lineRule="auto"/>
    </w:pPr>
    <w:rPr>
      <w:rFonts w:ascii="Calibri" w:hAnsi="Calibri" w:eastAsia="宋体" w:cs="宋体"/>
      <w:kern w:val="2"/>
      <w:sz w:val="21"/>
      <w:szCs w:val="22"/>
      <w:lang w:val="en-US" w:eastAsia="zh-CN" w:bidi="ar-SA"/>
    </w:rPr>
  </w:style>
  <w:style w:type="paragraph" w:customStyle="1" w:styleId="52">
    <w:name w:val="列表段落4"/>
    <w:basedOn w:val="1"/>
    <w:qFormat/>
    <w:uiPriority w:val="34"/>
    <w:pPr>
      <w:ind w:firstLine="420" w:firstLineChars="200"/>
    </w:pPr>
  </w:style>
  <w:style w:type="paragraph" w:customStyle="1" w:styleId="53">
    <w:name w:val="修订22"/>
    <w:hidden/>
    <w:unhideWhenUsed/>
    <w:uiPriority w:val="99"/>
    <w:pPr>
      <w:spacing w:after="0" w:line="240" w:lineRule="auto"/>
    </w:pPr>
    <w:rPr>
      <w:rFonts w:ascii="Calibri" w:hAnsi="Calibri" w:eastAsia="宋体" w:cs="宋体"/>
      <w:kern w:val="2"/>
      <w:sz w:val="21"/>
      <w:szCs w:val="22"/>
      <w:lang w:val="en-US" w:eastAsia="zh-CN" w:bidi="ar-SA"/>
    </w:rPr>
  </w:style>
  <w:style w:type="paragraph" w:customStyle="1" w:styleId="54">
    <w:name w:val="修订23"/>
    <w:hidden/>
    <w:unhideWhenUsed/>
    <w:uiPriority w:val="99"/>
    <w:pPr>
      <w:spacing w:after="0" w:line="240" w:lineRule="auto"/>
    </w:pPr>
    <w:rPr>
      <w:rFonts w:ascii="Calibri" w:hAnsi="Calibri" w:eastAsia="宋体" w:cs="宋体"/>
      <w:kern w:val="2"/>
      <w:sz w:val="21"/>
      <w:szCs w:val="22"/>
      <w:lang w:val="en-US" w:eastAsia="zh-CN" w:bidi="ar-SA"/>
    </w:rPr>
  </w:style>
  <w:style w:type="paragraph" w:customStyle="1" w:styleId="55">
    <w:name w:val="修订24"/>
    <w:hidden/>
    <w:unhideWhenUsed/>
    <w:qFormat/>
    <w:uiPriority w:val="99"/>
    <w:pPr>
      <w:spacing w:after="0" w:line="240" w:lineRule="auto"/>
    </w:pPr>
    <w:rPr>
      <w:rFonts w:ascii="Calibri" w:hAnsi="Calibri" w:eastAsia="宋体" w:cs="宋体"/>
      <w:kern w:val="2"/>
      <w:sz w:val="21"/>
      <w:szCs w:val="22"/>
      <w:lang w:val="en-US" w:eastAsia="zh-CN" w:bidi="ar-SA"/>
    </w:rPr>
  </w:style>
  <w:style w:type="paragraph" w:customStyle="1" w:styleId="56">
    <w:name w:val="Revision"/>
    <w:hidden/>
    <w:unhideWhenUsed/>
    <w:uiPriority w:val="99"/>
    <w:pPr>
      <w:spacing w:after="0" w:line="240" w:lineRule="auto"/>
    </w:pPr>
    <w:rPr>
      <w:rFonts w:ascii="Calibri" w:hAnsi="Calibri" w:eastAsia="宋体" w:cs="宋体"/>
      <w:kern w:val="2"/>
      <w:sz w:val="21"/>
      <w:szCs w:val="22"/>
      <w:lang w:val="en-US" w:eastAsia="zh-CN" w:bidi="ar-SA"/>
    </w:rPr>
  </w:style>
  <w:style w:type="character" w:customStyle="1" w:styleId="57">
    <w:name w:val="标题 1 字符"/>
    <w:basedOn w:val="10"/>
    <w:link w:val="2"/>
    <w:uiPriority w:val="9"/>
    <w:rPr>
      <w:rFonts w:ascii="Calibri" w:hAnsi="Calibri" w:cs="宋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8F805-B1D6-4FF8-8209-69FBC90495BA}">
  <ds:schemaRefs/>
</ds:datastoreItem>
</file>

<file path=customXml/itemProps3.xml><?xml version="1.0" encoding="utf-8"?>
<ds:datastoreItem xmlns:ds="http://schemas.openxmlformats.org/officeDocument/2006/customXml" ds:itemID="{22EA0784-D3E6-422C-A4A1-432DD01AD51C}">
  <ds:schemaRefs/>
</ds:datastoreItem>
</file>

<file path=customXml/itemProps4.xml><?xml version="1.0" encoding="utf-8"?>
<ds:datastoreItem xmlns:ds="http://schemas.openxmlformats.org/officeDocument/2006/customXml" ds:itemID="{38A962D1-DFAA-424A-AED7-EC29291D6E74}">
  <ds:schemaRefs/>
</ds:datastoreItem>
</file>

<file path=customXml/itemProps5.xml><?xml version="1.0" encoding="utf-8"?>
<ds:datastoreItem xmlns:ds="http://schemas.openxmlformats.org/officeDocument/2006/customXml" ds:itemID="{8FABA05D-4E09-46C3-89FF-D15A7831142B}">
  <ds:schemaRefs/>
</ds:datastoreItem>
</file>

<file path=customXml/itemProps6.xml><?xml version="1.0" encoding="utf-8"?>
<ds:datastoreItem xmlns:ds="http://schemas.openxmlformats.org/officeDocument/2006/customXml" ds:itemID="{947FA84E-C135-4297-A265-C228CDBBB432}">
  <ds:schemaRefs/>
</ds:datastoreItem>
</file>

<file path=customXml/itemProps7.xml><?xml version="1.0" encoding="utf-8"?>
<ds:datastoreItem xmlns:ds="http://schemas.openxmlformats.org/officeDocument/2006/customXml" ds:itemID="{AB7482D8-ABFA-493A-A45A-A6EB9F48E599}">
  <ds:schemaRefs/>
</ds:datastoreItem>
</file>

<file path=customXml/itemProps8.xml><?xml version="1.0" encoding="utf-8"?>
<ds:datastoreItem xmlns:ds="http://schemas.openxmlformats.org/officeDocument/2006/customXml" ds:itemID="{18ECD5A7-58EA-4099-8EF1-82CC4AF91035}">
  <ds:schemaRefs/>
</ds:datastoreItem>
</file>

<file path=customXml/itemProps9.xml><?xml version="1.0" encoding="utf-8"?>
<ds:datastoreItem xmlns:ds="http://schemas.openxmlformats.org/officeDocument/2006/customXml" ds:itemID="{249A1D6D-9103-4D12-B252-1EBC95304993}">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Pages>
  <Words>157</Words>
  <Characters>899</Characters>
  <Lines>7</Lines>
  <Paragraphs>2</Paragraphs>
  <TotalTime>0</TotalTime>
  <ScaleCrop>false</ScaleCrop>
  <LinksUpToDate>false</LinksUpToDate>
  <CharactersWithSpaces>1054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2025-02-26T06:35:00Z</dcterms:created>
  <dc:creator>Microsoft 帐户</dc:creator>
  <cp:lastModifiedBy>user</cp:lastModifiedBy>
  <cp:lastPrinted>2024-12-20T06:21:00Z</cp:lastPrinted>
  <dcterms:modified xsi:type="dcterms:W3CDTF">2025-03-26T07:15:59Z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79d2f3de05ed406485c34a8c74c9cb76_23</vt:lpwstr>
  </property>
</Properties>
</file>