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D864" w14:textId="7A7CA6F0" w:rsidR="001862F7" w:rsidRPr="002F4EBA" w:rsidRDefault="00F063CB" w:rsidP="002F4EBA">
      <w:pPr>
        <w:snapToGrid w:val="0"/>
        <w:spacing w:before="320"/>
        <w:jc w:val="center"/>
        <w:rPr>
          <w:rFonts w:ascii="方正小标宋_GBK" w:eastAsia="方正小标宋_GBK" w:hint="eastAsia"/>
          <w:b/>
          <w:bCs/>
          <w:sz w:val="30"/>
          <w:szCs w:val="30"/>
        </w:rPr>
      </w:pPr>
      <w:r w:rsidRPr="002F4EBA">
        <w:rPr>
          <w:rFonts w:ascii="方正小标宋_GBK" w:eastAsia="方正小标宋_GBK" w:hint="eastAsia"/>
          <w:b/>
          <w:bCs/>
          <w:sz w:val="30"/>
          <w:szCs w:val="30"/>
        </w:rPr>
        <w:t>上海现代制药股份有限公司</w:t>
      </w:r>
    </w:p>
    <w:p w14:paraId="469A78A8" w14:textId="54C3CE41" w:rsidR="00F063CB" w:rsidRPr="002F4EBA" w:rsidRDefault="00F063CB" w:rsidP="002F4EBA">
      <w:pPr>
        <w:snapToGrid w:val="0"/>
        <w:spacing w:after="160"/>
        <w:jc w:val="center"/>
        <w:rPr>
          <w:rFonts w:ascii="方正小标宋_GBK" w:eastAsia="方正小标宋_GBK" w:hint="eastAsia"/>
          <w:b/>
          <w:bCs/>
          <w:sz w:val="30"/>
          <w:szCs w:val="30"/>
        </w:rPr>
      </w:pPr>
      <w:r w:rsidRPr="002F4EBA">
        <w:rPr>
          <w:rFonts w:ascii="方正小标宋_GBK" w:eastAsia="方正小标宋_GBK" w:hint="eastAsia"/>
          <w:b/>
          <w:bCs/>
          <w:sz w:val="30"/>
          <w:szCs w:val="30"/>
        </w:rPr>
        <w:t>投资者关系活动记录表</w:t>
      </w:r>
    </w:p>
    <w:p w14:paraId="4B9E3340" w14:textId="312FF011" w:rsidR="00F063CB" w:rsidRPr="002F4EBA" w:rsidRDefault="00F063CB" w:rsidP="002F4EBA">
      <w:pPr>
        <w:jc w:val="right"/>
        <w:rPr>
          <w:rFonts w:ascii="Times New Roman" w:eastAsia="宋体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6807"/>
      </w:tblGrid>
      <w:tr w:rsidR="006B7CA4" w:rsidRPr="002F4EBA" w14:paraId="42C8D678" w14:textId="77777777" w:rsidTr="002D2CA3">
        <w:tc>
          <w:tcPr>
            <w:tcW w:w="1526" w:type="dxa"/>
            <w:vAlign w:val="center"/>
          </w:tcPr>
          <w:p w14:paraId="7E5B5697" w14:textId="77777777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投资者关系</w:t>
            </w:r>
          </w:p>
          <w:p w14:paraId="7869EA30" w14:textId="1684C3E1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活动类别</w:t>
            </w:r>
          </w:p>
        </w:tc>
        <w:tc>
          <w:tcPr>
            <w:tcW w:w="6996" w:type="dxa"/>
          </w:tcPr>
          <w:p w14:paraId="5088984E" w14:textId="643D1452" w:rsidR="002F4EBA" w:rsidRPr="002F4EBA" w:rsidRDefault="00B4305D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2F4EBA">
              <w:rPr>
                <w:rFonts w:ascii="宋体" w:eastAsia="宋体" w:hAnsi="宋体" w:cs="Times New Roman"/>
              </w:rPr>
              <w:t>□</w:t>
            </w:r>
            <w:r w:rsidR="002F4EBA" w:rsidRPr="002F4EBA">
              <w:rPr>
                <w:rFonts w:ascii="Times New Roman" w:eastAsia="宋体" w:hAnsi="Times New Roman" w:cs="Times New Roman"/>
              </w:rPr>
              <w:t>特定对象调研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     </w:t>
            </w:r>
            <w:r w:rsidRPr="002F4EBA">
              <w:rPr>
                <w:rFonts w:ascii="宋体" w:eastAsia="宋体" w:hAnsi="宋体" w:cs="Times New Roman"/>
              </w:rPr>
              <w:t>□</w:t>
            </w:r>
            <w:r w:rsidR="002F4EBA" w:rsidRPr="002F4EBA">
              <w:rPr>
                <w:rFonts w:ascii="Times New Roman" w:eastAsia="宋体" w:hAnsi="Times New Roman" w:cs="Times New Roman"/>
              </w:rPr>
              <w:t>分析师会议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     </w:t>
            </w:r>
            <w:r w:rsidR="002F4EBA" w:rsidRPr="002F4EBA">
              <w:rPr>
                <w:rFonts w:ascii="宋体" w:eastAsia="宋体" w:hAnsi="宋体" w:cs="Times New Roman"/>
              </w:rPr>
              <w:t>□</w:t>
            </w:r>
            <w:r w:rsidR="002F4EBA" w:rsidRPr="002F4EBA">
              <w:rPr>
                <w:rFonts w:ascii="Times New Roman" w:eastAsia="宋体" w:hAnsi="Times New Roman" w:cs="Times New Roman"/>
              </w:rPr>
              <w:t>媒体采访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宋体" w:eastAsia="宋体" w:hAnsi="宋体" w:cs="Times New Roman" w:hint="eastAsia"/>
              </w:rPr>
              <w:t>■</w:t>
            </w:r>
            <w:r w:rsidR="002F4EBA" w:rsidRPr="002F4EBA">
              <w:rPr>
                <w:rFonts w:ascii="Times New Roman" w:eastAsia="宋体" w:hAnsi="Times New Roman" w:cs="Times New Roman"/>
              </w:rPr>
              <w:t>业绩</w:t>
            </w:r>
            <w:r>
              <w:rPr>
                <w:rFonts w:ascii="Times New Roman" w:eastAsia="宋体" w:hAnsi="Times New Roman" w:cs="Times New Roman" w:hint="eastAsia"/>
              </w:rPr>
              <w:t>沟通</w:t>
            </w:r>
            <w:r w:rsidR="002F4EBA" w:rsidRPr="002F4EBA">
              <w:rPr>
                <w:rFonts w:ascii="Times New Roman" w:eastAsia="宋体" w:hAnsi="Times New Roman" w:cs="Times New Roman"/>
              </w:rPr>
              <w:t>会</w:t>
            </w:r>
          </w:p>
          <w:p w14:paraId="124A2DB9" w14:textId="198BEE53" w:rsidR="002F4EBA" w:rsidRPr="002F4EBA" w:rsidRDefault="002F4EBA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2F4EBA">
              <w:rPr>
                <w:rFonts w:ascii="宋体" w:eastAsia="宋体" w:hAnsi="宋体" w:cs="Times New Roman"/>
              </w:rPr>
              <w:t>□</w:t>
            </w:r>
            <w:r w:rsidRPr="002F4EBA">
              <w:rPr>
                <w:rFonts w:ascii="Times New Roman" w:eastAsia="宋体" w:hAnsi="Times New Roman" w:cs="Times New Roman"/>
              </w:rPr>
              <w:t>新闻发布会</w:t>
            </w:r>
            <w:r w:rsidRPr="002F4EBA">
              <w:rPr>
                <w:rFonts w:ascii="Times New Roman" w:eastAsia="宋体" w:hAnsi="Times New Roman" w:cs="Times New Roman"/>
              </w:rPr>
              <w:t xml:space="preserve">            </w:t>
            </w:r>
            <w:r w:rsidRPr="002F4EBA">
              <w:rPr>
                <w:rFonts w:ascii="宋体" w:eastAsia="宋体" w:hAnsi="宋体" w:cs="Times New Roman"/>
              </w:rPr>
              <w:t>□</w:t>
            </w:r>
            <w:r w:rsidRPr="002F4EBA">
              <w:rPr>
                <w:rFonts w:ascii="Times New Roman" w:eastAsia="宋体" w:hAnsi="Times New Roman" w:cs="Times New Roman"/>
              </w:rPr>
              <w:t>路演活动</w:t>
            </w:r>
            <w:r w:rsidRPr="002F4EBA">
              <w:rPr>
                <w:rFonts w:ascii="Times New Roman" w:eastAsia="宋体" w:hAnsi="Times New Roman" w:cs="Times New Roman"/>
              </w:rPr>
              <w:t xml:space="preserve">        </w:t>
            </w:r>
            <w:r w:rsidRPr="002F4EBA">
              <w:rPr>
                <w:rFonts w:ascii="宋体" w:eastAsia="宋体" w:hAnsi="宋体" w:cs="Times New Roman"/>
              </w:rPr>
              <w:t>□</w:t>
            </w:r>
            <w:r w:rsidRPr="002F4EBA">
              <w:rPr>
                <w:rFonts w:ascii="Times New Roman" w:eastAsia="宋体" w:hAnsi="Times New Roman" w:cs="Times New Roman"/>
              </w:rPr>
              <w:t>其他</w:t>
            </w:r>
          </w:p>
        </w:tc>
      </w:tr>
      <w:tr w:rsidR="006B7CA4" w:rsidRPr="002F4EBA" w14:paraId="048CFD71" w14:textId="77777777" w:rsidTr="002D2CA3">
        <w:tc>
          <w:tcPr>
            <w:tcW w:w="1526" w:type="dxa"/>
            <w:vAlign w:val="center"/>
          </w:tcPr>
          <w:p w14:paraId="2DD87F47" w14:textId="27E9503F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形式</w:t>
            </w:r>
          </w:p>
        </w:tc>
        <w:tc>
          <w:tcPr>
            <w:tcW w:w="6996" w:type="dxa"/>
          </w:tcPr>
          <w:p w14:paraId="65979DC8" w14:textId="6781CA2A" w:rsidR="002F4EBA" w:rsidRPr="002F4EBA" w:rsidRDefault="00B4305D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2F4EBA">
              <w:rPr>
                <w:rFonts w:ascii="宋体" w:eastAsia="宋体" w:hAnsi="宋体" w:cs="Times New Roman"/>
              </w:rPr>
              <w:t>□</w:t>
            </w:r>
            <w:r w:rsidR="002F4EBA" w:rsidRPr="002F4EBA">
              <w:rPr>
                <w:rFonts w:ascii="Times New Roman" w:eastAsia="宋体" w:hAnsi="Times New Roman" w:cs="Times New Roman"/>
              </w:rPr>
              <w:t>现场</w:t>
            </w:r>
            <w:r w:rsidR="00DF513F">
              <w:rPr>
                <w:rFonts w:ascii="Times New Roman" w:eastAsia="宋体" w:hAnsi="Times New Roman" w:cs="Times New Roman" w:hint="eastAsia"/>
              </w:rPr>
              <w:t>会议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</w:t>
            </w:r>
            <w:r w:rsidR="00DF513F">
              <w:rPr>
                <w:rFonts w:ascii="Times New Roman" w:eastAsia="宋体" w:hAnsi="Times New Roman" w:cs="Times New Roman"/>
              </w:rPr>
              <w:t xml:space="preserve">  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</w:t>
            </w:r>
            <w:bookmarkStart w:id="0" w:name="OLE_LINK1"/>
            <w:r w:rsidR="002F4EBA" w:rsidRPr="002F4EBA">
              <w:rPr>
                <w:rFonts w:ascii="宋体" w:eastAsia="宋体" w:hAnsi="宋体" w:cs="Times New Roman"/>
              </w:rPr>
              <w:t>□</w:t>
            </w:r>
            <w:bookmarkEnd w:id="0"/>
            <w:r w:rsidR="00DF513F">
              <w:rPr>
                <w:rFonts w:ascii="宋体" w:eastAsia="宋体" w:hAnsi="宋体" w:cs="Times New Roman" w:hint="eastAsia"/>
              </w:rPr>
              <w:t>网络会议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</w:t>
            </w:r>
            <w:r w:rsidR="00DF513F">
              <w:rPr>
                <w:rFonts w:ascii="Times New Roman" w:eastAsia="宋体" w:hAnsi="Times New Roman" w:cs="Times New Roman"/>
              </w:rPr>
              <w:t xml:space="preserve">  </w:t>
            </w:r>
            <w:r w:rsidR="002F4EBA" w:rsidRPr="002F4EBA"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■</w:t>
            </w:r>
            <w:r w:rsidR="002F4EBA" w:rsidRPr="002F4EBA">
              <w:rPr>
                <w:rFonts w:ascii="Times New Roman" w:eastAsia="宋体" w:hAnsi="Times New Roman" w:cs="Times New Roman"/>
              </w:rPr>
              <w:t>电话会议</w:t>
            </w:r>
          </w:p>
        </w:tc>
      </w:tr>
      <w:tr w:rsidR="006B7CA4" w:rsidRPr="002F4EBA" w14:paraId="2C1FA8EF" w14:textId="77777777" w:rsidTr="002D2CA3">
        <w:tc>
          <w:tcPr>
            <w:tcW w:w="1526" w:type="dxa"/>
            <w:vAlign w:val="center"/>
          </w:tcPr>
          <w:p w14:paraId="2FE38E3A" w14:textId="7F52F8A4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参与单位名称</w:t>
            </w:r>
          </w:p>
        </w:tc>
        <w:tc>
          <w:tcPr>
            <w:tcW w:w="6996" w:type="dxa"/>
            <w:vAlign w:val="center"/>
          </w:tcPr>
          <w:p w14:paraId="47D4070F" w14:textId="63B92F63" w:rsidR="002F4EBA" w:rsidRPr="0060611A" w:rsidRDefault="00D065AD" w:rsidP="000D58E5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中信证券、信达证券、申万宏源、山西证券、中信建投、西南证券、华福证券、华鑫证券、国金证券、海通证券、国盛证券、天风证券、兴业证券、华泰证券、广发证券、国泰君安</w:t>
            </w:r>
            <w:r w:rsidR="00F9609D" w:rsidRPr="0060611A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6B7CA4" w:rsidRPr="002F4EBA" w14:paraId="189EAD9F" w14:textId="77777777" w:rsidTr="002D2CA3">
        <w:tc>
          <w:tcPr>
            <w:tcW w:w="1526" w:type="dxa"/>
            <w:vAlign w:val="center"/>
          </w:tcPr>
          <w:p w14:paraId="55A0B489" w14:textId="0A1C4414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时间</w:t>
            </w:r>
          </w:p>
        </w:tc>
        <w:tc>
          <w:tcPr>
            <w:tcW w:w="6996" w:type="dxa"/>
          </w:tcPr>
          <w:p w14:paraId="113AD233" w14:textId="3A749107" w:rsidR="002F4EBA" w:rsidRPr="0060611A" w:rsidRDefault="005F7A20" w:rsidP="005F7A20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2</w:t>
            </w:r>
            <w:r w:rsidRPr="0060611A">
              <w:rPr>
                <w:rFonts w:ascii="Times New Roman" w:eastAsia="宋体" w:hAnsi="Times New Roman" w:cs="Times New Roman"/>
              </w:rPr>
              <w:t>02</w:t>
            </w:r>
            <w:r w:rsidR="00B4305D" w:rsidRPr="0060611A">
              <w:rPr>
                <w:rFonts w:ascii="Times New Roman" w:eastAsia="宋体" w:hAnsi="Times New Roman" w:cs="Times New Roman" w:hint="eastAsia"/>
              </w:rPr>
              <w:t>5</w:t>
            </w:r>
            <w:r w:rsidRPr="0060611A">
              <w:rPr>
                <w:rFonts w:ascii="Times New Roman" w:eastAsia="宋体" w:hAnsi="Times New Roman" w:cs="Times New Roman" w:hint="eastAsia"/>
              </w:rPr>
              <w:t>年</w:t>
            </w:r>
            <w:r w:rsidR="00B4305D" w:rsidRPr="0060611A">
              <w:rPr>
                <w:rFonts w:ascii="Times New Roman" w:eastAsia="宋体" w:hAnsi="Times New Roman" w:cs="Times New Roman" w:hint="eastAsia"/>
              </w:rPr>
              <w:t>3</w:t>
            </w:r>
            <w:r w:rsidRPr="0060611A">
              <w:rPr>
                <w:rFonts w:ascii="Times New Roman" w:eastAsia="宋体" w:hAnsi="Times New Roman" w:cs="Times New Roman" w:hint="eastAsia"/>
              </w:rPr>
              <w:t>月</w:t>
            </w:r>
            <w:r w:rsidR="00B4305D" w:rsidRPr="0060611A">
              <w:rPr>
                <w:rFonts w:ascii="Times New Roman" w:eastAsia="宋体" w:hAnsi="Times New Roman" w:cs="Times New Roman" w:hint="eastAsia"/>
              </w:rPr>
              <w:t>28</w:t>
            </w:r>
            <w:r w:rsidR="00DF513F" w:rsidRPr="0060611A"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6B7CA4" w:rsidRPr="002F4EBA" w14:paraId="4E559D38" w14:textId="77777777" w:rsidTr="002D2CA3">
        <w:tc>
          <w:tcPr>
            <w:tcW w:w="1526" w:type="dxa"/>
            <w:vAlign w:val="center"/>
          </w:tcPr>
          <w:p w14:paraId="520F645C" w14:textId="79311D63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40842F02" w14:textId="1DFBB3AF" w:rsidR="00DF513F" w:rsidRPr="0060611A" w:rsidRDefault="00DF513F" w:rsidP="005F7A20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副总裁、董事会秘书：</w:t>
            </w:r>
            <w:r w:rsidR="00542587" w:rsidRPr="0060611A">
              <w:rPr>
                <w:rFonts w:ascii="Times New Roman" w:eastAsia="宋体" w:hAnsi="Times New Roman" w:cs="Times New Roman" w:hint="eastAsia"/>
              </w:rPr>
              <w:t>张忠喜</w:t>
            </w:r>
          </w:p>
          <w:p w14:paraId="1FA30D86" w14:textId="4AFB0F10" w:rsidR="00B4305D" w:rsidRPr="0060611A" w:rsidRDefault="00B4305D" w:rsidP="005F7A20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财务总监：王祥臣</w:t>
            </w:r>
          </w:p>
          <w:p w14:paraId="3015B44D" w14:textId="41E24E65" w:rsidR="00DF513F" w:rsidRPr="0060611A" w:rsidRDefault="00B4305D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研究院副院长</w:t>
            </w:r>
            <w:r w:rsidR="00DF513F" w:rsidRPr="0060611A">
              <w:rPr>
                <w:rFonts w:ascii="Times New Roman" w:eastAsia="宋体" w:hAnsi="Times New Roman" w:cs="Times New Roman" w:hint="eastAsia"/>
              </w:rPr>
              <w:t>：</w:t>
            </w:r>
            <w:r w:rsidRPr="0060611A">
              <w:rPr>
                <w:rFonts w:ascii="Times New Roman" w:eastAsia="宋体" w:hAnsi="Times New Roman" w:cs="Times New Roman" w:hint="eastAsia"/>
              </w:rPr>
              <w:t>邢世华</w:t>
            </w:r>
          </w:p>
          <w:p w14:paraId="3389F3AA" w14:textId="0B4C4D6B" w:rsidR="002F4EBA" w:rsidRPr="0060611A" w:rsidRDefault="00B4305D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60611A">
              <w:rPr>
                <w:rFonts w:ascii="Times New Roman" w:eastAsia="宋体" w:hAnsi="Times New Roman" w:cs="Times New Roman" w:hint="eastAsia"/>
              </w:rPr>
              <w:t>董事会办公室主任</w:t>
            </w:r>
            <w:r w:rsidR="00DF513F" w:rsidRPr="0060611A">
              <w:rPr>
                <w:rFonts w:ascii="Times New Roman" w:eastAsia="宋体" w:hAnsi="Times New Roman" w:cs="Times New Roman" w:hint="eastAsia"/>
              </w:rPr>
              <w:t>：</w:t>
            </w:r>
            <w:r w:rsidRPr="0060611A">
              <w:rPr>
                <w:rFonts w:ascii="Times New Roman" w:eastAsia="宋体" w:hAnsi="Times New Roman" w:cs="Times New Roman" w:hint="eastAsia"/>
              </w:rPr>
              <w:t>程晓瑜</w:t>
            </w:r>
          </w:p>
        </w:tc>
      </w:tr>
      <w:tr w:rsidR="006B7CA4" w:rsidRPr="002F4EBA" w14:paraId="7926859A" w14:textId="77777777" w:rsidTr="002D2CA3">
        <w:tc>
          <w:tcPr>
            <w:tcW w:w="1526" w:type="dxa"/>
            <w:vAlign w:val="center"/>
          </w:tcPr>
          <w:p w14:paraId="6941CBC6" w14:textId="17BF622E" w:rsidR="002F4EBA" w:rsidRPr="00DF513F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F513F">
              <w:rPr>
                <w:rFonts w:ascii="Times New Roman" w:eastAsia="宋体" w:hAnsi="Times New Roman" w:cs="Times New Roman"/>
                <w:b/>
                <w:bCs/>
              </w:rPr>
              <w:t>投资者关系活动主要内容介绍</w:t>
            </w:r>
          </w:p>
        </w:tc>
        <w:tc>
          <w:tcPr>
            <w:tcW w:w="6996" w:type="dxa"/>
          </w:tcPr>
          <w:p w14:paraId="13811816" w14:textId="1C0DBB80" w:rsidR="007455F2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一</w:t>
            </w:r>
            <w:r w:rsidR="007455F2"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、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2024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年度经营情况介绍</w:t>
            </w:r>
          </w:p>
          <w:p w14:paraId="04866A42" w14:textId="4B32FE39" w:rsidR="003917C0" w:rsidRPr="0060611A" w:rsidRDefault="003917C0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（一）</w:t>
            </w: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2024</w:t>
            </w: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年度</w:t>
            </w:r>
            <w:r w:rsidR="0074787C"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经营</w:t>
            </w: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业绩</w:t>
            </w:r>
            <w:r w:rsidR="0074787C"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整体情况</w:t>
            </w:r>
          </w:p>
          <w:p w14:paraId="0945DBC1" w14:textId="7483D010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年，面对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化学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仿制药行业的风险与挑战，公司积极把握行业发展趋势，全面统筹，聚焦主业，全力推进产业升级、科研开发，价值创造力与成长性持续增强。</w:t>
            </w:r>
          </w:p>
          <w:p w14:paraId="580C2034" w14:textId="6F37195C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盈利价值方面：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实现归母净利润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10.84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亿元，同比增长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56.62%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，公司近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年归母净利润年复合增长率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13.68%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643C415B" w14:textId="6465E297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经营价值方面：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毛利率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39.24%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，提升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0.92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个百分点；扣除销售费用后的销售贡献率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28.71%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，同比增加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8.23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个百分点，</w:t>
            </w:r>
            <w:r w:rsidR="00FB5781" w:rsidRPr="00FB578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价值</w:t>
            </w:r>
            <w:r w:rsidR="00F9609D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持续提升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76A4316C" w14:textId="0B59CF9D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资产价值方面：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加权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ROE8.45%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，提升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2.43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个百分点；每股收益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0.81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元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1408F59F" w14:textId="1B79B91E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社会价值方面：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公司持续强化全生命周期绿色管理，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全年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环保投入资金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1.69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亿元，全面推进碳达峰碳中和行动方案的实施；同时，积极践行央企社会责任，投入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余万元助力乡村振兴和社会公益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36C39221" w14:textId="26F50228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价值成长方面：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营业现金比率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20.63%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，增加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6.38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个百分点，营业收入中获取资金的能力持续增强；资产负债率降至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23.22%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，下降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2.69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个百分点，资本结构稳健；研发投入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总额占营业收入比例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6.17%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同比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提升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0.41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个百分点。充分体现了公司增长的稳定性与可持续性。</w:t>
            </w:r>
          </w:p>
          <w:p w14:paraId="07C9CCC4" w14:textId="32B89DF7" w:rsidR="006B7CA4" w:rsidRPr="0060611A" w:rsidRDefault="006B7CA4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价值维护方面：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公司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积极践行</w:t>
            </w:r>
            <w:r w:rsidR="00943DD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“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以投资者为本</w:t>
            </w:r>
            <w:r w:rsidR="00943DD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”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的发展理念，稳定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投资者回报预期。结合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中期分红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公司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年度股利支付率达到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37.13%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同时公司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制定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了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未来三年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2025-2027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年）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股东回报规划，在保证公司正常经营和可持续发展的前提下，若无重大投资计划或重大现金支出等事项发生，公司每年以现金方式分配的利润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将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不少于当年实现的归属于上市公司股东净利润的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40%</w:t>
            </w:r>
            <w:r w:rsidR="00F9609D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，持续加大投资者回报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63C12756" w14:textId="2F839DC7" w:rsidR="006B7CA4" w:rsidRPr="0060611A" w:rsidRDefault="003917C0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（二）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细分业务分析</w:t>
            </w:r>
          </w:p>
          <w:p w14:paraId="040EE790" w14:textId="78D98E8A" w:rsidR="006B7CA4" w:rsidRPr="0060611A" w:rsidRDefault="003917C0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1</w:t>
            </w: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、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中间体及原料药</w:t>
            </w:r>
            <w:r w:rsidR="0074787C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业务</w:t>
            </w:r>
          </w:p>
          <w:p w14:paraId="4AD62035" w14:textId="2A74C6ED" w:rsidR="006B7CA4" w:rsidRPr="0060611A" w:rsidRDefault="0074787C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年公司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中间体及原料药收入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51.98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同比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增长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8.54%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，毛利率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33.86%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同比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增加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.02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百分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点</w:t>
            </w:r>
            <w:r w:rsidR="003917C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139E6121" w14:textId="0076FF1E" w:rsidR="006B7CA4" w:rsidRPr="0060611A" w:rsidRDefault="003917C0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抗感染类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中间体及原料药实现收入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44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85%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，毛利率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30.5%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增加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百分点</w:t>
            </w:r>
            <w:r w:rsidR="00EE1911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，主要来自于青霉素类、克拉维酸钾系列产品的增长。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公司抗感染类中间体及原料药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出口销售比例约占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80%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3E00FA97" w14:textId="5EDA0335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其他专科类</w:t>
            </w:r>
            <w:r w:rsidR="0074787C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原料药实现收入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7.7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，收入规模与利润贡献基本稳定。</w:t>
            </w:r>
          </w:p>
          <w:p w14:paraId="469A5742" w14:textId="1F680E65" w:rsidR="006B7CA4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2</w:t>
            </w: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、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制剂</w:t>
            </w:r>
            <w:r w:rsidR="00347F89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业务</w:t>
            </w:r>
          </w:p>
          <w:p w14:paraId="2A12681A" w14:textId="6F90DE53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受集采联动降价、</w:t>
            </w:r>
            <w:r w:rsidR="00EE1911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“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四同</w:t>
            </w:r>
            <w:r w:rsidR="00EE1911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”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药品价格联动等医保控费措施的影响，制剂板块业务发展依然面临着严峻的考验。报告期内实现销售收入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54.51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亿元，下降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20.24%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；毛利率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45.72%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，下降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4.6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百分点。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年公司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整体销售费用率下降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7.3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百分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点，制剂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业务板块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销售费用率下降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10.3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</w:t>
            </w:r>
            <w:r w:rsidR="00EA7FB6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百分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点，超过了制剂</w:t>
            </w:r>
            <w:r w:rsidR="00745903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产品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毛利率下降的幅度，</w:t>
            </w:r>
            <w:r w:rsidR="00745903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从而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保障了</w:t>
            </w:r>
            <w:r w:rsidR="00745903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="00745903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年度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制剂板块整体盈利贡献的稳定提升。</w:t>
            </w:r>
          </w:p>
          <w:p w14:paraId="1F308138" w14:textId="301019A6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抗感染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类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产品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20.9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38%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，头孢针剂产品销量的下降引起该领域产品收入下降了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22D9F7AB" w14:textId="77BBF7A1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心血管产品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6.7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12%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重点品种硝苯地平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控释片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价格进一步下降，新产品短期内尚无法形成有效补充。</w:t>
            </w:r>
          </w:p>
          <w:p w14:paraId="1EFF290D" w14:textId="63A16597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神经系统用药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6.4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亿元，占比提升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个点至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。芬太尼系列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产品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销量、收入持续保持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以上的增速。</w:t>
            </w:r>
          </w:p>
          <w:p w14:paraId="3DD6879A" w14:textId="7B018DEF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泌尿生殖及激素制剂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5.2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，收入的下降源于糖皮质激素产品价格下降所致。</w:t>
            </w:r>
          </w:p>
          <w:p w14:paraId="6A1CFB68" w14:textId="3F697EB3" w:rsidR="006B7CA4" w:rsidRPr="0060611A" w:rsidRDefault="0033091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骨骼肌肉系统用药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收入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3.8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亿元，占比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，在双氯芬酸钠缓释片销量增长带动的因素下，销售收入同比小幅增长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2.41%</w:t>
            </w:r>
            <w:r w:rsidR="006B7CA4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74E5A429" w14:textId="200A2EE3" w:rsidR="006B7CA4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（三）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研发</w:t>
            </w:r>
            <w:r w:rsidR="00347F89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情况</w:t>
            </w:r>
          </w:p>
          <w:p w14:paraId="28D7C1DD" w14:textId="0B18F364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公司</w:t>
            </w:r>
            <w:r w:rsidR="00347F89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年研发投入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6.75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亿元，占营业收入比重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6.17%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，提升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0.41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个点。其中用于仿制药开发的研发投入占比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41.51%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，用于工艺及质量提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升研究的研发投入占比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38.92%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，用于一致性评价的研发投入占比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12.27%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  <w:p w14:paraId="7835169F" w14:textId="0271A864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截止目前，公司在研项目（按品规计）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210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项，其中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70%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为新产品项目，处于受理申报阶段的项目有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81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个。在研项目中，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23%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为麻醉及精神产品、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为抗感染产品、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为心血管产品、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为抗肿瘤及免疫产品、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为代谢及内分泌产品。</w:t>
            </w:r>
          </w:p>
          <w:p w14:paraId="27B1BBB6" w14:textId="77777777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未来公司持续聚焦抗感染、心血管、麻醉及精神、代谢及内分泌等重点领域，自研与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BD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引进双轮驱动，提速成果落地、加快创新突破、推进平台建设，为公司高质量发展注入新动能。</w:t>
            </w:r>
          </w:p>
          <w:p w14:paraId="687B08F6" w14:textId="2AD06AC9" w:rsidR="006B7CA4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（四）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2025</w:t>
            </w:r>
            <w:r w:rsidR="006B7CA4" w:rsidRPr="0060611A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年重点工作计划</w:t>
            </w:r>
          </w:p>
          <w:p w14:paraId="5313A905" w14:textId="0B3F9B84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从行业来看，集</w:t>
            </w:r>
            <w:proofErr w:type="gramStart"/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采提质扩面</w:t>
            </w:r>
            <w:proofErr w:type="gramEnd"/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、价格动态治理，促使</w:t>
            </w:r>
            <w:r w:rsidR="00F9609D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化学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药品企业向</w:t>
            </w:r>
            <w:r w:rsidR="00C020B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“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拼质量、拼价格、规模化、</w:t>
            </w:r>
            <w:r w:rsidR="00F9609D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集约化、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智能制造</w:t>
            </w:r>
            <w:r w:rsidR="00C020B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”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转变，也为医药企业优化产业布局、深化产学研用融合、提高药品质量和安全水平提供了明确指引。</w:t>
            </w:r>
          </w:p>
          <w:p w14:paraId="344814FC" w14:textId="77777777" w:rsidR="006B7CA4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2025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，公司将继续以高质量发展为核心任务，坚持稳中求进的工作总基调，从数字化赋能、推动科技创新与产业创新加速融合、深化营销体系改革、优化产能布局与内部资源整合等方面，聚力改革创新，锻造产业链竞争力，筑牢风控屏障，构建可持续发展新格局。</w:t>
            </w:r>
          </w:p>
          <w:p w14:paraId="72699743" w14:textId="06D84F25" w:rsidR="00FF29D1" w:rsidRPr="0060611A" w:rsidRDefault="006B7CA4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根据行业形势与市场状况，结合</w:t>
            </w:r>
            <w:r w:rsidR="00C020B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“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十四五</w:t>
            </w:r>
            <w:r w:rsidR="00C020B9" w:rsidRPr="0060611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”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发展规划，</w:t>
            </w:r>
            <w:r w:rsidR="00683530"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25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年预计实现营业收入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113.40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亿元，较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年实际营业收入增长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3.68%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；预计发生营业成本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71.74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亿元、销售费用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9.99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亿元、管理费用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8.47</w:t>
            </w:r>
            <w:r w:rsidRPr="0060611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亿元。</w:t>
            </w:r>
          </w:p>
          <w:p w14:paraId="440A62D7" w14:textId="74327E78" w:rsidR="0033091F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二、主要交流问题</w:t>
            </w:r>
          </w:p>
          <w:p w14:paraId="0E30E98B" w14:textId="3AE9A248" w:rsidR="0033091F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1" w:name="OLE_LINK5"/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、</w:t>
            </w:r>
            <w:r w:rsidR="00683530" w:rsidRPr="0060611A">
              <w:rPr>
                <w:rFonts w:ascii="Times New Roman" w:eastAsia="宋体" w:hAnsi="Times New Roman" w:cs="Times New Roman"/>
                <w:b/>
                <w:bCs/>
              </w:rPr>
              <w:t>公司目前制剂</w:t>
            </w:r>
            <w:r w:rsidR="00683530" w:rsidRPr="0060611A">
              <w:rPr>
                <w:rFonts w:ascii="Times New Roman" w:eastAsia="宋体" w:hAnsi="Times New Roman" w:cs="Times New Roman" w:hint="eastAsia"/>
                <w:b/>
                <w:bCs/>
              </w:rPr>
              <w:t>业务</w:t>
            </w:r>
            <w:r w:rsidR="00683530" w:rsidRPr="0060611A">
              <w:rPr>
                <w:rFonts w:ascii="Times New Roman" w:eastAsia="宋体" w:hAnsi="Times New Roman" w:cs="Times New Roman"/>
                <w:b/>
                <w:bCs/>
              </w:rPr>
              <w:t>的研发布局思路和策略是怎样的？</w:t>
            </w:r>
          </w:p>
          <w:p w14:paraId="76168A4E" w14:textId="557F30DD" w:rsidR="0033091F" w:rsidRPr="0060611A" w:rsidRDefault="00637A21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公司</w:t>
            </w:r>
            <w:r w:rsidR="00E054D6" w:rsidRPr="0060611A">
              <w:rPr>
                <w:rFonts w:ascii="Times New Roman" w:eastAsia="宋体" w:hAnsi="Times New Roman" w:cs="Times New Roman" w:hint="eastAsia"/>
                <w:szCs w:val="21"/>
              </w:rPr>
              <w:t>研发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主要基于以下几个方面的思路：一是聚焦心脑血管、代谢等慢病领域，</w:t>
            </w:r>
            <w:r w:rsidR="00E054D6" w:rsidRPr="0060611A">
              <w:rPr>
                <w:rFonts w:ascii="Times New Roman" w:eastAsia="宋体" w:hAnsi="Times New Roman" w:cs="Times New Roman" w:hint="eastAsia"/>
                <w:szCs w:val="21"/>
              </w:rPr>
              <w:t>持续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推进大品种战略，补充院端、零售等一线及基础的有成本和规模生产优势的产品以及潜力大品种，实现核心领域和核心产品的补全补齐；二是基于国家产业基础特点，持续推进原料制剂一体化，在立项阶段同步规划附加值高、有技术壁垒的原料药品种，保障产业链安全；三是关注数据保护政策后续进展，关注三类首仿和具有临床价值的改良型新药等，利用市场独占期红利，建立新产品市场壁垒期，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形成公司产品品牌优势。</w:t>
            </w:r>
          </w:p>
          <w:bookmarkEnd w:id="1"/>
          <w:p w14:paraId="4A387054" w14:textId="210E094C" w:rsidR="0033091F" w:rsidRPr="0060611A" w:rsidRDefault="0033091F" w:rsidP="00683530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、</w:t>
            </w:r>
            <w:r w:rsidR="00E054D6"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抗感染类中间体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原料</w:t>
            </w:r>
            <w:r w:rsidR="00E054D6"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药业务的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成本端</w:t>
            </w:r>
            <w:r w:rsidR="00E054D6"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公司还会采取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哪些措施</w:t>
            </w:r>
            <w:r w:rsidR="00E054D6"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？</w:t>
            </w:r>
            <w:r w:rsidR="00E054D6" w:rsidRPr="0060611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21FF596" w14:textId="2019BDAC" w:rsidR="00E054D6" w:rsidRPr="0060611A" w:rsidRDefault="00E054D6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承接这部分业务的主要子公司国药威奇达，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从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年下半年起进行优化调整，目前产能利用率和生产动态调整状态已达到较优且能快速响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lastRenderedPageBreak/>
              <w:t>应的状态，公司会根据市场行情趋势及时调整产品结构，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保持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产能利用率维持在较优状态，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确保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整体成本处于优良状态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同时，在原材料采购方面，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通过战略合作、集中采购等方式降低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="00637A21" w:rsidRPr="0060611A">
              <w:rPr>
                <w:rFonts w:ascii="Times New Roman" w:eastAsia="宋体" w:hAnsi="Times New Roman" w:cs="Times New Roman"/>
                <w:szCs w:val="21"/>
              </w:rPr>
              <w:t>采购成本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；此外，公司也积极运用新技术、新工艺，不断提高原料药收率，持续降本增效。</w:t>
            </w:r>
          </w:p>
          <w:p w14:paraId="54F91AB4" w14:textId="4C17CA51" w:rsidR="00E054D6" w:rsidRPr="0060611A" w:rsidRDefault="00E054D6" w:rsidP="00E054D6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、</w:t>
            </w:r>
            <w:r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公司后续现金使用计划是怎样的？</w:t>
            </w:r>
          </w:p>
          <w:p w14:paraId="6FA84A16" w14:textId="7C7800FB" w:rsidR="00E054D6" w:rsidRPr="0060611A" w:rsidRDefault="00E054D6" w:rsidP="00C25C2F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年公司现金使用主要基于以下考虑：一是保证运营活动的资金保障；二是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保障部分规划中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基建项目投入；三是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确保公司后期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分红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方案的顺利实施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；四是对剩余资金加强统筹管理，实现效益最大化。此外，</w:t>
            </w:r>
            <w:r w:rsidR="00C25C2F" w:rsidRPr="0060611A">
              <w:rPr>
                <w:rFonts w:ascii="Times New Roman" w:eastAsia="宋体" w:hAnsi="Times New Roman" w:cs="Times New Roman" w:hint="eastAsia"/>
                <w:color w:val="000000" w:themeColor="text1"/>
              </w:rPr>
              <w:t>公司将持续推动内生发展与外延并购双轮驱动的发展战略，为外延式产业布局做好资金支持准备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121E0B9" w14:textId="4E7579C8" w:rsidR="00E054D6" w:rsidRPr="0060611A" w:rsidRDefault="00C25C2F" w:rsidP="00C25C2F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="0033091F" w:rsidRPr="0060611A">
              <w:rPr>
                <w:rFonts w:ascii="Times New Roman" w:eastAsia="宋体" w:hAnsi="Times New Roman" w:cs="Times New Roman"/>
                <w:b/>
                <w:bCs/>
                <w:szCs w:val="21"/>
              </w:rPr>
              <w:t>、</w:t>
            </w:r>
            <w:r w:rsidR="00E054D6" w:rsidRPr="0060611A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公司未来在外延收购方面的规划是怎样的？</w:t>
            </w:r>
          </w:p>
          <w:p w14:paraId="1A8EA5E9" w14:textId="2C2E5E61" w:rsidR="00C25C2F" w:rsidRPr="0060611A" w:rsidRDefault="00637A21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国药现代作为国药集团旗下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化学制药工业发展与资本运作的核心平台，将持续聚焦五大重点</w:t>
            </w:r>
            <w:r w:rsidR="00C25C2F" w:rsidRPr="0060611A">
              <w:rPr>
                <w:rFonts w:ascii="Times New Roman" w:eastAsia="宋体" w:hAnsi="Times New Roman" w:cs="Times New Roman"/>
                <w:szCs w:val="21"/>
              </w:rPr>
              <w:t>领域，结合产业链、技术链图谱，进行</w:t>
            </w:r>
            <w:r w:rsidR="00C25C2F" w:rsidRPr="0060611A">
              <w:rPr>
                <w:rFonts w:ascii="Times New Roman" w:eastAsia="宋体" w:hAnsi="Times New Roman" w:cs="Times New Roman" w:hint="eastAsia"/>
                <w:szCs w:val="21"/>
              </w:rPr>
              <w:t>重点</w:t>
            </w:r>
            <w:r w:rsidR="00C25C2F" w:rsidRPr="0060611A">
              <w:rPr>
                <w:rFonts w:ascii="Times New Roman" w:eastAsia="宋体" w:hAnsi="Times New Roman" w:cs="Times New Roman"/>
                <w:szCs w:val="21"/>
              </w:rPr>
              <w:t>布局。</w:t>
            </w:r>
          </w:p>
          <w:p w14:paraId="078C99E5" w14:textId="5EAB0221" w:rsidR="00C25C2F" w:rsidRPr="0060611A" w:rsidRDefault="00C25C2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从产业链角度：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一是加强抗生素产业长板；二是强化口服固体制剂和注射剂产业基础；三是补充外用制剂和眼科用药短板；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此外还会积极关注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关键性原料药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的新技术新工艺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关键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辅料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、关键装备等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09C7F066" w14:textId="2956CC7C" w:rsidR="00E05CAE" w:rsidRPr="0060611A" w:rsidRDefault="00C25C2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从技术链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角度：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围绕口服固体制剂开展技术布局，重点</w:t>
            </w:r>
            <w:r w:rsidRPr="0060611A">
              <w:rPr>
                <w:rFonts w:ascii="Times New Roman" w:eastAsia="宋体" w:hAnsi="Times New Roman" w:cs="Times New Roman" w:hint="eastAsia"/>
                <w:szCs w:val="21"/>
              </w:rPr>
              <w:t>加强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缓控释技术、儿童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矫味</w:t>
            </w:r>
            <w:r w:rsidR="000C1316" w:rsidRPr="0060611A">
              <w:rPr>
                <w:rFonts w:ascii="Times New Roman" w:eastAsia="宋体" w:hAnsi="Times New Roman" w:cs="Times New Roman" w:hint="eastAsia"/>
                <w:szCs w:val="21"/>
              </w:rPr>
              <w:t>技术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以及热熔挤出技术</w:t>
            </w:r>
            <w:r w:rsidR="000C1316" w:rsidRPr="0060611A">
              <w:rPr>
                <w:rFonts w:ascii="Times New Roman" w:eastAsia="宋体" w:hAnsi="Times New Roman" w:cs="Times New Roman" w:hint="eastAsia"/>
                <w:szCs w:val="21"/>
              </w:rPr>
              <w:t>平台建设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；拓展外用制剂技术布局，重点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关注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凝胶贴膏技术、新型透皮技术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5EFD4A18" w14:textId="77777777" w:rsidR="00E05CAE" w:rsidRPr="0060611A" w:rsidRDefault="00C25C2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原料药技术布局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方面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，重点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关注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生物化学类的合成生物技术、植物化学类的黄酮类天然产物提取技术、分离纯化技术中的结晶工程技术和工程技术中的连续流制造技术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55EC7888" w14:textId="7CC45F99" w:rsidR="00C25C2F" w:rsidRPr="0060611A" w:rsidRDefault="00C25C2F" w:rsidP="0068353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此外，公司将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根据国药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集团统一规划，</w:t>
            </w:r>
            <w:r w:rsidR="00231E63" w:rsidRPr="0060611A">
              <w:rPr>
                <w:rFonts w:ascii="Times New Roman" w:eastAsia="宋体" w:hAnsi="Times New Roman" w:cs="Times New Roman" w:hint="eastAsia"/>
                <w:szCs w:val="21"/>
              </w:rPr>
              <w:t>积极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推进</w:t>
            </w:r>
            <w:r w:rsidR="00231E63" w:rsidRPr="0060611A">
              <w:rPr>
                <w:rFonts w:ascii="Times New Roman" w:eastAsia="宋体" w:hAnsi="Times New Roman" w:cs="Times New Roman" w:hint="eastAsia"/>
                <w:szCs w:val="21"/>
              </w:rPr>
              <w:t>集团内的产业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整合力度。</w:t>
            </w:r>
          </w:p>
          <w:p w14:paraId="2C89CEAB" w14:textId="5AEB1769" w:rsidR="00637A21" w:rsidRPr="0060611A" w:rsidRDefault="00E05CAE" w:rsidP="00E05CAE">
            <w:pPr>
              <w:pStyle w:val="ad"/>
              <w:spacing w:before="0" w:after="0" w:line="400" w:lineRule="exact"/>
              <w:ind w:firstLineChars="200" w:firstLine="422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0611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eastAsia="zh-CN"/>
              </w:rPr>
              <w:t>5</w:t>
            </w:r>
            <w:r w:rsidRPr="0060611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如何理解集采政策对公司</w:t>
            </w:r>
            <w:r w:rsidRPr="0060611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eastAsia="zh-CN"/>
              </w:rPr>
              <w:t>后续发展的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影响？</w:t>
            </w:r>
          </w:p>
          <w:p w14:paraId="41351595" w14:textId="01EF851F" w:rsidR="00637A21" w:rsidRPr="0060611A" w:rsidRDefault="00637A21" w:rsidP="00E05CA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目前集采已进入动态价格管控状态，无论是国家集采、地方集采还是地方联盟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集采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等，未来都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将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是常态化的。公司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目前已有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个品种中标国家集采，其中大部分为公司大品种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产品，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其他公司主要产品，也已陆续落实各地集采等医保控费政策。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后续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制剂产品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价格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出现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小幅波动，对公司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经营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影响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将逐步</w:t>
            </w:r>
            <w:r w:rsidR="00A3308E" w:rsidRPr="0060611A">
              <w:rPr>
                <w:rFonts w:ascii="Times New Roman" w:eastAsia="宋体" w:hAnsi="Times New Roman" w:cs="Times New Roman" w:hint="eastAsia"/>
                <w:szCs w:val="21"/>
              </w:rPr>
              <w:t>趋缓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5E521EA0" w14:textId="04282519" w:rsidR="00637A21" w:rsidRPr="0060611A" w:rsidRDefault="00E05CAE" w:rsidP="00E05CAE">
            <w:pPr>
              <w:pStyle w:val="ad"/>
              <w:spacing w:before="0" w:after="0" w:line="40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0611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6</w:t>
            </w:r>
            <w:r w:rsidR="0033091F" w:rsidRPr="0060611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如何展望</w:t>
            </w:r>
            <w:r w:rsidRPr="0060611A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eastAsia="zh-CN"/>
              </w:rPr>
              <w:t>未来公司</w:t>
            </w:r>
            <w:r w:rsidR="00637A21" w:rsidRPr="0060611A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销售费用率的趋势，是否还有进一步的下行空间？</w:t>
            </w:r>
          </w:p>
          <w:p w14:paraId="08C3290B" w14:textId="14945F1B" w:rsidR="004863F8" w:rsidRPr="0060611A" w:rsidRDefault="00637A21" w:rsidP="00E05CA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lastRenderedPageBreak/>
              <w:t>近几年公司</w:t>
            </w:r>
            <w:r w:rsidR="00E05CAE" w:rsidRPr="0060611A">
              <w:rPr>
                <w:rFonts w:ascii="Times New Roman" w:eastAsia="宋体" w:hAnsi="Times New Roman" w:cs="Times New Roman"/>
                <w:szCs w:val="21"/>
              </w:rPr>
              <w:t>持续加强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销售费用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管控，一方面是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自身营销</w:t>
            </w:r>
            <w:r w:rsidR="00E05CAE" w:rsidRPr="0060611A">
              <w:rPr>
                <w:rFonts w:ascii="Times New Roman" w:eastAsia="宋体" w:hAnsi="Times New Roman" w:cs="Times New Roman" w:hint="eastAsia"/>
                <w:szCs w:val="21"/>
              </w:rPr>
              <w:t>管理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优化，另一方面是顺应行业政策导向。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年以来，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公司销售费用率从近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30%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降到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10%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左右，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有了很大幅度的优化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。未来，随着营销模式调整，销售服务费可能会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继续有所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优化，但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必要的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学术推广、临床应用推广等方面的费用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依然会保持合理支出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1C335A93" w14:textId="28C3142A" w:rsidR="0033091F" w:rsidRPr="0060611A" w:rsidRDefault="00637A21" w:rsidP="00410B10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611A">
              <w:rPr>
                <w:rFonts w:ascii="Times New Roman" w:eastAsia="宋体" w:hAnsi="Times New Roman" w:cs="Times New Roman"/>
                <w:szCs w:val="21"/>
              </w:rPr>
              <w:t>整体来看，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销售费用率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已经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达到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相对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优化的状态，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预计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未来</w:t>
            </w:r>
            <w:r w:rsidR="004863F8" w:rsidRPr="0060611A">
              <w:rPr>
                <w:rFonts w:ascii="Times New Roman" w:eastAsia="宋体" w:hAnsi="Times New Roman" w:cs="Times New Roman" w:hint="eastAsia"/>
                <w:szCs w:val="21"/>
              </w:rPr>
              <w:t>不会有太大波动</w:t>
            </w:r>
            <w:r w:rsidRPr="0060611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</w:tbl>
    <w:p w14:paraId="35F040CC" w14:textId="77777777" w:rsidR="002F4EBA" w:rsidRPr="00867985" w:rsidRDefault="002F4EBA" w:rsidP="00867985">
      <w:pPr>
        <w:ind w:right="840"/>
        <w:rPr>
          <w:rFonts w:hint="eastAsia"/>
        </w:rPr>
      </w:pPr>
    </w:p>
    <w:sectPr w:rsidR="002F4EBA" w:rsidRPr="0086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0A0A" w14:textId="77777777" w:rsidR="002422F6" w:rsidRDefault="002422F6" w:rsidP="00C04EBA">
      <w:pPr>
        <w:rPr>
          <w:rFonts w:hint="eastAsia"/>
        </w:rPr>
      </w:pPr>
      <w:r>
        <w:separator/>
      </w:r>
    </w:p>
  </w:endnote>
  <w:endnote w:type="continuationSeparator" w:id="0">
    <w:p w14:paraId="215129D1" w14:textId="77777777" w:rsidR="002422F6" w:rsidRDefault="002422F6" w:rsidP="00C04E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9EF0" w14:textId="77777777" w:rsidR="002422F6" w:rsidRDefault="002422F6" w:rsidP="00C04EBA">
      <w:pPr>
        <w:rPr>
          <w:rFonts w:hint="eastAsia"/>
        </w:rPr>
      </w:pPr>
      <w:r>
        <w:separator/>
      </w:r>
    </w:p>
  </w:footnote>
  <w:footnote w:type="continuationSeparator" w:id="0">
    <w:p w14:paraId="56FA187F" w14:textId="77777777" w:rsidR="002422F6" w:rsidRDefault="002422F6" w:rsidP="00C04E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29B7"/>
    <w:multiLevelType w:val="hybridMultilevel"/>
    <w:tmpl w:val="0A001C6E"/>
    <w:lvl w:ilvl="0" w:tplc="B6B24C3C">
      <w:start w:val="1"/>
      <w:numFmt w:val="decimal"/>
      <w:suff w:val="nothing"/>
      <w:lvlText w:val="%1、"/>
      <w:lvlJc w:val="left"/>
      <w:pPr>
        <w:ind w:left="866" w:hanging="440"/>
      </w:pPr>
      <w:rPr>
        <w:rFonts w:ascii="Times New Roman" w:eastAsia="宋体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num w:numId="1" w16cid:durableId="159089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B"/>
    <w:rsid w:val="00015A38"/>
    <w:rsid w:val="00017C72"/>
    <w:rsid w:val="00021B2B"/>
    <w:rsid w:val="000373A1"/>
    <w:rsid w:val="00040F70"/>
    <w:rsid w:val="0004486B"/>
    <w:rsid w:val="0004528D"/>
    <w:rsid w:val="0004575B"/>
    <w:rsid w:val="000468CD"/>
    <w:rsid w:val="000611D8"/>
    <w:rsid w:val="00064237"/>
    <w:rsid w:val="00064720"/>
    <w:rsid w:val="000667E3"/>
    <w:rsid w:val="00084FCC"/>
    <w:rsid w:val="00086044"/>
    <w:rsid w:val="00095572"/>
    <w:rsid w:val="00096D48"/>
    <w:rsid w:val="000A3D22"/>
    <w:rsid w:val="000A760F"/>
    <w:rsid w:val="000B33FB"/>
    <w:rsid w:val="000B6BD5"/>
    <w:rsid w:val="000C1316"/>
    <w:rsid w:val="000D4198"/>
    <w:rsid w:val="000D420B"/>
    <w:rsid w:val="000D536E"/>
    <w:rsid w:val="000D58E5"/>
    <w:rsid w:val="000D7EA6"/>
    <w:rsid w:val="000E0B28"/>
    <w:rsid w:val="000E22A3"/>
    <w:rsid w:val="000E49F4"/>
    <w:rsid w:val="000E5B0B"/>
    <w:rsid w:val="000E7642"/>
    <w:rsid w:val="000F271C"/>
    <w:rsid w:val="00103621"/>
    <w:rsid w:val="00113897"/>
    <w:rsid w:val="0011681C"/>
    <w:rsid w:val="00120679"/>
    <w:rsid w:val="00137102"/>
    <w:rsid w:val="00153C34"/>
    <w:rsid w:val="001552B4"/>
    <w:rsid w:val="00157507"/>
    <w:rsid w:val="00166195"/>
    <w:rsid w:val="0017034A"/>
    <w:rsid w:val="001774C3"/>
    <w:rsid w:val="00180328"/>
    <w:rsid w:val="00181397"/>
    <w:rsid w:val="00185A9F"/>
    <w:rsid w:val="001862F7"/>
    <w:rsid w:val="00190CBC"/>
    <w:rsid w:val="001A245E"/>
    <w:rsid w:val="001B4E5A"/>
    <w:rsid w:val="001C2FB1"/>
    <w:rsid w:val="001D077C"/>
    <w:rsid w:val="001D467E"/>
    <w:rsid w:val="001F262B"/>
    <w:rsid w:val="00205189"/>
    <w:rsid w:val="002065F1"/>
    <w:rsid w:val="00211642"/>
    <w:rsid w:val="00221FBE"/>
    <w:rsid w:val="00225C5F"/>
    <w:rsid w:val="00226BC5"/>
    <w:rsid w:val="00231E63"/>
    <w:rsid w:val="0023768F"/>
    <w:rsid w:val="00240AB0"/>
    <w:rsid w:val="00241207"/>
    <w:rsid w:val="002422F6"/>
    <w:rsid w:val="00243D90"/>
    <w:rsid w:val="002521FB"/>
    <w:rsid w:val="00267F81"/>
    <w:rsid w:val="00276E04"/>
    <w:rsid w:val="00287376"/>
    <w:rsid w:val="002B1D80"/>
    <w:rsid w:val="002B4243"/>
    <w:rsid w:val="002C74C4"/>
    <w:rsid w:val="002C7D43"/>
    <w:rsid w:val="002D2CA3"/>
    <w:rsid w:val="002D583C"/>
    <w:rsid w:val="002E0CBB"/>
    <w:rsid w:val="002E5C01"/>
    <w:rsid w:val="002E6405"/>
    <w:rsid w:val="002F4139"/>
    <w:rsid w:val="002F4EBA"/>
    <w:rsid w:val="002F53F2"/>
    <w:rsid w:val="00300BB8"/>
    <w:rsid w:val="00301298"/>
    <w:rsid w:val="00303404"/>
    <w:rsid w:val="00314C40"/>
    <w:rsid w:val="003220C9"/>
    <w:rsid w:val="0033091F"/>
    <w:rsid w:val="0033741C"/>
    <w:rsid w:val="00346275"/>
    <w:rsid w:val="00347F89"/>
    <w:rsid w:val="00351147"/>
    <w:rsid w:val="00356FC6"/>
    <w:rsid w:val="00362D10"/>
    <w:rsid w:val="003638FB"/>
    <w:rsid w:val="0037368E"/>
    <w:rsid w:val="0038588C"/>
    <w:rsid w:val="003917C0"/>
    <w:rsid w:val="003A378E"/>
    <w:rsid w:val="003A63D2"/>
    <w:rsid w:val="003B79A8"/>
    <w:rsid w:val="003C1A65"/>
    <w:rsid w:val="003C7B0F"/>
    <w:rsid w:val="003D13E7"/>
    <w:rsid w:val="003D3306"/>
    <w:rsid w:val="003D36C6"/>
    <w:rsid w:val="003D58D7"/>
    <w:rsid w:val="003F4A77"/>
    <w:rsid w:val="0040150B"/>
    <w:rsid w:val="00410B10"/>
    <w:rsid w:val="00412629"/>
    <w:rsid w:val="00435D06"/>
    <w:rsid w:val="00445C07"/>
    <w:rsid w:val="004502B3"/>
    <w:rsid w:val="0045284A"/>
    <w:rsid w:val="00452ADC"/>
    <w:rsid w:val="00455395"/>
    <w:rsid w:val="00455A47"/>
    <w:rsid w:val="004612AF"/>
    <w:rsid w:val="00472175"/>
    <w:rsid w:val="00473610"/>
    <w:rsid w:val="004863F8"/>
    <w:rsid w:val="00492611"/>
    <w:rsid w:val="00493379"/>
    <w:rsid w:val="00495952"/>
    <w:rsid w:val="00496AF2"/>
    <w:rsid w:val="004B5A7D"/>
    <w:rsid w:val="004C2F8E"/>
    <w:rsid w:val="004D15A3"/>
    <w:rsid w:val="004E37CA"/>
    <w:rsid w:val="004F1114"/>
    <w:rsid w:val="004F47D8"/>
    <w:rsid w:val="004F6CEE"/>
    <w:rsid w:val="005041FD"/>
    <w:rsid w:val="00510F28"/>
    <w:rsid w:val="00514105"/>
    <w:rsid w:val="005266F0"/>
    <w:rsid w:val="005344DF"/>
    <w:rsid w:val="00534FB6"/>
    <w:rsid w:val="00541065"/>
    <w:rsid w:val="00541A65"/>
    <w:rsid w:val="00542587"/>
    <w:rsid w:val="00544651"/>
    <w:rsid w:val="00544C24"/>
    <w:rsid w:val="00550C5E"/>
    <w:rsid w:val="00556AAC"/>
    <w:rsid w:val="00571775"/>
    <w:rsid w:val="0057201B"/>
    <w:rsid w:val="005756ED"/>
    <w:rsid w:val="005776D9"/>
    <w:rsid w:val="0058425A"/>
    <w:rsid w:val="005871A1"/>
    <w:rsid w:val="00587992"/>
    <w:rsid w:val="005901FF"/>
    <w:rsid w:val="005B0E0F"/>
    <w:rsid w:val="005B1CC8"/>
    <w:rsid w:val="005B45BB"/>
    <w:rsid w:val="005C1256"/>
    <w:rsid w:val="005C1F02"/>
    <w:rsid w:val="005E19A5"/>
    <w:rsid w:val="005E2BE6"/>
    <w:rsid w:val="005E40EC"/>
    <w:rsid w:val="005E4AB1"/>
    <w:rsid w:val="005E7049"/>
    <w:rsid w:val="005F017A"/>
    <w:rsid w:val="005F1892"/>
    <w:rsid w:val="005F5A94"/>
    <w:rsid w:val="005F7A20"/>
    <w:rsid w:val="006040E2"/>
    <w:rsid w:val="00604446"/>
    <w:rsid w:val="00605641"/>
    <w:rsid w:val="00605DBB"/>
    <w:rsid w:val="0060611A"/>
    <w:rsid w:val="0061080A"/>
    <w:rsid w:val="006214B8"/>
    <w:rsid w:val="0062163D"/>
    <w:rsid w:val="00624C63"/>
    <w:rsid w:val="00625D84"/>
    <w:rsid w:val="0062601A"/>
    <w:rsid w:val="00630F1E"/>
    <w:rsid w:val="006360B4"/>
    <w:rsid w:val="00637A21"/>
    <w:rsid w:val="00641830"/>
    <w:rsid w:val="00641F88"/>
    <w:rsid w:val="006421E8"/>
    <w:rsid w:val="00644C1C"/>
    <w:rsid w:val="00646506"/>
    <w:rsid w:val="00652552"/>
    <w:rsid w:val="006546EC"/>
    <w:rsid w:val="00660628"/>
    <w:rsid w:val="006609FA"/>
    <w:rsid w:val="006659B1"/>
    <w:rsid w:val="00666913"/>
    <w:rsid w:val="0067021C"/>
    <w:rsid w:val="006747C5"/>
    <w:rsid w:val="006818C2"/>
    <w:rsid w:val="00683530"/>
    <w:rsid w:val="006914B7"/>
    <w:rsid w:val="0069163F"/>
    <w:rsid w:val="0069293F"/>
    <w:rsid w:val="006936F6"/>
    <w:rsid w:val="00693DCB"/>
    <w:rsid w:val="0069419B"/>
    <w:rsid w:val="006944E5"/>
    <w:rsid w:val="006A6A90"/>
    <w:rsid w:val="006B000B"/>
    <w:rsid w:val="006B0684"/>
    <w:rsid w:val="006B0905"/>
    <w:rsid w:val="006B391F"/>
    <w:rsid w:val="006B7CA4"/>
    <w:rsid w:val="006C50F4"/>
    <w:rsid w:val="006D2170"/>
    <w:rsid w:val="006D475C"/>
    <w:rsid w:val="006E3DF4"/>
    <w:rsid w:val="006E516F"/>
    <w:rsid w:val="006E749E"/>
    <w:rsid w:val="006F4390"/>
    <w:rsid w:val="006F55F5"/>
    <w:rsid w:val="00704750"/>
    <w:rsid w:val="00706755"/>
    <w:rsid w:val="00707D3E"/>
    <w:rsid w:val="00717191"/>
    <w:rsid w:val="00726B76"/>
    <w:rsid w:val="00730073"/>
    <w:rsid w:val="007307FF"/>
    <w:rsid w:val="0074484F"/>
    <w:rsid w:val="007455F2"/>
    <w:rsid w:val="00745903"/>
    <w:rsid w:val="0074787C"/>
    <w:rsid w:val="00760A03"/>
    <w:rsid w:val="00760F3A"/>
    <w:rsid w:val="007646F3"/>
    <w:rsid w:val="00765D98"/>
    <w:rsid w:val="00773436"/>
    <w:rsid w:val="00773CCB"/>
    <w:rsid w:val="00786595"/>
    <w:rsid w:val="0079224E"/>
    <w:rsid w:val="00795E78"/>
    <w:rsid w:val="007A46C0"/>
    <w:rsid w:val="007B16A9"/>
    <w:rsid w:val="007B2A53"/>
    <w:rsid w:val="007B39E4"/>
    <w:rsid w:val="007E55F2"/>
    <w:rsid w:val="007E590D"/>
    <w:rsid w:val="00803BE0"/>
    <w:rsid w:val="00806691"/>
    <w:rsid w:val="00806FE7"/>
    <w:rsid w:val="00812856"/>
    <w:rsid w:val="0082112D"/>
    <w:rsid w:val="00824FC4"/>
    <w:rsid w:val="00825B15"/>
    <w:rsid w:val="008264DD"/>
    <w:rsid w:val="008310B9"/>
    <w:rsid w:val="00834518"/>
    <w:rsid w:val="00836CF0"/>
    <w:rsid w:val="008405AA"/>
    <w:rsid w:val="00842374"/>
    <w:rsid w:val="00853EE4"/>
    <w:rsid w:val="00856560"/>
    <w:rsid w:val="00867985"/>
    <w:rsid w:val="00870518"/>
    <w:rsid w:val="00875199"/>
    <w:rsid w:val="00884846"/>
    <w:rsid w:val="00894CB0"/>
    <w:rsid w:val="008B61D6"/>
    <w:rsid w:val="008C6428"/>
    <w:rsid w:val="008C690B"/>
    <w:rsid w:val="008D0134"/>
    <w:rsid w:val="008D12B0"/>
    <w:rsid w:val="008D4DA0"/>
    <w:rsid w:val="008F2DBA"/>
    <w:rsid w:val="008F7A70"/>
    <w:rsid w:val="00905205"/>
    <w:rsid w:val="009178A2"/>
    <w:rsid w:val="009343AD"/>
    <w:rsid w:val="00934417"/>
    <w:rsid w:val="009403E9"/>
    <w:rsid w:val="00940D05"/>
    <w:rsid w:val="00943DD9"/>
    <w:rsid w:val="009513C9"/>
    <w:rsid w:val="00954513"/>
    <w:rsid w:val="009561E5"/>
    <w:rsid w:val="009608B2"/>
    <w:rsid w:val="0096132F"/>
    <w:rsid w:val="00964773"/>
    <w:rsid w:val="00965380"/>
    <w:rsid w:val="00972249"/>
    <w:rsid w:val="00977A11"/>
    <w:rsid w:val="00983F66"/>
    <w:rsid w:val="009875DA"/>
    <w:rsid w:val="009B16FF"/>
    <w:rsid w:val="009B1FE4"/>
    <w:rsid w:val="009C4926"/>
    <w:rsid w:val="009D0F7B"/>
    <w:rsid w:val="009D30EA"/>
    <w:rsid w:val="009D523F"/>
    <w:rsid w:val="009D60FF"/>
    <w:rsid w:val="009D6F9B"/>
    <w:rsid w:val="009E5028"/>
    <w:rsid w:val="009E5B4A"/>
    <w:rsid w:val="009E5EF1"/>
    <w:rsid w:val="009F0AC9"/>
    <w:rsid w:val="009F22C9"/>
    <w:rsid w:val="009F37B1"/>
    <w:rsid w:val="009F557A"/>
    <w:rsid w:val="00A106F1"/>
    <w:rsid w:val="00A115FB"/>
    <w:rsid w:val="00A240B8"/>
    <w:rsid w:val="00A25DFB"/>
    <w:rsid w:val="00A3308E"/>
    <w:rsid w:val="00A35AD7"/>
    <w:rsid w:val="00A36697"/>
    <w:rsid w:val="00A3758F"/>
    <w:rsid w:val="00A3779A"/>
    <w:rsid w:val="00A40345"/>
    <w:rsid w:val="00A43C47"/>
    <w:rsid w:val="00A45382"/>
    <w:rsid w:val="00A502B0"/>
    <w:rsid w:val="00A50ABE"/>
    <w:rsid w:val="00A51FF1"/>
    <w:rsid w:val="00A60487"/>
    <w:rsid w:val="00A67269"/>
    <w:rsid w:val="00A8422B"/>
    <w:rsid w:val="00A8584F"/>
    <w:rsid w:val="00A872AD"/>
    <w:rsid w:val="00AA1DB6"/>
    <w:rsid w:val="00AA4343"/>
    <w:rsid w:val="00AB0064"/>
    <w:rsid w:val="00AB0A76"/>
    <w:rsid w:val="00AC49AE"/>
    <w:rsid w:val="00AC7AC3"/>
    <w:rsid w:val="00AD207D"/>
    <w:rsid w:val="00AD2948"/>
    <w:rsid w:val="00AD578D"/>
    <w:rsid w:val="00AD63D2"/>
    <w:rsid w:val="00AD7671"/>
    <w:rsid w:val="00AE1CBA"/>
    <w:rsid w:val="00AE1D6B"/>
    <w:rsid w:val="00AF2845"/>
    <w:rsid w:val="00AF3FCA"/>
    <w:rsid w:val="00AF5515"/>
    <w:rsid w:val="00B009C3"/>
    <w:rsid w:val="00B01085"/>
    <w:rsid w:val="00B0337C"/>
    <w:rsid w:val="00B04424"/>
    <w:rsid w:val="00B103D5"/>
    <w:rsid w:val="00B20C31"/>
    <w:rsid w:val="00B23493"/>
    <w:rsid w:val="00B23DF5"/>
    <w:rsid w:val="00B241D8"/>
    <w:rsid w:val="00B31AF3"/>
    <w:rsid w:val="00B33117"/>
    <w:rsid w:val="00B3477B"/>
    <w:rsid w:val="00B4305D"/>
    <w:rsid w:val="00B47D3F"/>
    <w:rsid w:val="00B5560E"/>
    <w:rsid w:val="00B55BBD"/>
    <w:rsid w:val="00B70DA0"/>
    <w:rsid w:val="00B80149"/>
    <w:rsid w:val="00BA232E"/>
    <w:rsid w:val="00BB0496"/>
    <w:rsid w:val="00BC27A7"/>
    <w:rsid w:val="00BD2749"/>
    <w:rsid w:val="00BE29A1"/>
    <w:rsid w:val="00BF1566"/>
    <w:rsid w:val="00BF43DC"/>
    <w:rsid w:val="00C00201"/>
    <w:rsid w:val="00C020B9"/>
    <w:rsid w:val="00C04EBA"/>
    <w:rsid w:val="00C0534D"/>
    <w:rsid w:val="00C15675"/>
    <w:rsid w:val="00C22EA0"/>
    <w:rsid w:val="00C25C2F"/>
    <w:rsid w:val="00C343E2"/>
    <w:rsid w:val="00C42A80"/>
    <w:rsid w:val="00C463A7"/>
    <w:rsid w:val="00C52392"/>
    <w:rsid w:val="00C5751F"/>
    <w:rsid w:val="00C61C00"/>
    <w:rsid w:val="00C861E4"/>
    <w:rsid w:val="00C86209"/>
    <w:rsid w:val="00C91EC4"/>
    <w:rsid w:val="00C938F9"/>
    <w:rsid w:val="00C94961"/>
    <w:rsid w:val="00C96A77"/>
    <w:rsid w:val="00C9750E"/>
    <w:rsid w:val="00C979F5"/>
    <w:rsid w:val="00CA18EF"/>
    <w:rsid w:val="00CA1BC1"/>
    <w:rsid w:val="00CA5C1A"/>
    <w:rsid w:val="00CA6770"/>
    <w:rsid w:val="00CB06A1"/>
    <w:rsid w:val="00CC45C8"/>
    <w:rsid w:val="00CC7177"/>
    <w:rsid w:val="00CD246C"/>
    <w:rsid w:val="00CE0886"/>
    <w:rsid w:val="00CE3615"/>
    <w:rsid w:val="00CF1A82"/>
    <w:rsid w:val="00CF21C5"/>
    <w:rsid w:val="00CF3AFA"/>
    <w:rsid w:val="00D013D7"/>
    <w:rsid w:val="00D04B7B"/>
    <w:rsid w:val="00D0581C"/>
    <w:rsid w:val="00D065AD"/>
    <w:rsid w:val="00D076F3"/>
    <w:rsid w:val="00D1513E"/>
    <w:rsid w:val="00D23C20"/>
    <w:rsid w:val="00D25E7D"/>
    <w:rsid w:val="00D26F58"/>
    <w:rsid w:val="00D46701"/>
    <w:rsid w:val="00D54413"/>
    <w:rsid w:val="00D55A37"/>
    <w:rsid w:val="00D66F54"/>
    <w:rsid w:val="00D80A6A"/>
    <w:rsid w:val="00D84F9B"/>
    <w:rsid w:val="00D85A5D"/>
    <w:rsid w:val="00DA7C9D"/>
    <w:rsid w:val="00DB1837"/>
    <w:rsid w:val="00DB266B"/>
    <w:rsid w:val="00DB7A23"/>
    <w:rsid w:val="00DE0D87"/>
    <w:rsid w:val="00DE16AC"/>
    <w:rsid w:val="00DE3692"/>
    <w:rsid w:val="00DE6656"/>
    <w:rsid w:val="00DF4525"/>
    <w:rsid w:val="00DF513F"/>
    <w:rsid w:val="00DF5EDE"/>
    <w:rsid w:val="00E041B6"/>
    <w:rsid w:val="00E043E8"/>
    <w:rsid w:val="00E054D6"/>
    <w:rsid w:val="00E05CAE"/>
    <w:rsid w:val="00E147B7"/>
    <w:rsid w:val="00E1598B"/>
    <w:rsid w:val="00E25E6A"/>
    <w:rsid w:val="00E31B90"/>
    <w:rsid w:val="00E50575"/>
    <w:rsid w:val="00E539F3"/>
    <w:rsid w:val="00E54702"/>
    <w:rsid w:val="00E57C67"/>
    <w:rsid w:val="00E66AAB"/>
    <w:rsid w:val="00E75C10"/>
    <w:rsid w:val="00E77FFC"/>
    <w:rsid w:val="00E826D5"/>
    <w:rsid w:val="00E86A43"/>
    <w:rsid w:val="00EA4484"/>
    <w:rsid w:val="00EA4D85"/>
    <w:rsid w:val="00EA6A32"/>
    <w:rsid w:val="00EA7FB6"/>
    <w:rsid w:val="00EB0FCA"/>
    <w:rsid w:val="00EB1A82"/>
    <w:rsid w:val="00EB6E2E"/>
    <w:rsid w:val="00EC2B00"/>
    <w:rsid w:val="00EC4158"/>
    <w:rsid w:val="00EC6872"/>
    <w:rsid w:val="00EC7847"/>
    <w:rsid w:val="00ED26FF"/>
    <w:rsid w:val="00ED312A"/>
    <w:rsid w:val="00ED4B2F"/>
    <w:rsid w:val="00ED797E"/>
    <w:rsid w:val="00EE1911"/>
    <w:rsid w:val="00EE60E0"/>
    <w:rsid w:val="00EE6B88"/>
    <w:rsid w:val="00EF1417"/>
    <w:rsid w:val="00EF4D23"/>
    <w:rsid w:val="00EF56E7"/>
    <w:rsid w:val="00EF6E56"/>
    <w:rsid w:val="00EF75FF"/>
    <w:rsid w:val="00F01DC1"/>
    <w:rsid w:val="00F02880"/>
    <w:rsid w:val="00F04FAE"/>
    <w:rsid w:val="00F058DD"/>
    <w:rsid w:val="00F05E7C"/>
    <w:rsid w:val="00F063CB"/>
    <w:rsid w:val="00F21686"/>
    <w:rsid w:val="00F21AAA"/>
    <w:rsid w:val="00F32082"/>
    <w:rsid w:val="00F326C1"/>
    <w:rsid w:val="00F3609B"/>
    <w:rsid w:val="00F44637"/>
    <w:rsid w:val="00F5174E"/>
    <w:rsid w:val="00F526FC"/>
    <w:rsid w:val="00F54A64"/>
    <w:rsid w:val="00F555AC"/>
    <w:rsid w:val="00F6792C"/>
    <w:rsid w:val="00F842FA"/>
    <w:rsid w:val="00F85376"/>
    <w:rsid w:val="00F8790E"/>
    <w:rsid w:val="00F91683"/>
    <w:rsid w:val="00F91B4F"/>
    <w:rsid w:val="00F9609D"/>
    <w:rsid w:val="00F9729D"/>
    <w:rsid w:val="00FA1FC1"/>
    <w:rsid w:val="00FB2210"/>
    <w:rsid w:val="00FB243A"/>
    <w:rsid w:val="00FB5781"/>
    <w:rsid w:val="00FC4C57"/>
    <w:rsid w:val="00FD6C32"/>
    <w:rsid w:val="00FE223E"/>
    <w:rsid w:val="00FF21CA"/>
    <w:rsid w:val="00FF231B"/>
    <w:rsid w:val="00FF29D1"/>
    <w:rsid w:val="00FF30CA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3A0D"/>
  <w15:chartTrackingRefBased/>
  <w15:docId w15:val="{7F4556EE-61BC-4DFF-A0C5-DF293A5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C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5425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A2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04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E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4EBA"/>
    <w:rPr>
      <w:sz w:val="18"/>
      <w:szCs w:val="18"/>
    </w:rPr>
  </w:style>
  <w:style w:type="character" w:styleId="a9">
    <w:name w:val="Placeholder Text"/>
    <w:basedOn w:val="a0"/>
    <w:uiPriority w:val="99"/>
    <w:semiHidden/>
    <w:rsid w:val="00DF513F"/>
    <w:rPr>
      <w:color w:val="666666"/>
    </w:rPr>
  </w:style>
  <w:style w:type="paragraph" w:styleId="aa">
    <w:name w:val="Revision"/>
    <w:hidden/>
    <w:uiPriority w:val="99"/>
    <w:semiHidden/>
    <w:rsid w:val="009F22C9"/>
  </w:style>
  <w:style w:type="character" w:styleId="ab">
    <w:name w:val="Emphasis"/>
    <w:basedOn w:val="a0"/>
    <w:uiPriority w:val="20"/>
    <w:qFormat/>
    <w:rsid w:val="00542587"/>
    <w:rPr>
      <w:i/>
      <w:iCs/>
    </w:rPr>
  </w:style>
  <w:style w:type="character" w:customStyle="1" w:styleId="30">
    <w:name w:val="标题 3 字符"/>
    <w:basedOn w:val="a0"/>
    <w:link w:val="3"/>
    <w:uiPriority w:val="9"/>
    <w:rsid w:val="00542587"/>
    <w:rPr>
      <w:rFonts w:ascii="宋体" w:eastAsia="宋体" w:hAnsi="宋体" w:cs="宋体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542587"/>
    <w:rPr>
      <w:color w:val="0000FF"/>
      <w:u w:val="single"/>
    </w:rPr>
  </w:style>
  <w:style w:type="character" w:customStyle="1" w:styleId="highlight">
    <w:name w:val="highlight"/>
    <w:basedOn w:val="a0"/>
    <w:rsid w:val="00185A9F"/>
  </w:style>
  <w:style w:type="character" w:customStyle="1" w:styleId="10">
    <w:name w:val="标题 1 字符"/>
    <w:basedOn w:val="a0"/>
    <w:link w:val="1"/>
    <w:uiPriority w:val="9"/>
    <w:rsid w:val="006B7CA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B7C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ody Text"/>
    <w:basedOn w:val="a"/>
    <w:link w:val="ae"/>
    <w:qFormat/>
    <w:rsid w:val="00637A21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e">
    <w:name w:val="正文文本 字符"/>
    <w:basedOn w:val="a0"/>
    <w:link w:val="ad"/>
    <w:rsid w:val="00637A21"/>
    <w:rPr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景倩吟</dc:creator>
  <cp:keywords/>
  <dc:description/>
  <cp:lastModifiedBy>景倩吟</cp:lastModifiedBy>
  <cp:revision>4</cp:revision>
  <dcterms:created xsi:type="dcterms:W3CDTF">2025-03-31T03:48:00Z</dcterms:created>
  <dcterms:modified xsi:type="dcterms:W3CDTF">2025-03-31T07:43:00Z</dcterms:modified>
</cp:coreProperties>
</file>