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jc w:val="center"/>
        <w:rPr>
          <w:rFonts w:ascii="宋体" w:hAnsi="宋体"/>
          <w:iCs/>
          <w:color w:val="000000"/>
          <w:sz w:val="24"/>
        </w:rPr>
      </w:pPr>
      <w:r>
        <w:rPr>
          <w:rFonts w:hint="eastAsia" w:ascii="宋体" w:hAnsi="宋体"/>
          <w:iCs/>
          <w:color w:val="000000"/>
          <w:sz w:val="24"/>
        </w:rPr>
        <w:t>证券代码：601058                                         证券简称：赛轮轮胎</w:t>
      </w:r>
    </w:p>
    <w:p>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赛轮集团</w:t>
      </w:r>
      <w:r>
        <w:rPr>
          <w:rFonts w:ascii="宋体" w:hAnsi="宋体"/>
          <w:b/>
          <w:bCs/>
          <w:iCs/>
          <w:color w:val="000000"/>
          <w:sz w:val="32"/>
          <w:szCs w:val="32"/>
        </w:rPr>
        <w:t>股份有限公司</w:t>
      </w:r>
    </w:p>
    <w:p>
      <w:pPr>
        <w:spacing w:before="156" w:beforeLines="50" w:after="156" w:afterLines="50" w:line="400" w:lineRule="exact"/>
        <w:jc w:val="center"/>
        <w:rPr>
          <w:rFonts w:ascii="宋体" w:hAnsi="宋体"/>
          <w:b/>
          <w:bCs/>
          <w:iCs/>
          <w:color w:val="000000"/>
          <w:sz w:val="32"/>
          <w:szCs w:val="32"/>
        </w:rPr>
      </w:pPr>
      <w:r>
        <w:rPr>
          <w:rFonts w:hint="eastAsia" w:ascii="宋体" w:hAnsi="宋体"/>
          <w:b/>
          <w:bCs/>
          <w:iCs/>
          <w:color w:val="000000"/>
          <w:sz w:val="32"/>
          <w:szCs w:val="32"/>
        </w:rPr>
        <w:t>投资者关系活动记录表</w:t>
      </w:r>
    </w:p>
    <w:tbl>
      <w:tblPr>
        <w:tblStyle w:val="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rPr>
                <w:bCs/>
                <w:iCs/>
                <w:color w:val="000000"/>
                <w:sz w:val="24"/>
              </w:rPr>
            </w:pPr>
            <w:r>
              <w:rPr>
                <w:rFonts w:hint="eastAsia" w:ascii="宋体" w:hAnsi="宋体" w:cs="宋体"/>
                <w:sz w:val="24"/>
              </w:rPr>
              <w:t>投资者关系活动类别</w:t>
            </w:r>
          </w:p>
        </w:tc>
        <w:tc>
          <w:tcPr>
            <w:tcW w:w="7159"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r>
              <w:rPr>
                <w:rFonts w:hint="eastAsia" w:ascii="宋体" w:hAnsi="宋体" w:cs="宋体"/>
                <w:sz w:val="24"/>
              </w:rPr>
              <w:sym w:font="Wingdings 2" w:char="00A3"/>
            </w:r>
            <w:r>
              <w:rPr>
                <w:rFonts w:hint="eastAsia" w:ascii="宋体" w:hAnsi="宋体" w:cs="宋体"/>
                <w:sz w:val="24"/>
              </w:rPr>
              <w:t xml:space="preserve"> 特定对象调研        </w:t>
            </w:r>
            <w:r>
              <w:rPr>
                <w:rFonts w:hint="eastAsia" w:ascii="宋体" w:hAnsi="宋体" w:cs="宋体"/>
                <w:sz w:val="24"/>
              </w:rPr>
              <w:sym w:font="Wingdings 2" w:char="0052"/>
            </w:r>
            <w:r>
              <w:rPr>
                <w:rFonts w:hint="eastAsia" w:ascii="宋体" w:hAnsi="宋体" w:cs="宋体"/>
                <w:sz w:val="24"/>
              </w:rPr>
              <w:t xml:space="preserve"> 分析师会议</w:t>
            </w:r>
          </w:p>
          <w:p>
            <w:pPr>
              <w:rPr>
                <w:rFonts w:ascii="宋体" w:hAnsi="宋体" w:cs="宋体"/>
                <w:sz w:val="24"/>
              </w:rPr>
            </w:pPr>
            <w:r>
              <w:rPr>
                <w:rFonts w:hint="eastAsia" w:ascii="宋体" w:hAnsi="宋体" w:cs="宋体"/>
                <w:sz w:val="24"/>
              </w:rPr>
              <w:sym w:font="Wingdings 2" w:char="00A3"/>
            </w:r>
            <w:r>
              <w:rPr>
                <w:rFonts w:hint="eastAsia" w:ascii="宋体" w:hAnsi="宋体" w:cs="宋体"/>
                <w:sz w:val="24"/>
              </w:rPr>
              <w:t xml:space="preserve"> 媒体采访            </w:t>
            </w:r>
            <w:r>
              <w:rPr>
                <w:rFonts w:hint="eastAsia" w:ascii="宋体" w:hAnsi="宋体" w:cs="宋体"/>
                <w:sz w:val="24"/>
              </w:rPr>
              <w:sym w:font="Wingdings 2" w:char="00A3"/>
            </w:r>
            <w:r>
              <w:rPr>
                <w:rFonts w:hint="eastAsia" w:ascii="宋体" w:hAnsi="宋体" w:cs="宋体"/>
                <w:sz w:val="24"/>
              </w:rPr>
              <w:t xml:space="preserve"> 业绩说明会</w:t>
            </w:r>
          </w:p>
          <w:p>
            <w:pPr>
              <w:rPr>
                <w:rFonts w:ascii="宋体" w:hAnsi="宋体" w:cs="宋体"/>
                <w:sz w:val="24"/>
              </w:rPr>
            </w:pPr>
            <w:r>
              <w:rPr>
                <w:rFonts w:hint="eastAsia" w:ascii="宋体" w:hAnsi="宋体" w:cs="宋体"/>
                <w:sz w:val="24"/>
              </w:rPr>
              <w:sym w:font="Wingdings 2" w:char="00A3"/>
            </w:r>
            <w:r>
              <w:rPr>
                <w:rFonts w:hint="eastAsia" w:ascii="宋体" w:hAnsi="宋体" w:cs="宋体"/>
                <w:sz w:val="24"/>
              </w:rPr>
              <w:t xml:space="preserve"> 新闻发布会          </w:t>
            </w:r>
            <w:r>
              <w:rPr>
                <w:rFonts w:hint="eastAsia" w:ascii="宋体" w:hAnsi="宋体" w:cs="宋体"/>
                <w:sz w:val="24"/>
                <w:lang w:eastAsia="zh-CN"/>
              </w:rPr>
              <w:sym w:font="Wingdings 2" w:char="00A3"/>
            </w:r>
            <w:r>
              <w:rPr>
                <w:rFonts w:hint="eastAsia" w:ascii="宋体" w:hAnsi="宋体" w:cs="宋体"/>
                <w:sz w:val="24"/>
              </w:rPr>
              <w:t xml:space="preserve"> 路演活动</w:t>
            </w:r>
          </w:p>
          <w:p>
            <w:pPr>
              <w:rPr>
                <w:rFonts w:ascii="宋体" w:hAnsi="宋体" w:cs="宋体"/>
                <w:sz w:val="24"/>
              </w:rPr>
            </w:pPr>
            <w:r>
              <w:rPr>
                <w:rFonts w:hint="eastAsia" w:ascii="宋体" w:hAnsi="宋体" w:cs="宋体"/>
                <w:sz w:val="24"/>
              </w:rPr>
              <w:sym w:font="Wingdings 2" w:char="0052"/>
            </w:r>
            <w:r>
              <w:rPr>
                <w:rFonts w:hint="eastAsia" w:ascii="宋体" w:hAnsi="宋体" w:cs="宋体"/>
                <w:sz w:val="24"/>
              </w:rPr>
              <w:t xml:space="preserve"> 现场参观</w:t>
            </w:r>
            <w:r>
              <w:rPr>
                <w:rFonts w:hint="eastAsia" w:ascii="宋体" w:hAnsi="宋体" w:cs="宋体"/>
                <w:sz w:val="24"/>
              </w:rPr>
              <w:tab/>
            </w:r>
          </w:p>
          <w:p>
            <w:pPr>
              <w:rPr>
                <w:bCs/>
                <w:iCs/>
                <w:color w:val="000000"/>
                <w:sz w:val="24"/>
              </w:rPr>
            </w:pPr>
            <w:r>
              <w:rPr>
                <w:rFonts w:hint="eastAsia" w:ascii="宋体" w:hAnsi="宋体" w:cs="宋体"/>
                <w:sz w:val="24"/>
              </w:rPr>
              <w:sym w:font="Wingdings 2" w:char="0052"/>
            </w:r>
            <w:r>
              <w:rPr>
                <w:rFonts w:hint="eastAsia" w:ascii="宋体" w:hAnsi="宋体" w:cs="宋体"/>
                <w:sz w:val="24"/>
              </w:rPr>
              <w:t xml:space="preserve"> 其他</w:t>
            </w:r>
            <w:r>
              <w:rPr>
                <w:rFonts w:hint="eastAsia" w:ascii="宋体" w:hAnsi="宋体" w:cs="宋体"/>
                <w:sz w:val="24"/>
                <w:u w:val="single"/>
              </w:rPr>
              <w:t xml:space="preserve">  线上会议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rPr>
                <w:bCs/>
                <w:iCs/>
                <w:color w:val="000000"/>
                <w:kern w:val="0"/>
                <w:sz w:val="24"/>
              </w:rPr>
            </w:pPr>
            <w:r>
              <w:rPr>
                <w:rFonts w:hint="eastAsia" w:ascii="宋体" w:hAnsi="宋体" w:cs="宋体"/>
                <w:sz w:val="24"/>
              </w:rPr>
              <w:t>参与单位名称</w:t>
            </w:r>
          </w:p>
        </w:tc>
        <w:tc>
          <w:tcPr>
            <w:tcW w:w="7159" w:type="dxa"/>
            <w:tcBorders>
              <w:top w:val="single" w:color="auto" w:sz="4" w:space="0"/>
              <w:left w:val="single" w:color="auto" w:sz="4" w:space="0"/>
              <w:bottom w:val="single" w:color="auto" w:sz="4" w:space="0"/>
              <w:right w:val="single" w:color="auto" w:sz="4" w:space="0"/>
            </w:tcBorders>
            <w:vAlign w:val="center"/>
          </w:tcPr>
          <w:p>
            <w:pPr>
              <w:rPr>
                <w:rFonts w:hint="eastAsia"/>
                <w:bCs/>
                <w:iCs/>
                <w:color w:val="000000"/>
                <w:sz w:val="24"/>
                <w:highlight w:val="none"/>
                <w:lang w:val="en-US" w:eastAsia="zh-CN"/>
              </w:rPr>
            </w:pPr>
            <w:r>
              <w:rPr>
                <w:rFonts w:hint="eastAsia"/>
                <w:bCs/>
                <w:iCs/>
                <w:color w:val="000000"/>
                <w:sz w:val="24"/>
                <w:highlight w:val="none"/>
                <w:lang w:val="en-US" w:eastAsia="zh-CN"/>
              </w:rPr>
              <w:t>现场调研：国信证券、法巴证券、申万宏源证券、银河证券、国海证券、国金证券、方正证券、上海元泓投资、财通基金、和谐汇一资产管理、华能贵诚信托、广发基金、华夏基金、建信基金、国君资管、私享基金、富兰克林华美投信、微巍基金、东证资管、东方红资管、中邮基金、国金资管、国泰基金、汇添富基金等。</w:t>
            </w:r>
          </w:p>
          <w:p>
            <w:pPr>
              <w:rPr>
                <w:rFonts w:hint="default"/>
                <w:bCs/>
                <w:iCs/>
                <w:color w:val="000000"/>
                <w:sz w:val="24"/>
                <w:highlight w:val="none"/>
                <w:lang w:val="en-US" w:eastAsia="zh-CN"/>
              </w:rPr>
            </w:pPr>
            <w:r>
              <w:rPr>
                <w:rFonts w:hint="eastAsia"/>
                <w:bCs/>
                <w:iCs/>
                <w:color w:val="000000"/>
                <w:sz w:val="24"/>
                <w:highlight w:val="none"/>
                <w:lang w:val="en-US" w:eastAsia="zh-CN"/>
              </w:rPr>
              <w:t>电话会：民生证券、招商基金、银华基金。</w:t>
            </w:r>
          </w:p>
          <w:p>
            <w:pPr>
              <w:rPr>
                <w:rFonts w:hint="default"/>
                <w:bCs/>
                <w:iCs/>
                <w:color w:val="000000"/>
                <w:sz w:val="24"/>
                <w:lang w:val="en-US" w:eastAsia="zh-CN"/>
              </w:rPr>
            </w:pPr>
            <w:r>
              <w:rPr>
                <w:rFonts w:hint="eastAsia"/>
                <w:bCs/>
                <w:iCs/>
                <w:color w:val="000000"/>
                <w:sz w:val="24"/>
                <w:highlight w:val="none"/>
                <w:lang w:val="en-US" w:eastAsia="zh-CN"/>
              </w:rPr>
              <w:t>策略会：中信证券。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rPr>
                <w:bCs/>
                <w:iCs/>
                <w:color w:val="000000"/>
                <w:kern w:val="0"/>
                <w:sz w:val="24"/>
              </w:rPr>
            </w:pPr>
            <w:r>
              <w:rPr>
                <w:rFonts w:hint="eastAsia" w:ascii="宋体" w:hAnsi="宋体" w:cs="宋体"/>
                <w:sz w:val="24"/>
              </w:rPr>
              <w:t>时间</w:t>
            </w:r>
          </w:p>
        </w:tc>
        <w:tc>
          <w:tcPr>
            <w:tcW w:w="7159" w:type="dxa"/>
            <w:tcBorders>
              <w:top w:val="single" w:color="auto" w:sz="4" w:space="0"/>
              <w:left w:val="single" w:color="auto" w:sz="4" w:space="0"/>
              <w:bottom w:val="single" w:color="auto" w:sz="4" w:space="0"/>
              <w:right w:val="single" w:color="auto" w:sz="4" w:space="0"/>
            </w:tcBorders>
          </w:tcPr>
          <w:p>
            <w:pPr>
              <w:rPr>
                <w:bCs/>
                <w:iCs/>
                <w:color w:val="000000"/>
                <w:sz w:val="24"/>
              </w:rPr>
            </w:pPr>
            <w:r>
              <w:rPr>
                <w:rFonts w:hint="eastAsia" w:ascii="宋体" w:hAnsi="宋体" w:cs="宋体"/>
                <w:sz w:val="24"/>
              </w:rPr>
              <w:t>2025年</w:t>
            </w:r>
            <w:r>
              <w:rPr>
                <w:rFonts w:hint="eastAsia" w:ascii="宋体" w:hAnsi="宋体" w:cs="宋体"/>
                <w:sz w:val="24"/>
                <w:lang w:val="en-US" w:eastAsia="zh-CN"/>
              </w:rPr>
              <w:t>3</w:t>
            </w:r>
            <w:r>
              <w:rPr>
                <w:rFonts w:hint="eastAsia" w:ascii="宋体" w:hAnsi="宋体" w:cs="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rPr>
                <w:bCs/>
                <w:iCs/>
                <w:color w:val="000000"/>
                <w:kern w:val="0"/>
                <w:sz w:val="24"/>
              </w:rPr>
            </w:pPr>
            <w:r>
              <w:rPr>
                <w:rFonts w:hint="eastAsia" w:ascii="宋体" w:hAnsi="宋体" w:cs="宋体"/>
                <w:sz w:val="24"/>
              </w:rPr>
              <w:t>地点</w:t>
            </w:r>
          </w:p>
        </w:tc>
        <w:tc>
          <w:tcPr>
            <w:tcW w:w="7159" w:type="dxa"/>
            <w:tcBorders>
              <w:top w:val="single" w:color="auto" w:sz="4" w:space="0"/>
              <w:left w:val="single" w:color="auto" w:sz="4" w:space="0"/>
              <w:bottom w:val="single" w:color="auto" w:sz="4" w:space="0"/>
              <w:right w:val="single" w:color="auto" w:sz="4" w:space="0"/>
            </w:tcBorders>
          </w:tcPr>
          <w:p>
            <w:pPr>
              <w:rPr>
                <w:rFonts w:hint="eastAsia" w:ascii="宋体" w:hAnsi="宋体" w:cs="宋体"/>
                <w:sz w:val="24"/>
              </w:rPr>
            </w:pPr>
            <w:r>
              <w:rPr>
                <w:rFonts w:hint="eastAsia" w:ascii="宋体" w:hAnsi="宋体" w:cs="宋体"/>
                <w:sz w:val="24"/>
              </w:rPr>
              <w:t>青岛市市北区郑州路43号赛轮集团总部会议室</w:t>
            </w:r>
          </w:p>
          <w:p>
            <w:pPr>
              <w:rPr>
                <w:rFonts w:hint="default" w:ascii="宋体" w:hAnsi="宋体" w:cs="宋体"/>
                <w:sz w:val="24"/>
                <w:lang w:val="en-US" w:eastAsia="zh-CN"/>
              </w:rPr>
            </w:pPr>
            <w:r>
              <w:rPr>
                <w:rFonts w:hint="eastAsia" w:ascii="宋体" w:hAnsi="宋体" w:cs="宋体"/>
                <w:sz w:val="24"/>
                <w:lang w:val="en-US" w:eastAsia="zh-CN"/>
              </w:rPr>
              <w:t>策略会地址：济南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rPr>
                <w:bCs/>
                <w:iCs/>
                <w:color w:val="000000"/>
                <w:kern w:val="0"/>
                <w:sz w:val="24"/>
              </w:rPr>
            </w:pPr>
            <w:r>
              <w:rPr>
                <w:rFonts w:hint="eastAsia" w:ascii="宋体" w:hAnsi="宋体" w:cs="宋体"/>
                <w:sz w:val="24"/>
              </w:rPr>
              <w:t>上市公司接待人员姓名</w:t>
            </w:r>
          </w:p>
        </w:tc>
        <w:tc>
          <w:tcPr>
            <w:tcW w:w="71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董事、董事会秘书 李吉庆</w:t>
            </w:r>
          </w:p>
          <w:p>
            <w:pPr>
              <w:rPr>
                <w:rFonts w:ascii="宋体" w:hAnsi="宋体" w:cs="宋体"/>
                <w:sz w:val="24"/>
              </w:rPr>
            </w:pPr>
            <w:r>
              <w:rPr>
                <w:rFonts w:hint="eastAsia" w:ascii="宋体" w:hAnsi="宋体" w:cs="宋体"/>
                <w:sz w:val="24"/>
              </w:rPr>
              <w:t>投资者关系主管 曲蕾</w:t>
            </w:r>
          </w:p>
          <w:p>
            <w:pPr>
              <w:rPr>
                <w:rFonts w:ascii="宋体" w:hAnsi="宋体"/>
                <w:bCs/>
                <w:sz w:val="24"/>
              </w:rPr>
            </w:pPr>
            <w:r>
              <w:rPr>
                <w:rFonts w:hint="eastAsia" w:ascii="宋体" w:hAnsi="宋体" w:cs="宋体"/>
                <w:sz w:val="24"/>
              </w:rPr>
              <w:t>监事会主席  闫凯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420" w:lineRule="exact"/>
              <w:rPr>
                <w:bCs/>
                <w:iCs/>
                <w:color w:val="000000"/>
                <w:sz w:val="24"/>
              </w:rPr>
            </w:pPr>
            <w:r>
              <w:rPr>
                <w:rFonts w:hAnsi="宋体"/>
                <w:bCs/>
                <w:iCs/>
                <w:color w:val="000000"/>
                <w:kern w:val="0"/>
                <w:sz w:val="24"/>
              </w:rPr>
              <w:t>投资者关系活动主要内容介绍</w:t>
            </w:r>
          </w:p>
        </w:tc>
        <w:tc>
          <w:tcPr>
            <w:tcW w:w="7159" w:type="dxa"/>
            <w:tcBorders>
              <w:top w:val="single" w:color="auto" w:sz="4" w:space="0"/>
              <w:left w:val="single" w:color="auto" w:sz="4" w:space="0"/>
              <w:bottom w:val="single" w:color="auto" w:sz="4" w:space="0"/>
              <w:right w:val="single" w:color="auto" w:sz="4" w:space="0"/>
            </w:tcBorders>
          </w:tcPr>
          <w:p>
            <w:pPr>
              <w:pStyle w:val="13"/>
              <w:spacing w:line="460" w:lineRule="exact"/>
              <w:ind w:left="-2" w:leftChars="-1" w:firstLine="480"/>
              <w:rPr>
                <w:rFonts w:ascii="宋体" w:hAnsi="宋体"/>
                <w:b/>
                <w:bCs/>
                <w:sz w:val="24"/>
                <w:szCs w:val="24"/>
                <w:lang w:val="en-US" w:eastAsia="zh-CN"/>
              </w:rPr>
            </w:pPr>
            <w:r>
              <w:rPr>
                <w:rFonts w:hint="eastAsia" w:ascii="宋体" w:hAnsi="宋体"/>
                <w:b/>
                <w:bCs/>
                <w:sz w:val="24"/>
                <w:szCs w:val="24"/>
                <w:lang w:val="en-US" w:eastAsia="zh-CN"/>
              </w:rPr>
              <w:t>投资者提出的主要问题及公司回复情况:</w:t>
            </w:r>
          </w:p>
          <w:p>
            <w:pPr>
              <w:pStyle w:val="13"/>
              <w:spacing w:line="460" w:lineRule="exact"/>
              <w:ind w:left="-2" w:leftChars="-1" w:firstLine="480"/>
              <w:rPr>
                <w:rFonts w:hint="eastAsia" w:ascii="宋体" w:hAnsi="宋体"/>
                <w:b/>
                <w:bCs/>
                <w:sz w:val="24"/>
                <w:szCs w:val="24"/>
                <w:lang w:val="en-US" w:eastAsia="zh-CN"/>
              </w:rPr>
            </w:pPr>
            <w:r>
              <w:rPr>
                <w:rFonts w:hint="eastAsia" w:ascii="宋体" w:hAnsi="宋体"/>
                <w:b/>
                <w:bCs/>
                <w:sz w:val="24"/>
                <w:szCs w:val="24"/>
                <w:lang w:val="en-US" w:eastAsia="zh-CN"/>
              </w:rPr>
              <w:t>1、墨西哥未来产能规划是否调整？</w:t>
            </w:r>
          </w:p>
          <w:p>
            <w:pPr>
              <w:pStyle w:val="13"/>
              <w:spacing w:line="460" w:lineRule="exact"/>
              <w:ind w:left="-2" w:leftChars="-1" w:firstLine="480"/>
              <w:rPr>
                <w:rFonts w:hint="eastAsia" w:ascii="宋体" w:hAnsi="宋体"/>
                <w:sz w:val="24"/>
                <w:szCs w:val="24"/>
                <w:lang w:val="en-US" w:eastAsia="zh-CN"/>
              </w:rPr>
            </w:pPr>
            <w:r>
              <w:rPr>
                <w:rFonts w:hint="eastAsia" w:ascii="宋体" w:hAnsi="宋体"/>
                <w:sz w:val="24"/>
                <w:szCs w:val="24"/>
                <w:lang w:val="en-US" w:eastAsia="zh-CN"/>
              </w:rPr>
              <w:t>答：公司墨西哥工厂在建600万条半钢产能，目前正按计划建设中，且该工厂为公司与当地轮胎经销商的合资工厂。2025年公司墨西哥工厂投产后，将根据届时的关税政策，以及运输距离、产品需求等因素综合评判，确定相关产品销售区域。公司已在海外布局多个工厂，还将不断推进其他基地的选址、论证等工作，以不断提升公司的国际竞争力，通过海外布局有效分散可能的关税风险。</w:t>
            </w:r>
          </w:p>
          <w:p>
            <w:pPr>
              <w:pStyle w:val="13"/>
              <w:spacing w:line="460" w:lineRule="exact"/>
              <w:rPr>
                <w:rFonts w:hint="default" w:ascii="宋体" w:hAnsi="宋体"/>
                <w:b/>
                <w:bCs/>
                <w:sz w:val="24"/>
                <w:szCs w:val="24"/>
                <w:lang w:val="en-US" w:eastAsia="zh-CN"/>
              </w:rPr>
            </w:pPr>
            <w:r>
              <w:rPr>
                <w:rFonts w:hint="eastAsia" w:ascii="宋体" w:hAnsi="宋体"/>
                <w:b/>
                <w:bCs/>
                <w:sz w:val="24"/>
                <w:szCs w:val="24"/>
                <w:lang w:val="en-US" w:eastAsia="zh-CN"/>
              </w:rPr>
              <w:t>2、公司目前给多少车企做轮胎配套？</w:t>
            </w:r>
          </w:p>
          <w:p>
            <w:pPr>
              <w:pStyle w:val="13"/>
              <w:spacing w:line="460" w:lineRule="exact"/>
              <w:ind w:left="-2" w:leftChars="-1" w:firstLine="480"/>
              <w:rPr>
                <w:rFonts w:hint="eastAsia" w:ascii="宋体" w:hAnsi="宋体"/>
                <w:sz w:val="24"/>
                <w:szCs w:val="24"/>
                <w:lang w:val="en-US" w:eastAsia="zh-CN"/>
              </w:rPr>
            </w:pPr>
            <w:r>
              <w:rPr>
                <w:rFonts w:hint="eastAsia" w:ascii="宋体" w:hAnsi="宋体"/>
                <w:sz w:val="24"/>
                <w:szCs w:val="24"/>
                <w:lang w:val="en-US" w:eastAsia="zh-CN"/>
              </w:rPr>
              <w:t>答：公司目前已为比亚迪、吉利、长安、奇瑞</w:t>
            </w:r>
            <w:r>
              <w:rPr>
                <w:rFonts w:hint="eastAsia" w:ascii="宋体" w:hAnsi="宋体"/>
                <w:sz w:val="24"/>
                <w:szCs w:val="24"/>
                <w:highlight w:val="none"/>
                <w:lang w:val="en-US" w:eastAsia="zh-CN"/>
              </w:rPr>
              <w:t>、北汽、睿蓝、越南VinFast、东风、三一、陕汽、潍柴、一汽、宇通、中国重汽、中联重科、徐工、临工、同力重工、雷沃、约翰迪尔、柳工、一拖、北方重工、道依茨法尔、</w:t>
            </w:r>
            <w:r>
              <w:rPr>
                <w:rFonts w:hint="eastAsia" w:ascii="宋体" w:hAnsi="宋体"/>
                <w:sz w:val="24"/>
                <w:szCs w:val="24"/>
                <w:lang w:val="en-US" w:eastAsia="zh-CN"/>
              </w:rPr>
              <w:t>卡特彼勒、凯斯纽荷兰、JCB等国内外车企提供轮胎配套服务。</w:t>
            </w:r>
          </w:p>
          <w:p>
            <w:pPr>
              <w:pStyle w:val="13"/>
              <w:spacing w:line="460" w:lineRule="exact"/>
              <w:ind w:left="-2" w:leftChars="-1" w:firstLine="480"/>
              <w:rPr>
                <w:rFonts w:hint="default" w:ascii="宋体" w:hAnsi="宋体"/>
                <w:b/>
                <w:bCs/>
                <w:sz w:val="24"/>
                <w:szCs w:val="24"/>
                <w:lang w:val="en-US" w:eastAsia="zh-CN"/>
              </w:rPr>
            </w:pPr>
            <w:r>
              <w:rPr>
                <w:rFonts w:hint="eastAsia" w:ascii="宋体" w:hAnsi="宋体"/>
                <w:b/>
                <w:bCs/>
                <w:sz w:val="24"/>
                <w:szCs w:val="24"/>
                <w:lang w:val="en-US" w:eastAsia="zh-CN"/>
              </w:rPr>
              <w:t>3、原材料价格上涨，公司产品是否考虑调价？</w:t>
            </w:r>
          </w:p>
          <w:p>
            <w:pPr>
              <w:pStyle w:val="13"/>
              <w:spacing w:line="460" w:lineRule="exact"/>
              <w:ind w:left="-2" w:leftChars="-1" w:firstLine="480"/>
              <w:rPr>
                <w:rFonts w:hint="eastAsia" w:ascii="宋体" w:hAnsi="宋体"/>
                <w:sz w:val="24"/>
                <w:szCs w:val="24"/>
                <w:lang w:val="en-US" w:eastAsia="zh-CN"/>
              </w:rPr>
            </w:pPr>
            <w:r>
              <w:rPr>
                <w:rFonts w:hint="eastAsia" w:ascii="宋体" w:hAnsi="宋体"/>
                <w:sz w:val="24"/>
                <w:szCs w:val="24"/>
                <w:lang w:val="en-US" w:eastAsia="zh-CN"/>
              </w:rPr>
              <w:t>答：公司与主要原材料的多家供应商建立了长期战略合作关系，公司也会根据产品规划及市场需要，在满足产品性能前提下使用更具价格优势的原材料。如原材料价格持续上涨，公司也会综合市场需求及生产成本等因素，通过调整价格或销售政策等措施来尽量减少原材料价格上涨对公司盈利的影响。</w:t>
            </w:r>
          </w:p>
          <w:p>
            <w:pPr>
              <w:pStyle w:val="13"/>
              <w:spacing w:line="460" w:lineRule="exact"/>
              <w:ind w:left="-2" w:leftChars="-1" w:firstLine="480"/>
              <w:rPr>
                <w:rFonts w:hint="eastAsia" w:ascii="宋体" w:hAnsi="宋体"/>
                <w:b/>
                <w:bCs/>
                <w:sz w:val="24"/>
                <w:szCs w:val="24"/>
                <w:lang w:val="en-US" w:eastAsia="zh-CN"/>
              </w:rPr>
            </w:pPr>
            <w:r>
              <w:rPr>
                <w:rFonts w:hint="eastAsia" w:ascii="宋体" w:hAnsi="宋体"/>
                <w:b/>
                <w:bCs/>
                <w:sz w:val="24"/>
                <w:szCs w:val="24"/>
                <w:lang w:val="en-US" w:eastAsia="zh-CN"/>
              </w:rPr>
              <w:t>4、2025年公司品牌建设方面有何规划？</w:t>
            </w:r>
          </w:p>
          <w:p>
            <w:pPr>
              <w:pStyle w:val="13"/>
              <w:spacing w:line="460" w:lineRule="exact"/>
              <w:ind w:left="-2" w:leftChars="-1" w:firstLine="480"/>
              <w:rPr>
                <w:rFonts w:hint="eastAsia" w:ascii="宋体" w:hAnsi="宋体"/>
                <w:sz w:val="24"/>
                <w:szCs w:val="24"/>
                <w:lang w:val="en-US" w:eastAsia="zh-CN"/>
              </w:rPr>
            </w:pPr>
            <w:r>
              <w:rPr>
                <w:rFonts w:hint="eastAsia" w:ascii="宋体" w:hAnsi="宋体"/>
                <w:sz w:val="24"/>
                <w:szCs w:val="24"/>
                <w:lang w:val="en-US" w:eastAsia="zh-CN"/>
              </w:rPr>
              <w:t>答：根据公司市场推广战略，公司近几年加大宣传力度，提升品牌形象。公司将通过媒体投放、参与国际展会、赞助体育赛事等方式赋能品牌建设，提升品牌价值，并持续加大在主流媒体平台上的品牌宣传投放力度，围绕热点体育赛事、节庆活动等提升公司品牌的知名度。</w:t>
            </w:r>
          </w:p>
          <w:p>
            <w:pPr>
              <w:pStyle w:val="13"/>
              <w:spacing w:line="460" w:lineRule="exact"/>
              <w:ind w:left="0" w:leftChars="0" w:firstLine="482" w:firstLineChars="200"/>
              <w:rPr>
                <w:rFonts w:hint="default" w:ascii="宋体" w:hAnsi="宋体"/>
                <w:b/>
                <w:bCs/>
                <w:sz w:val="24"/>
                <w:szCs w:val="24"/>
                <w:lang w:val="en-US" w:eastAsia="zh-CN"/>
              </w:rPr>
            </w:pPr>
            <w:r>
              <w:rPr>
                <w:rFonts w:hint="eastAsia" w:ascii="宋体" w:hAnsi="宋体"/>
                <w:b/>
                <w:bCs/>
                <w:sz w:val="24"/>
                <w:szCs w:val="24"/>
                <w:lang w:val="en-US" w:eastAsia="zh-CN"/>
              </w:rPr>
              <w:t>5、2025年预计投产的产能都有哪些？</w:t>
            </w:r>
          </w:p>
          <w:p>
            <w:pPr>
              <w:pStyle w:val="13"/>
              <w:spacing w:line="460" w:lineRule="exact"/>
              <w:ind w:left="-2" w:leftChars="-1" w:firstLine="480"/>
              <w:rPr>
                <w:rFonts w:hint="default" w:ascii="宋体" w:hAnsi="宋体"/>
                <w:sz w:val="24"/>
                <w:szCs w:val="24"/>
                <w:highlight w:val="none"/>
                <w:lang w:val="en-US" w:eastAsia="zh-CN"/>
              </w:rPr>
            </w:pPr>
            <w:r>
              <w:rPr>
                <w:rFonts w:hint="default" w:ascii="宋体" w:hAnsi="宋体"/>
                <w:sz w:val="24"/>
                <w:szCs w:val="24"/>
                <w:lang w:val="en-US" w:eastAsia="zh-CN"/>
              </w:rPr>
              <w:t>答：</w:t>
            </w:r>
            <w:r>
              <w:rPr>
                <w:rFonts w:hint="eastAsia" w:ascii="宋体" w:hAnsi="宋体"/>
                <w:sz w:val="24"/>
                <w:szCs w:val="24"/>
                <w:lang w:val="en-US" w:eastAsia="zh-CN"/>
              </w:rPr>
              <w:t>柬埔寨工厂扩建165万条的全钢胎，印尼工厂300万条半钢胎、60万条全钢胎、3.7万吨非公路轮</w:t>
            </w:r>
            <w:r>
              <w:rPr>
                <w:rFonts w:hint="eastAsia" w:ascii="宋体" w:hAnsi="宋体"/>
                <w:sz w:val="24"/>
                <w:szCs w:val="24"/>
                <w:highlight w:val="none"/>
                <w:lang w:val="en-US" w:eastAsia="zh-CN"/>
              </w:rPr>
              <w:t>胎，墨西哥工厂600万条半钢胎，前述三个工厂的新增产能预计将于2025年年内投产。</w:t>
            </w:r>
          </w:p>
          <w:p>
            <w:pPr>
              <w:pStyle w:val="13"/>
              <w:spacing w:line="460" w:lineRule="exact"/>
              <w:ind w:left="0" w:leftChars="0" w:firstLine="482" w:firstLineChars="200"/>
              <w:rPr>
                <w:rFonts w:hint="default" w:ascii="宋体" w:hAnsi="宋体"/>
                <w:b/>
                <w:bCs/>
                <w:sz w:val="24"/>
                <w:szCs w:val="24"/>
                <w:lang w:val="en-US" w:eastAsia="zh-CN"/>
              </w:rPr>
            </w:pPr>
            <w:r>
              <w:rPr>
                <w:rFonts w:hint="eastAsia" w:ascii="宋体" w:hAnsi="宋体"/>
                <w:b/>
                <w:bCs/>
                <w:sz w:val="24"/>
                <w:szCs w:val="24"/>
                <w:lang w:val="en-US" w:eastAsia="zh-CN"/>
              </w:rPr>
              <w:t>6、液体黄金轮胎的生产是否与普通胎不同</w:t>
            </w:r>
            <w:r>
              <w:rPr>
                <w:rFonts w:hint="default" w:ascii="宋体" w:hAnsi="宋体"/>
                <w:b/>
                <w:bCs/>
                <w:sz w:val="24"/>
                <w:szCs w:val="24"/>
                <w:lang w:val="en-US" w:eastAsia="zh-CN"/>
              </w:rPr>
              <w:t>？</w:t>
            </w:r>
          </w:p>
          <w:p>
            <w:pPr>
              <w:pStyle w:val="13"/>
              <w:spacing w:line="460" w:lineRule="exact"/>
              <w:ind w:left="-2" w:leftChars="-1" w:firstLine="480"/>
              <w:rPr>
                <w:rFonts w:hint="default" w:ascii="宋体" w:hAnsi="宋体"/>
                <w:sz w:val="24"/>
                <w:szCs w:val="24"/>
                <w:lang w:val="en-US" w:eastAsia="zh-CN"/>
              </w:rPr>
            </w:pPr>
            <w:r>
              <w:rPr>
                <w:rFonts w:hint="default" w:ascii="宋体" w:hAnsi="宋体"/>
                <w:sz w:val="24"/>
                <w:szCs w:val="24"/>
                <w:lang w:val="en-US" w:eastAsia="zh-CN"/>
              </w:rPr>
              <w:t>答：</w:t>
            </w:r>
            <w:r>
              <w:rPr>
                <w:rFonts w:hint="eastAsia" w:ascii="宋体" w:hAnsi="宋体"/>
                <w:sz w:val="24"/>
                <w:szCs w:val="24"/>
                <w:lang w:val="en-US" w:eastAsia="zh-CN"/>
              </w:rPr>
              <w:t>液体黄金材料主要是在材料制作的工艺上与普通材料有较大差异，而使用液体黄金材料制作而成的液体黄金轮胎在生产流程与普通轮</w:t>
            </w:r>
            <w:r>
              <w:rPr>
                <w:rFonts w:hint="eastAsia" w:ascii="宋体" w:hAnsi="宋体"/>
                <w:sz w:val="24"/>
                <w:szCs w:val="24"/>
                <w:highlight w:val="none"/>
                <w:lang w:val="en-US" w:eastAsia="zh-CN"/>
              </w:rPr>
              <w:t>胎制造无重大差异。</w:t>
            </w:r>
          </w:p>
          <w:p>
            <w:pPr>
              <w:pStyle w:val="13"/>
              <w:spacing w:line="460" w:lineRule="exact"/>
              <w:ind w:left="0" w:leftChars="0" w:firstLine="482" w:firstLineChars="200"/>
              <w:rPr>
                <w:rFonts w:hint="default" w:ascii="宋体" w:hAnsi="宋体"/>
                <w:b/>
                <w:bCs/>
                <w:sz w:val="24"/>
                <w:szCs w:val="24"/>
                <w:lang w:val="en-US" w:eastAsia="zh-CN"/>
              </w:rPr>
            </w:pPr>
            <w:r>
              <w:rPr>
                <w:rFonts w:hint="eastAsia" w:ascii="宋体" w:hAnsi="宋体"/>
                <w:b/>
                <w:bCs/>
                <w:sz w:val="24"/>
                <w:szCs w:val="24"/>
                <w:lang w:val="en-US" w:eastAsia="zh-CN"/>
              </w:rPr>
              <w:t>7、公司是否在研究其他的新材料制作轮胎？</w:t>
            </w:r>
          </w:p>
          <w:p>
            <w:pPr>
              <w:pStyle w:val="13"/>
              <w:spacing w:line="460" w:lineRule="exact"/>
              <w:ind w:left="-2" w:leftChars="-1" w:firstLine="480"/>
              <w:rPr>
                <w:rFonts w:hint="default" w:ascii="宋体" w:hAnsi="宋体"/>
                <w:sz w:val="24"/>
                <w:szCs w:val="24"/>
                <w:lang w:val="en-US" w:eastAsia="zh-CN"/>
              </w:rPr>
            </w:pPr>
            <w:r>
              <w:rPr>
                <w:rFonts w:hint="default" w:ascii="宋体" w:hAnsi="宋体"/>
                <w:sz w:val="24"/>
                <w:szCs w:val="24"/>
                <w:lang w:val="en-US" w:eastAsia="zh-CN"/>
              </w:rPr>
              <w:t>答：</w:t>
            </w:r>
            <w:r>
              <w:rPr>
                <w:rFonts w:hint="eastAsia" w:ascii="宋体" w:hAnsi="宋体"/>
                <w:sz w:val="24"/>
                <w:szCs w:val="24"/>
                <w:lang w:val="en-US" w:eastAsia="zh-CN"/>
              </w:rPr>
              <w:t>公司坚持基础橡胶材料的研究工作，若有新的材料可应用于轮胎产品，公司也将积极进行实验，若符合制作轮胎的要求，也将推出相应的轮胎产品。</w:t>
            </w:r>
          </w:p>
          <w:p>
            <w:pPr>
              <w:pStyle w:val="13"/>
              <w:spacing w:line="460" w:lineRule="exact"/>
              <w:ind w:left="-2" w:leftChars="-1" w:firstLine="480"/>
              <w:rPr>
                <w:rFonts w:hint="default" w:ascii="宋体" w:hAnsi="宋体"/>
                <w:b/>
                <w:bCs/>
                <w:sz w:val="24"/>
                <w:szCs w:val="24"/>
                <w:lang w:val="en-US" w:eastAsia="zh-CN"/>
              </w:rPr>
            </w:pPr>
            <w:r>
              <w:rPr>
                <w:rFonts w:hint="eastAsia" w:ascii="宋体" w:hAnsi="宋体"/>
                <w:b/>
                <w:bCs/>
                <w:sz w:val="24"/>
                <w:szCs w:val="24"/>
                <w:lang w:val="en-US" w:eastAsia="zh-CN"/>
              </w:rPr>
              <w:t>8</w:t>
            </w:r>
            <w:r>
              <w:rPr>
                <w:rFonts w:hint="default" w:ascii="宋体" w:hAnsi="宋体"/>
                <w:b/>
                <w:bCs/>
                <w:sz w:val="24"/>
                <w:szCs w:val="24"/>
                <w:lang w:val="en-US" w:eastAsia="zh-CN"/>
              </w:rPr>
              <w:t>、公司未来现金分红</w:t>
            </w:r>
            <w:r>
              <w:rPr>
                <w:rFonts w:hint="eastAsia" w:ascii="宋体" w:hAnsi="宋体"/>
                <w:b/>
                <w:bCs/>
                <w:sz w:val="24"/>
                <w:szCs w:val="24"/>
                <w:lang w:val="en-US" w:eastAsia="zh-CN"/>
              </w:rPr>
              <w:t>的频次</w:t>
            </w:r>
            <w:r>
              <w:rPr>
                <w:rFonts w:hint="default" w:ascii="宋体" w:hAnsi="宋体"/>
                <w:b/>
                <w:bCs/>
                <w:sz w:val="24"/>
                <w:szCs w:val="24"/>
                <w:lang w:val="en-US" w:eastAsia="zh-CN"/>
              </w:rPr>
              <w:t>？</w:t>
            </w:r>
          </w:p>
          <w:p>
            <w:pPr>
              <w:pStyle w:val="13"/>
              <w:spacing w:line="460" w:lineRule="exact"/>
              <w:ind w:left="-2" w:leftChars="-1" w:firstLine="480"/>
              <w:rPr>
                <w:rFonts w:hint="default" w:ascii="宋体" w:hAnsi="宋体"/>
                <w:b w:val="0"/>
                <w:bCs w:val="0"/>
                <w:sz w:val="24"/>
                <w:szCs w:val="24"/>
                <w:lang w:val="en-US" w:eastAsia="zh-CN"/>
              </w:rPr>
            </w:pPr>
            <w:r>
              <w:rPr>
                <w:rFonts w:hint="default" w:ascii="宋体" w:hAnsi="宋体"/>
                <w:b w:val="0"/>
                <w:bCs w:val="0"/>
                <w:sz w:val="24"/>
                <w:szCs w:val="24"/>
                <w:lang w:val="en-US" w:eastAsia="zh-CN"/>
              </w:rPr>
              <w:t>答：公司一直重视对投资者的回报，上市以来每年均进行现金红利分配，24年前三季度，公司推出并实施了中期现金分配方案。未来，公司将尽力做好生产经营，不断提升公司盈利能力和竞争力，并严格按照《公司章程》《股东回报规划》等要求，结合公司实际情况提出让广大投资者满意的利润分配方案。</w:t>
            </w:r>
          </w:p>
          <w:p>
            <w:pPr>
              <w:pStyle w:val="13"/>
              <w:spacing w:line="460" w:lineRule="exact"/>
              <w:ind w:left="-2" w:leftChars="-1" w:firstLine="480"/>
              <w:rPr>
                <w:rFonts w:ascii="宋体" w:hAnsi="宋体"/>
                <w:b w:val="0"/>
                <w:bCs w:val="0"/>
                <w:sz w:val="24"/>
                <w:szCs w:val="24"/>
              </w:rPr>
            </w:pPr>
          </w:p>
          <w:p>
            <w:pPr>
              <w:pStyle w:val="13"/>
              <w:numPr>
                <w:ilvl w:val="0"/>
                <w:numId w:val="0"/>
              </w:numPr>
              <w:spacing w:line="460" w:lineRule="exact"/>
              <w:ind w:leftChars="199"/>
              <w:rPr>
                <w:rFonts w:hint="default"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hAnsi="宋体" w:eastAsia="宋体"/>
                <w:bCs/>
                <w:iCs/>
                <w:color w:val="000000"/>
                <w:kern w:val="0"/>
                <w:sz w:val="24"/>
                <w:lang w:val="en-US" w:eastAsia="zh-CN"/>
              </w:rPr>
            </w:pPr>
            <w:r>
              <w:rPr>
                <w:rFonts w:hint="eastAsia" w:hAnsi="宋体"/>
                <w:bCs/>
                <w:iCs/>
                <w:color w:val="000000"/>
                <w:kern w:val="0"/>
                <w:sz w:val="24"/>
                <w:lang w:val="en-US" w:eastAsia="zh-CN"/>
              </w:rPr>
              <w:t>关于本次活动是否涉及应披露重大信息的说明</w:t>
            </w:r>
          </w:p>
        </w:tc>
        <w:tc>
          <w:tcPr>
            <w:tcW w:w="7159" w:type="dxa"/>
            <w:tcBorders>
              <w:top w:val="single" w:color="auto" w:sz="4" w:space="0"/>
              <w:left w:val="single" w:color="auto" w:sz="4" w:space="0"/>
              <w:bottom w:val="single" w:color="auto" w:sz="4" w:space="0"/>
              <w:right w:val="single" w:color="auto" w:sz="4" w:space="0"/>
            </w:tcBorders>
          </w:tcPr>
          <w:p>
            <w:pPr>
              <w:pStyle w:val="13"/>
              <w:spacing w:line="460" w:lineRule="exact"/>
              <w:ind w:left="0" w:leftChars="0" w:firstLine="0" w:firstLineChars="0"/>
              <w:rPr>
                <w:rFonts w:hint="eastAsia" w:ascii="宋体" w:hAnsi="宋体" w:eastAsia="宋体"/>
                <w:sz w:val="24"/>
                <w:szCs w:val="24"/>
                <w:lang w:val="en-US" w:eastAsia="zh-CN"/>
              </w:rPr>
            </w:pPr>
            <w:r>
              <w:rPr>
                <w:rFonts w:hint="eastAsia" w:ascii="宋体" w:hAnsi="宋体"/>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420" w:lineRule="exact"/>
              <w:rPr>
                <w:bCs/>
                <w:iCs/>
                <w:color w:val="000000"/>
                <w:kern w:val="0"/>
                <w:sz w:val="24"/>
              </w:rPr>
            </w:pPr>
            <w:r>
              <w:rPr>
                <w:rFonts w:hAnsi="宋体"/>
                <w:bCs/>
                <w:iCs/>
                <w:color w:val="000000"/>
                <w:kern w:val="0"/>
                <w:sz w:val="24"/>
              </w:rPr>
              <w:t>附件清单（如有）</w:t>
            </w:r>
          </w:p>
        </w:tc>
        <w:tc>
          <w:tcPr>
            <w:tcW w:w="7159" w:type="dxa"/>
            <w:tcBorders>
              <w:top w:val="single" w:color="auto" w:sz="4" w:space="0"/>
              <w:left w:val="single" w:color="auto" w:sz="4" w:space="0"/>
              <w:bottom w:val="single" w:color="auto" w:sz="4" w:space="0"/>
              <w:right w:val="single" w:color="auto" w:sz="4" w:space="0"/>
            </w:tcBorders>
          </w:tcPr>
          <w:p>
            <w:pPr>
              <w:spacing w:line="420" w:lineRule="exact"/>
              <w:rPr>
                <w:bCs/>
                <w:iCs/>
                <w:color w:val="000000"/>
                <w:sz w:val="24"/>
              </w:rPr>
            </w:pPr>
            <w:r>
              <w:rPr>
                <w:rFonts w:hint="eastAsia"/>
                <w:bCs/>
                <w:iCs/>
                <w:color w:val="000000"/>
                <w:sz w:val="24"/>
              </w:rPr>
              <w:t>无</w:t>
            </w:r>
          </w:p>
        </w:tc>
      </w:tr>
    </w:tbl>
    <w:p/>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514AB"/>
    <w:rsid w:val="00164F36"/>
    <w:rsid w:val="0016617A"/>
    <w:rsid w:val="00167E99"/>
    <w:rsid w:val="0017500C"/>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0810"/>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D5E38"/>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13D3"/>
    <w:rsid w:val="00473F30"/>
    <w:rsid w:val="0048591A"/>
    <w:rsid w:val="00486D86"/>
    <w:rsid w:val="0048721A"/>
    <w:rsid w:val="004A0BD5"/>
    <w:rsid w:val="004A1BBF"/>
    <w:rsid w:val="004A73E5"/>
    <w:rsid w:val="004C19BF"/>
    <w:rsid w:val="004D7640"/>
    <w:rsid w:val="004E1A9B"/>
    <w:rsid w:val="00500AB6"/>
    <w:rsid w:val="005155FB"/>
    <w:rsid w:val="00523907"/>
    <w:rsid w:val="00533D7F"/>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17A62"/>
    <w:rsid w:val="00622F13"/>
    <w:rsid w:val="00625503"/>
    <w:rsid w:val="0062662D"/>
    <w:rsid w:val="00632E78"/>
    <w:rsid w:val="006344F1"/>
    <w:rsid w:val="00637186"/>
    <w:rsid w:val="00641810"/>
    <w:rsid w:val="00645D80"/>
    <w:rsid w:val="00646DF4"/>
    <w:rsid w:val="00651DE6"/>
    <w:rsid w:val="006523BB"/>
    <w:rsid w:val="00652928"/>
    <w:rsid w:val="0065347E"/>
    <w:rsid w:val="00654B49"/>
    <w:rsid w:val="00662505"/>
    <w:rsid w:val="00664538"/>
    <w:rsid w:val="0066674C"/>
    <w:rsid w:val="006760F7"/>
    <w:rsid w:val="006861C7"/>
    <w:rsid w:val="00686DDF"/>
    <w:rsid w:val="00697B12"/>
    <w:rsid w:val="006A55BB"/>
    <w:rsid w:val="006A7613"/>
    <w:rsid w:val="006B661A"/>
    <w:rsid w:val="006B7D00"/>
    <w:rsid w:val="006C6BC5"/>
    <w:rsid w:val="006D61A2"/>
    <w:rsid w:val="006E1DB4"/>
    <w:rsid w:val="00726DC9"/>
    <w:rsid w:val="00753DB6"/>
    <w:rsid w:val="00763847"/>
    <w:rsid w:val="00771FE3"/>
    <w:rsid w:val="00776BDE"/>
    <w:rsid w:val="007816EC"/>
    <w:rsid w:val="00786870"/>
    <w:rsid w:val="00792237"/>
    <w:rsid w:val="0079272A"/>
    <w:rsid w:val="007A1DA9"/>
    <w:rsid w:val="007B2252"/>
    <w:rsid w:val="007B79D9"/>
    <w:rsid w:val="007C67B1"/>
    <w:rsid w:val="007D3272"/>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93108"/>
    <w:rsid w:val="008A0ADC"/>
    <w:rsid w:val="008A1BAB"/>
    <w:rsid w:val="008B38B7"/>
    <w:rsid w:val="008B458E"/>
    <w:rsid w:val="008C4D4A"/>
    <w:rsid w:val="008D14CC"/>
    <w:rsid w:val="008E11AE"/>
    <w:rsid w:val="008E1708"/>
    <w:rsid w:val="008E1E3A"/>
    <w:rsid w:val="008E4844"/>
    <w:rsid w:val="00904492"/>
    <w:rsid w:val="00904DFB"/>
    <w:rsid w:val="0091457B"/>
    <w:rsid w:val="00923763"/>
    <w:rsid w:val="00930ED6"/>
    <w:rsid w:val="0093293F"/>
    <w:rsid w:val="00933105"/>
    <w:rsid w:val="009474EF"/>
    <w:rsid w:val="00962626"/>
    <w:rsid w:val="00975657"/>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3668F"/>
    <w:rsid w:val="00A43D62"/>
    <w:rsid w:val="00A461CD"/>
    <w:rsid w:val="00A469C5"/>
    <w:rsid w:val="00A5317D"/>
    <w:rsid w:val="00A6284E"/>
    <w:rsid w:val="00A63E81"/>
    <w:rsid w:val="00A8775A"/>
    <w:rsid w:val="00AA5998"/>
    <w:rsid w:val="00AB07E7"/>
    <w:rsid w:val="00AD1BA8"/>
    <w:rsid w:val="00AE49A4"/>
    <w:rsid w:val="00B02A29"/>
    <w:rsid w:val="00B03522"/>
    <w:rsid w:val="00B04AD6"/>
    <w:rsid w:val="00B14CAA"/>
    <w:rsid w:val="00B257CE"/>
    <w:rsid w:val="00B377C1"/>
    <w:rsid w:val="00B4746C"/>
    <w:rsid w:val="00B65354"/>
    <w:rsid w:val="00B71A0E"/>
    <w:rsid w:val="00B80C24"/>
    <w:rsid w:val="00B81765"/>
    <w:rsid w:val="00B832F5"/>
    <w:rsid w:val="00BA2FAB"/>
    <w:rsid w:val="00BB5E28"/>
    <w:rsid w:val="00BC7AD1"/>
    <w:rsid w:val="00BD15F3"/>
    <w:rsid w:val="00BD7986"/>
    <w:rsid w:val="00BD79D3"/>
    <w:rsid w:val="00C04F82"/>
    <w:rsid w:val="00C15AC0"/>
    <w:rsid w:val="00C26030"/>
    <w:rsid w:val="00C41091"/>
    <w:rsid w:val="00C45222"/>
    <w:rsid w:val="00C63056"/>
    <w:rsid w:val="00C661D1"/>
    <w:rsid w:val="00C73E0A"/>
    <w:rsid w:val="00C775BA"/>
    <w:rsid w:val="00C85331"/>
    <w:rsid w:val="00C85A50"/>
    <w:rsid w:val="00C94D46"/>
    <w:rsid w:val="00CA443A"/>
    <w:rsid w:val="00CB2461"/>
    <w:rsid w:val="00CB37FD"/>
    <w:rsid w:val="00CC4D65"/>
    <w:rsid w:val="00CC61E7"/>
    <w:rsid w:val="00CD25AD"/>
    <w:rsid w:val="00CD3FFC"/>
    <w:rsid w:val="00CF565C"/>
    <w:rsid w:val="00D016A3"/>
    <w:rsid w:val="00D31004"/>
    <w:rsid w:val="00D512E3"/>
    <w:rsid w:val="00D602C9"/>
    <w:rsid w:val="00DA26A9"/>
    <w:rsid w:val="00DB01FF"/>
    <w:rsid w:val="00DC7778"/>
    <w:rsid w:val="00DE7391"/>
    <w:rsid w:val="00DF2DB5"/>
    <w:rsid w:val="00DF6560"/>
    <w:rsid w:val="00E04CC0"/>
    <w:rsid w:val="00E136FF"/>
    <w:rsid w:val="00E32528"/>
    <w:rsid w:val="00E35F26"/>
    <w:rsid w:val="00E51C50"/>
    <w:rsid w:val="00E53165"/>
    <w:rsid w:val="00E61EF7"/>
    <w:rsid w:val="00E663B4"/>
    <w:rsid w:val="00E80CEB"/>
    <w:rsid w:val="00E971F4"/>
    <w:rsid w:val="00EA5103"/>
    <w:rsid w:val="00EA6FB9"/>
    <w:rsid w:val="00EB5E6A"/>
    <w:rsid w:val="00EC2AD7"/>
    <w:rsid w:val="00ED7DE0"/>
    <w:rsid w:val="00EE3956"/>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03872335"/>
    <w:rsid w:val="04CD4E0D"/>
    <w:rsid w:val="05F30D52"/>
    <w:rsid w:val="07E84685"/>
    <w:rsid w:val="07F43921"/>
    <w:rsid w:val="08964C8B"/>
    <w:rsid w:val="08E5231F"/>
    <w:rsid w:val="0A63192C"/>
    <w:rsid w:val="0C493B9B"/>
    <w:rsid w:val="0C93758E"/>
    <w:rsid w:val="10A61842"/>
    <w:rsid w:val="13C4450D"/>
    <w:rsid w:val="141B6967"/>
    <w:rsid w:val="1B2418A5"/>
    <w:rsid w:val="1FBFC074"/>
    <w:rsid w:val="24E80350"/>
    <w:rsid w:val="27E94D39"/>
    <w:rsid w:val="2C253D8E"/>
    <w:rsid w:val="31B85A3E"/>
    <w:rsid w:val="32CC663E"/>
    <w:rsid w:val="34FD33C1"/>
    <w:rsid w:val="35B61405"/>
    <w:rsid w:val="35DC7F6D"/>
    <w:rsid w:val="36FB9E1F"/>
    <w:rsid w:val="38DA69D3"/>
    <w:rsid w:val="39C443D2"/>
    <w:rsid w:val="3AE95412"/>
    <w:rsid w:val="3BFA3B96"/>
    <w:rsid w:val="3CEF3472"/>
    <w:rsid w:val="3EFF16E9"/>
    <w:rsid w:val="419210A2"/>
    <w:rsid w:val="43FB5176"/>
    <w:rsid w:val="448156A1"/>
    <w:rsid w:val="450A4511"/>
    <w:rsid w:val="46947ED0"/>
    <w:rsid w:val="490B575C"/>
    <w:rsid w:val="4E2F3499"/>
    <w:rsid w:val="4F9323C9"/>
    <w:rsid w:val="51F4195F"/>
    <w:rsid w:val="54994F4D"/>
    <w:rsid w:val="56611B3C"/>
    <w:rsid w:val="57AA7B05"/>
    <w:rsid w:val="57E4165B"/>
    <w:rsid w:val="581157B6"/>
    <w:rsid w:val="592C42F5"/>
    <w:rsid w:val="5CD76845"/>
    <w:rsid w:val="5D3A0B7D"/>
    <w:rsid w:val="5D464695"/>
    <w:rsid w:val="601257DB"/>
    <w:rsid w:val="64BA262A"/>
    <w:rsid w:val="657E5B22"/>
    <w:rsid w:val="66AA5270"/>
    <w:rsid w:val="6ADE0725"/>
    <w:rsid w:val="6BFA733C"/>
    <w:rsid w:val="6E072310"/>
    <w:rsid w:val="70236471"/>
    <w:rsid w:val="71333506"/>
    <w:rsid w:val="718D24AC"/>
    <w:rsid w:val="71905711"/>
    <w:rsid w:val="728B6EC5"/>
    <w:rsid w:val="734E202F"/>
    <w:rsid w:val="74E03D43"/>
    <w:rsid w:val="77CF73AC"/>
    <w:rsid w:val="78FF0116"/>
    <w:rsid w:val="79B24925"/>
    <w:rsid w:val="7C656439"/>
    <w:rsid w:val="7E737D25"/>
    <w:rsid w:val="B7DDD54D"/>
    <w:rsid w:val="E3FFE6ED"/>
    <w:rsid w:val="F5DB8A63"/>
    <w:rsid w:val="F797912E"/>
    <w:rsid w:val="FE7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0"/>
    <w:pPr>
      <w:jc w:val="left"/>
    </w:pPr>
  </w:style>
  <w:style w:type="paragraph" w:styleId="3">
    <w:name w:val="Balloon Text"/>
    <w:basedOn w:val="1"/>
    <w:link w:val="19"/>
    <w:qFormat/>
    <w:uiPriority w:val="0"/>
    <w:rPr>
      <w:sz w:val="18"/>
      <w:szCs w:val="18"/>
    </w:r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annotation subject"/>
    <w:basedOn w:val="2"/>
    <w:next w:val="2"/>
    <w:link w:val="21"/>
    <w:semiHidden/>
    <w:unhideWhenUsed/>
    <w:qFormat/>
    <w:uiPriority w:val="0"/>
    <w:rPr>
      <w:b/>
      <w:bCs/>
    </w:rPr>
  </w:style>
  <w:style w:type="character" w:styleId="10">
    <w:name w:val="FollowedHyperlink"/>
    <w:basedOn w:val="9"/>
    <w:semiHidden/>
    <w:unhideWhenUsed/>
    <w:qFormat/>
    <w:uiPriority w:val="0"/>
    <w:rPr>
      <w:color w:val="800080" w:themeColor="followedHyperlink"/>
      <w:u w:val="single"/>
      <w14:textFill>
        <w14:solidFill>
          <w14:schemeClr w14:val="folHlink"/>
        </w14:solidFill>
      </w14:textFill>
    </w:rPr>
  </w:style>
  <w:style w:type="character" w:styleId="11">
    <w:name w:val="Hyperlink"/>
    <w:basedOn w:val="9"/>
    <w:unhideWhenUsed/>
    <w:qFormat/>
    <w:uiPriority w:val="0"/>
    <w:rPr>
      <w:color w:val="0000FF" w:themeColor="hyperlink"/>
      <w:u w:val="single"/>
      <w14:textFill>
        <w14:solidFill>
          <w14:schemeClr w14:val="hlink"/>
        </w14:solidFill>
      </w14:textFill>
    </w:rPr>
  </w:style>
  <w:style w:type="character" w:styleId="12">
    <w:name w:val="annotation reference"/>
    <w:basedOn w:val="9"/>
    <w:semiHidden/>
    <w:unhideWhenUsed/>
    <w:qFormat/>
    <w:uiPriority w:val="0"/>
    <w:rPr>
      <w:sz w:val="21"/>
      <w:szCs w:val="21"/>
    </w:rPr>
  </w:style>
  <w:style w:type="paragraph" w:customStyle="1" w:styleId="13">
    <w:name w:val="_Style 6"/>
    <w:basedOn w:val="1"/>
    <w:qFormat/>
    <w:uiPriority w:val="34"/>
    <w:pPr>
      <w:ind w:firstLine="420" w:firstLineChars="200"/>
    </w:pPr>
    <w:rPr>
      <w:rFonts w:ascii="Calibri" w:hAnsi="Calibri"/>
      <w:szCs w:val="22"/>
    </w:rPr>
  </w:style>
  <w:style w:type="paragraph" w:customStyle="1" w:styleId="14">
    <w:name w:val="Char Char Char"/>
    <w:basedOn w:val="1"/>
    <w:qFormat/>
    <w:uiPriority w:val="0"/>
    <w:rPr>
      <w:szCs w:val="21"/>
    </w:rPr>
  </w:style>
  <w:style w:type="paragraph" w:customStyle="1" w:styleId="15">
    <w:name w:val="Char Char Char Char Char Char Char Char Char Char Char Char Char Char Char Char"/>
    <w:basedOn w:val="1"/>
    <w:qFormat/>
    <w:uiPriority w:val="0"/>
  </w:style>
  <w:style w:type="paragraph" w:customStyle="1" w:styleId="16">
    <w:name w:val="Char Char Char1"/>
    <w:basedOn w:val="1"/>
    <w:qFormat/>
    <w:uiPriority w:val="0"/>
  </w:style>
  <w:style w:type="character" w:customStyle="1" w:styleId="17">
    <w:name w:val="页脚 字符"/>
    <w:basedOn w:val="9"/>
    <w:link w:val="4"/>
    <w:qFormat/>
    <w:uiPriority w:val="0"/>
    <w:rPr>
      <w:kern w:val="2"/>
      <w:sz w:val="18"/>
      <w:szCs w:val="18"/>
    </w:rPr>
  </w:style>
  <w:style w:type="character" w:customStyle="1" w:styleId="18">
    <w:name w:val="页眉 字符"/>
    <w:basedOn w:val="9"/>
    <w:link w:val="5"/>
    <w:qFormat/>
    <w:uiPriority w:val="0"/>
    <w:rPr>
      <w:kern w:val="2"/>
      <w:sz w:val="18"/>
      <w:szCs w:val="18"/>
    </w:rPr>
  </w:style>
  <w:style w:type="character" w:customStyle="1" w:styleId="19">
    <w:name w:val="批注框文本 字符"/>
    <w:basedOn w:val="9"/>
    <w:link w:val="3"/>
    <w:qFormat/>
    <w:uiPriority w:val="0"/>
    <w:rPr>
      <w:kern w:val="2"/>
      <w:sz w:val="18"/>
      <w:szCs w:val="18"/>
    </w:rPr>
  </w:style>
  <w:style w:type="character" w:customStyle="1" w:styleId="20">
    <w:name w:val="批注文字 字符"/>
    <w:basedOn w:val="9"/>
    <w:link w:val="2"/>
    <w:semiHidden/>
    <w:qFormat/>
    <w:uiPriority w:val="0"/>
    <w:rPr>
      <w:kern w:val="2"/>
      <w:sz w:val="21"/>
      <w:szCs w:val="24"/>
    </w:rPr>
  </w:style>
  <w:style w:type="character" w:customStyle="1" w:styleId="21">
    <w:name w:val="批注主题 字符"/>
    <w:basedOn w:val="20"/>
    <w:link w:val="7"/>
    <w:semiHidden/>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269</Words>
  <Characters>1537</Characters>
  <Lines>12</Lines>
  <Paragraphs>3</Paragraphs>
  <TotalTime>7</TotalTime>
  <ScaleCrop>false</ScaleCrop>
  <LinksUpToDate>false</LinksUpToDate>
  <CharactersWithSpaces>1803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2025-01-21T03:58:00Z</dcterms:created>
  <dc:creator>微软用户</dc:creator>
  <cp:lastModifiedBy>Qlei</cp:lastModifiedBy>
  <cp:lastPrinted>2014-02-21T05:34:00Z</cp:lastPrinted>
  <dcterms:modified xsi:type="dcterms:W3CDTF">2025-03-31T06:12:31Z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551BA10BE3E44B739D75810B8C83C31F</vt:lpwstr>
  </property>
</Properties>
</file>