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C078AC" w14:textId="65231994" w:rsidR="000C5F86" w:rsidRPr="00B977E0" w:rsidRDefault="000C5F86" w:rsidP="000C5F86">
      <w:pPr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证券代码：</w:t>
      </w:r>
      <w:r w:rsidR="00B977E0">
        <w:rPr>
          <w:rFonts w:ascii="宋体" w:hAnsi="宋体" w:hint="eastAsia"/>
          <w:sz w:val="24"/>
          <w:szCs w:val="24"/>
        </w:rPr>
        <w:t>603855</w:t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A8470D" w:rsidRPr="00B977E0">
        <w:rPr>
          <w:rFonts w:ascii="宋体" w:hAnsi="宋体" w:hint="eastAsia"/>
          <w:sz w:val="24"/>
          <w:szCs w:val="24"/>
        </w:rPr>
        <w:t xml:space="preserve"> </w:t>
      </w:r>
      <w:r w:rsidRPr="00B977E0">
        <w:rPr>
          <w:rFonts w:ascii="宋体" w:hAnsi="宋体" w:hint="eastAsia"/>
          <w:sz w:val="24"/>
          <w:szCs w:val="24"/>
        </w:rPr>
        <w:t>证券简称：华荣股份</w:t>
      </w:r>
    </w:p>
    <w:p w14:paraId="13CB91C1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黑体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华荣科技股份有限公司</w:t>
      </w:r>
    </w:p>
    <w:p w14:paraId="03A35F66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投资者关系活动记录表</w:t>
      </w:r>
    </w:p>
    <w:p w14:paraId="7B48D922" w14:textId="490AA46A" w:rsidR="000C5F86" w:rsidRPr="00B977E0" w:rsidRDefault="000C5F86" w:rsidP="00DD1420">
      <w:pPr>
        <w:jc w:val="right"/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编号：202</w:t>
      </w:r>
      <w:r w:rsidR="009903CA">
        <w:rPr>
          <w:rFonts w:ascii="宋体" w:hAnsi="宋体"/>
          <w:sz w:val="24"/>
          <w:szCs w:val="24"/>
        </w:rPr>
        <w:t>5</w:t>
      </w:r>
      <w:r w:rsidRPr="00B977E0">
        <w:rPr>
          <w:rFonts w:ascii="宋体" w:hAnsi="宋体" w:hint="eastAsia"/>
          <w:sz w:val="24"/>
          <w:szCs w:val="24"/>
        </w:rPr>
        <w:t>-0</w:t>
      </w:r>
      <w:r w:rsidR="00F14513" w:rsidRPr="00B977E0">
        <w:rPr>
          <w:rFonts w:ascii="宋体" w:hAnsi="宋体" w:hint="eastAsia"/>
          <w:sz w:val="24"/>
          <w:szCs w:val="24"/>
        </w:rPr>
        <w:t>0</w:t>
      </w:r>
      <w:r w:rsidR="009903CA">
        <w:rPr>
          <w:rFonts w:ascii="宋体" w:hAnsi="宋体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777389" w:rsidRPr="0089575D" w14:paraId="3C9038A4" w14:textId="77777777" w:rsidTr="00ED583A">
        <w:tc>
          <w:tcPr>
            <w:tcW w:w="1526" w:type="dxa"/>
            <w:vAlign w:val="center"/>
          </w:tcPr>
          <w:p w14:paraId="067932D8" w14:textId="77777777" w:rsidR="00777389" w:rsidRPr="00B678C5" w:rsidRDefault="00777389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996" w:type="dxa"/>
            <w:vAlign w:val="center"/>
          </w:tcPr>
          <w:p w14:paraId="72A04FA6" w14:textId="63108D9D" w:rsidR="00777389" w:rsidRPr="00B678C5" w:rsidRDefault="00601913">
            <w:pPr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特定对象调研</w:t>
            </w:r>
            <w:r w:rsidR="002E776F"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分析师会议</w:t>
            </w:r>
          </w:p>
          <w:p w14:paraId="0B1C8294" w14:textId="49708DFF" w:rsidR="00777389" w:rsidRPr="00B678C5" w:rsidRDefault="00601913">
            <w:pPr>
              <w:pStyle w:val="New0"/>
              <w:spacing w:line="480" w:lineRule="atLeas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媒体采访</w:t>
            </w:r>
            <w:r w:rsidR="00777389" w:rsidRPr="00B678C5">
              <w:rPr>
                <w:sz w:val="24"/>
              </w:rPr>
              <w:t xml:space="preserve">           </w:t>
            </w:r>
            <w:r w:rsidR="000F58B1"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业绩说明会</w:t>
            </w:r>
          </w:p>
          <w:p w14:paraId="5FCA1133" w14:textId="0BCF9FE4" w:rsidR="00777389" w:rsidRPr="00B678C5" w:rsidRDefault="00601913">
            <w:pPr>
              <w:pStyle w:val="New0"/>
              <w:spacing w:line="480" w:lineRule="atLeas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新闻发布会</w:t>
            </w:r>
            <w:r w:rsidR="00CC3103"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路演活动</w:t>
            </w:r>
          </w:p>
          <w:p w14:paraId="6602BC86" w14:textId="5B9857DF" w:rsidR="00777389" w:rsidRPr="00B678C5" w:rsidRDefault="00800F38">
            <w:pPr>
              <w:spacing w:line="480" w:lineRule="exact"/>
              <w:rPr>
                <w:bCs/>
                <w:iCs/>
                <w:sz w:val="24"/>
                <w:szCs w:val="24"/>
              </w:rPr>
            </w:pPr>
            <w:r w:rsidRPr="00B678C5">
              <w:rPr>
                <w:rFonts w:ascii="宋体" w:hAnsi="宋体" w:hint="eastAsia"/>
                <w:bCs/>
                <w:iCs/>
                <w:sz w:val="24"/>
              </w:rPr>
              <w:t>■</w:t>
            </w:r>
            <w:r w:rsidR="00777389" w:rsidRPr="00B678C5">
              <w:rPr>
                <w:sz w:val="24"/>
                <w:szCs w:val="24"/>
              </w:rPr>
              <w:t>电话会议</w:t>
            </w:r>
          </w:p>
          <w:p w14:paraId="12074935" w14:textId="156C28D8" w:rsidR="00777389" w:rsidRPr="00A65ED3" w:rsidRDefault="00800F38" w:rsidP="00800F38">
            <w:pPr>
              <w:pStyle w:val="New0"/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其他</w:t>
            </w:r>
            <w:r w:rsidR="00A65ED3">
              <w:rPr>
                <w:rFonts w:hint="eastAsia"/>
                <w:sz w:val="24"/>
                <w:u w:val="single"/>
              </w:rPr>
              <w:t xml:space="preserve"> </w:t>
            </w:r>
            <w:r w:rsidR="0089575D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 w:rsidR="0089575D">
              <w:rPr>
                <w:sz w:val="24"/>
                <w:u w:val="single"/>
              </w:rPr>
              <w:t xml:space="preserve">   </w:t>
            </w:r>
          </w:p>
        </w:tc>
      </w:tr>
      <w:tr w:rsidR="00BC5BDC" w:rsidRPr="00BE68BE" w14:paraId="5F0B7C9A" w14:textId="77777777" w:rsidTr="0028787A">
        <w:trPr>
          <w:trHeight w:val="699"/>
        </w:trPr>
        <w:tc>
          <w:tcPr>
            <w:tcW w:w="1526" w:type="dxa"/>
            <w:vAlign w:val="center"/>
          </w:tcPr>
          <w:p w14:paraId="03D9C2E0" w14:textId="77777777" w:rsidR="00BC5BDC" w:rsidRPr="00173967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173967">
              <w:rPr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996" w:type="dxa"/>
            <w:shd w:val="clear" w:color="auto" w:fill="FFFFFF" w:themeFill="background1"/>
            <w:vAlign w:val="center"/>
          </w:tcPr>
          <w:p w14:paraId="41F30885" w14:textId="105DE0BE" w:rsidR="00492BB5" w:rsidRDefault="00492BB5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Jackson Hui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资本集团</w:t>
            </w:r>
          </w:p>
          <w:p w14:paraId="6A1ECB6E" w14:textId="69A6E02D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戴佳敏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中航信托股份有限公司</w:t>
            </w:r>
          </w:p>
          <w:p w14:paraId="3A6F201D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刘睿聪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华夏基金</w:t>
            </w:r>
          </w:p>
          <w:p w14:paraId="542FDA9E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邬安沙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西藏源乘投资管理有限公司</w:t>
            </w:r>
          </w:p>
          <w:p w14:paraId="4AE2B05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闫慧辰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红杉中国</w:t>
            </w:r>
          </w:p>
          <w:p w14:paraId="75931A38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顾益辉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国泰基金管理有限公司</w:t>
            </w:r>
          </w:p>
          <w:p w14:paraId="2761CDC8" w14:textId="44313DA3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杨震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 w:rsidR="009C7BAC" w:rsidRPr="009C7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东方证券</w:t>
            </w:r>
          </w:p>
          <w:p w14:paraId="6E2039C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肖雪杨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中国国际金融股份有限公司</w:t>
            </w:r>
          </w:p>
          <w:p w14:paraId="6556B754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田垒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人保资产</w:t>
            </w:r>
          </w:p>
          <w:p w14:paraId="4AC3F88B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范方舟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广发证券</w:t>
            </w:r>
          </w:p>
          <w:p w14:paraId="5B22BCF8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阮丹宁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长江证券</w:t>
            </w:r>
          </w:p>
          <w:p w14:paraId="5EB85314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田荣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华泰保兴基金管理有限公司</w:t>
            </w:r>
          </w:p>
          <w:p w14:paraId="60581010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方婧姝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华安证券</w:t>
            </w:r>
          </w:p>
          <w:p w14:paraId="2D6D21E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余伟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宁波梅山保税港区英领私募基金</w:t>
            </w:r>
          </w:p>
          <w:p w14:paraId="4EBBABC9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陈飞云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深圳市金之灏基金管理有限公司</w:t>
            </w:r>
          </w:p>
          <w:p w14:paraId="10BA0F5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杨伍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同泰基金管理有限公司</w:t>
            </w:r>
          </w:p>
          <w:p w14:paraId="4CEA735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姜喜旻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国金证券资产管理有限公司</w:t>
            </w:r>
          </w:p>
          <w:p w14:paraId="59578D1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OLE_LINK4"/>
            <w:bookmarkStart w:id="1" w:name="OLE_LINK5"/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彭新亮</w:t>
            </w:r>
            <w:bookmarkEnd w:id="0"/>
            <w:bookmarkEnd w:id="1"/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</w:p>
          <w:p w14:paraId="08195C40" w14:textId="2CCA46B0" w:rsidR="00492BB5" w:rsidRDefault="00492BB5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2B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徐宇星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92B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东北证券</w:t>
            </w:r>
          </w:p>
          <w:p w14:paraId="3DBB653E" w14:textId="12920D6A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许颖婕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鹏扬基金</w:t>
            </w:r>
          </w:p>
          <w:p w14:paraId="5927D057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李瑶芝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甬兴证券</w:t>
            </w:r>
          </w:p>
          <w:p w14:paraId="67708B1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杨云逍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华泰证券</w:t>
            </w:r>
          </w:p>
          <w:p w14:paraId="63960538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曾万平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汇泉基金管理有限公司</w:t>
            </w:r>
          </w:p>
          <w:p w14:paraId="0D5310D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周春林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天风(上海)证券资产管理有限公司</w:t>
            </w:r>
          </w:p>
          <w:p w14:paraId="46B98CE7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李倩倩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中银资产管理有限公司</w:t>
            </w:r>
          </w:p>
          <w:p w14:paraId="575F455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于化鹏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方正证券资管</w:t>
            </w:r>
          </w:p>
          <w:p w14:paraId="7CF523F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余文婷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富安达基金管理有限公司</w:t>
            </w:r>
          </w:p>
          <w:p w14:paraId="63721F2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李曦辰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阳光资产</w:t>
            </w:r>
          </w:p>
          <w:p w14:paraId="2C234789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周小锋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方正证券股份有限公司</w:t>
            </w:r>
          </w:p>
          <w:p w14:paraId="607C171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章洁玲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证研资管</w:t>
            </w:r>
          </w:p>
          <w:p w14:paraId="138F3377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张宇翔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前海开源基金管理有限公司</w:t>
            </w:r>
          </w:p>
          <w:p w14:paraId="77B608BC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肖志虎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深圳市武当资产管理有限公司</w:t>
            </w:r>
          </w:p>
          <w:p w14:paraId="1D7A1075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谢校辉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中泰证券研究所</w:t>
            </w:r>
          </w:p>
          <w:p w14:paraId="6ED60B3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席建国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</w:p>
          <w:p w14:paraId="2479AF27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熊亚威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开源证券</w:t>
            </w:r>
          </w:p>
          <w:p w14:paraId="6B41210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陈基赟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中邮证券</w:t>
            </w:r>
          </w:p>
          <w:p w14:paraId="3C9D6D7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郑祺鑫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泓德基金管理有限公司</w:t>
            </w:r>
          </w:p>
          <w:p w14:paraId="7E7DAA1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张挺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泰信基金管理有限公司</w:t>
            </w:r>
          </w:p>
          <w:p w14:paraId="35F2830E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李心宇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光大保德信</w:t>
            </w:r>
          </w:p>
          <w:p w14:paraId="339A7625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沙海丽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上海宽远资产管理有限公司</w:t>
            </w:r>
          </w:p>
          <w:p w14:paraId="47B33CE9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姚文韬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华泰证券(上海)资产管理有限公司</w:t>
            </w:r>
          </w:p>
          <w:p w14:paraId="42349DD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张艺蝶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西南证券股份有限公司</w:t>
            </w:r>
          </w:p>
          <w:p w14:paraId="77975FB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李文海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融通基金管理有限公司</w:t>
            </w:r>
          </w:p>
          <w:p w14:paraId="053F2AC6" w14:textId="7AF14A18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2" w:name="OLE_LINK6"/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林赫涵</w:t>
            </w:r>
            <w:bookmarkEnd w:id="2"/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 w:rsidR="009C7BAC" w:rsidRPr="009C7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中信建投</w:t>
            </w:r>
          </w:p>
          <w:p w14:paraId="6358B230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范亮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国金基金管理有限公司</w:t>
            </w:r>
          </w:p>
          <w:p w14:paraId="5CB8C77C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黄俊杰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深圳市明达资产管理有限公司</w:t>
            </w:r>
          </w:p>
          <w:p w14:paraId="37C9B70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肖汉山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国投瑞银基金管理有限公司</w:t>
            </w:r>
          </w:p>
          <w:p w14:paraId="525D5F4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黄晓峰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兴证资管</w:t>
            </w:r>
          </w:p>
          <w:p w14:paraId="631C4D54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张一弛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财通证券股份有限公司</w:t>
            </w:r>
          </w:p>
          <w:p w14:paraId="4FCF6E00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顾申尧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天治基金管理有限公司</w:t>
            </w:r>
          </w:p>
          <w:p w14:paraId="63BBD1B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陈辛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华泰证券（上海）资产管理有限公司</w:t>
            </w:r>
          </w:p>
          <w:p w14:paraId="5605CEF3" w14:textId="0CBE329A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王锐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 w:rsidR="00492BB5" w:rsidRPr="00492B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信达证券</w:t>
            </w:r>
          </w:p>
          <w:p w14:paraId="37E117D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刘延波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招商信诺资产管理有限公司</w:t>
            </w:r>
          </w:p>
          <w:p w14:paraId="515D8673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罗采奕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珠海德若私募基金管理有限公司</w:t>
            </w:r>
          </w:p>
          <w:p w14:paraId="0BFBCBB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杜先康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国海证券</w:t>
            </w:r>
          </w:p>
          <w:p w14:paraId="55C2C81A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淳厚基金管理有限公司</w:t>
            </w:r>
          </w:p>
          <w:p w14:paraId="2C83761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忻子焕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中信资管</w:t>
            </w:r>
          </w:p>
          <w:p w14:paraId="4A57539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史彬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上海鑫垣私募基金管理有限公司</w:t>
            </w:r>
          </w:p>
          <w:p w14:paraId="132E708B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饶欣莹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上海杭贵投资管理有限公司</w:t>
            </w:r>
          </w:p>
          <w:p w14:paraId="77A0502C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王超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易方达基金</w:t>
            </w:r>
          </w:p>
          <w:p w14:paraId="5C30935B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周振兴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乾惕投资</w:t>
            </w:r>
          </w:p>
          <w:p w14:paraId="4E91EF23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吴天齐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汇丰晋信基金管理有限公司</w:t>
            </w:r>
          </w:p>
          <w:p w14:paraId="4F8FECD4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郑恺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华宝基金管理有限公司</w:t>
            </w:r>
          </w:p>
          <w:p w14:paraId="5F7D560F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万淑珊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平安资产管理有限责任公司</w:t>
            </w:r>
          </w:p>
          <w:p w14:paraId="665B5D81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赵梓峰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上海途灵资产管理有限公司</w:t>
            </w:r>
          </w:p>
          <w:p w14:paraId="5A1F18D2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朱之轩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和谐健康保险股份有限公司</w:t>
            </w:r>
          </w:p>
          <w:p w14:paraId="76080CE6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王照峰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上海极灏私募基金管理有限公司</w:t>
            </w:r>
          </w:p>
          <w:p w14:paraId="2DE3C0E0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朱雀基金管理有限公司</w:t>
            </w:r>
          </w:p>
          <w:p w14:paraId="156B2BD1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吕科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深圳亘泰投资管理有限公司</w:t>
            </w:r>
          </w:p>
          <w:p w14:paraId="4B7CAD9E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吴亮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上海沣杨资产管理有限公司</w:t>
            </w:r>
          </w:p>
          <w:p w14:paraId="47BF8D4C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郝晨光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华能贵诚信托有限公司</w:t>
            </w:r>
          </w:p>
          <w:p w14:paraId="1A9C728E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徐京德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宽远资本</w:t>
            </w:r>
          </w:p>
          <w:p w14:paraId="7EE3722C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程卉超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合煦智远基金</w:t>
            </w:r>
          </w:p>
          <w:p w14:paraId="769FF1D9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李恩国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大家资产管理有限责任公司</w:t>
            </w:r>
          </w:p>
          <w:p w14:paraId="710E1960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印磊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华西证券股份有限公司</w:t>
            </w:r>
          </w:p>
          <w:p w14:paraId="44F06858" w14:textId="77777777" w:rsidR="00BC5BDC" w:rsidRPr="00BC5BDC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虞光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远望角投资</w:t>
            </w:r>
          </w:p>
          <w:p w14:paraId="3D392BF7" w14:textId="77777777" w:rsidR="00492BB5" w:rsidRDefault="00BC5BDC" w:rsidP="00BC5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李丹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国寿安保</w:t>
            </w:r>
          </w:p>
          <w:p w14:paraId="6332E34E" w14:textId="5D33A6CF" w:rsidR="00BC5BDC" w:rsidRPr="00BE7ABA" w:rsidRDefault="00BC5BDC" w:rsidP="00BE7A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罗燕</w:t>
            </w:r>
            <w:r w:rsidRPr="00BC5B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深圳市金之灏基金管理有限公司</w:t>
            </w:r>
          </w:p>
        </w:tc>
      </w:tr>
      <w:tr w:rsidR="00BC5BDC" w:rsidRPr="00B678C5" w14:paraId="17176A3F" w14:textId="77777777" w:rsidTr="003F33EA">
        <w:trPr>
          <w:trHeight w:val="460"/>
        </w:trPr>
        <w:tc>
          <w:tcPr>
            <w:tcW w:w="1526" w:type="dxa"/>
            <w:vAlign w:val="center"/>
          </w:tcPr>
          <w:p w14:paraId="56B807CB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lastRenderedPageBreak/>
              <w:t>时间</w:t>
            </w:r>
          </w:p>
        </w:tc>
        <w:tc>
          <w:tcPr>
            <w:tcW w:w="6996" w:type="dxa"/>
            <w:vAlign w:val="center"/>
          </w:tcPr>
          <w:p w14:paraId="6D0FED81" w14:textId="6802B17D" w:rsidR="00BC5BDC" w:rsidRPr="00BE6F10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年</w:t>
            </w:r>
            <w:r>
              <w:rPr>
                <w:rFonts w:ascii="宋体" w:hAnsi="宋体"/>
                <w:bCs/>
                <w:iCs/>
                <w:sz w:val="24"/>
              </w:rPr>
              <w:t>3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月</w:t>
            </w:r>
            <w:r>
              <w:rPr>
                <w:rFonts w:ascii="宋体" w:hAnsi="宋体"/>
                <w:bCs/>
                <w:iCs/>
                <w:sz w:val="24"/>
              </w:rPr>
              <w:t>28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 xml:space="preserve">日 </w:t>
            </w:r>
            <w:r>
              <w:rPr>
                <w:rFonts w:ascii="宋体" w:hAnsi="宋体"/>
                <w:bCs/>
                <w:iCs/>
                <w:sz w:val="24"/>
              </w:rPr>
              <w:t>15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>
              <w:rPr>
                <w:rFonts w:ascii="宋体" w:hAnsi="宋体"/>
                <w:bCs/>
                <w:iCs/>
                <w:sz w:val="24"/>
              </w:rPr>
              <w:t>00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-1</w:t>
            </w:r>
            <w:r>
              <w:rPr>
                <w:rFonts w:ascii="宋体" w:hAnsi="宋体"/>
                <w:bCs/>
                <w:iCs/>
                <w:sz w:val="24"/>
              </w:rPr>
              <w:t>6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>
              <w:rPr>
                <w:rFonts w:ascii="宋体" w:hAnsi="宋体"/>
                <w:bCs/>
                <w:iCs/>
                <w:sz w:val="24"/>
              </w:rPr>
              <w:t>0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0</w:t>
            </w:r>
          </w:p>
        </w:tc>
      </w:tr>
      <w:tr w:rsidR="00BC5BDC" w:rsidRPr="00B678C5" w14:paraId="736EAFBD" w14:textId="77777777" w:rsidTr="00ED583A">
        <w:trPr>
          <w:trHeight w:val="450"/>
        </w:trPr>
        <w:tc>
          <w:tcPr>
            <w:tcW w:w="1526" w:type="dxa"/>
            <w:vAlign w:val="center"/>
          </w:tcPr>
          <w:p w14:paraId="7853BA71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地点</w:t>
            </w:r>
          </w:p>
        </w:tc>
        <w:tc>
          <w:tcPr>
            <w:tcW w:w="6996" w:type="dxa"/>
            <w:vAlign w:val="center"/>
          </w:tcPr>
          <w:p w14:paraId="3F246CCC" w14:textId="78EE1352" w:rsidR="00BC5BDC" w:rsidRPr="00BE6F10" w:rsidRDefault="00BC5BDC" w:rsidP="00BC5BDC">
            <w:pPr>
              <w:pStyle w:val="New0"/>
              <w:spacing w:before="100" w:beforeAutospacing="1" w:afterLines="50" w:after="156" w:line="480" w:lineRule="atLeast"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上海市嘉定区宝钱公路555号</w:t>
            </w:r>
          </w:p>
        </w:tc>
      </w:tr>
      <w:tr w:rsidR="00BC5BDC" w:rsidRPr="00B678C5" w14:paraId="32DBB040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7858D97F" w14:textId="77777777" w:rsidR="00BC5BDC" w:rsidRPr="00B678C5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14:paraId="305366CC" w14:textId="4E11FC53" w:rsidR="00BC5BDC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副总经理、财务总监：孙立</w:t>
            </w:r>
          </w:p>
          <w:p w14:paraId="039CD673" w14:textId="10D757E3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董事会秘书：宋宗斌</w:t>
            </w:r>
          </w:p>
        </w:tc>
      </w:tr>
      <w:tr w:rsidR="00BC5BDC" w:rsidRPr="00B678C5" w14:paraId="571B1B92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41B16452" w14:textId="55E21F26" w:rsidR="00BC5BDC" w:rsidRPr="003F33EA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3F33EA">
              <w:rPr>
                <w:rFonts w:ascii="宋体" w:hAnsi="宋体" w:hint="eastAsia"/>
                <w:b/>
                <w:sz w:val="24"/>
              </w:rPr>
              <w:t>投资者关系活动主要内容介绍</w:t>
            </w:r>
          </w:p>
        </w:tc>
        <w:tc>
          <w:tcPr>
            <w:tcW w:w="6996" w:type="dxa"/>
            <w:vAlign w:val="center"/>
          </w:tcPr>
          <w:p w14:paraId="667D33CA" w14:textId="77777777" w:rsidR="00BC5BDC" w:rsidRPr="00DA4123" w:rsidRDefault="00BC5BDC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一、财务情况</w:t>
            </w:r>
          </w:p>
          <w:p w14:paraId="45EAA9E0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 w:hint="eastAsia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公司2024年实现营收39.64亿元，同比增长24%；归母净利润4.62亿元，同比微增0.26%；扣非归母净利润4.48亿元，同比下降约1%；扣非归母净利率为11.3%，同比下降2.9个百分点。公司业务整体毛利率为46.7%，同比下降7.5个百分点；销售费用率为19.4%，同比下降7.4个百分点；管理费用率为4.5%，同比下降0.8个百分点；研发费用率为5.4%，同比增长1个百分点。</w:t>
            </w:r>
          </w:p>
          <w:p w14:paraId="5683E079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 w:hint="eastAsia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1）防爆板块2024年实现营收25.06亿元，同比下降3.5%。其中：内贸板块实现营收15.6亿元，同比下降17.7%；外贸板块实现营收9.44亿元，同比增长35.2%。毛利率方面，2024年防爆板块毛利率约55.4%，同比下降1.2个百分点。</w:t>
            </w:r>
          </w:p>
          <w:p w14:paraId="1C476397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 w:hint="eastAsia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2）工程板块中，新能源EPC业务2024年实现营收11.07亿元，同比增长315%。毛利率约22.1%，同比下降2.3个百分点。</w:t>
            </w:r>
          </w:p>
          <w:p w14:paraId="3DB037B1" w14:textId="79C46554" w:rsidR="00BC5BDC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3）专业照明及光电板块2024年实现营收3.26亿元，同比增长5.5%；毛利率约57.2%，同比下降0.3个百分点。</w:t>
            </w:r>
          </w:p>
          <w:p w14:paraId="2C5550A7" w14:textId="77777777" w:rsidR="00BC5BDC" w:rsidRPr="00DA4123" w:rsidRDefault="00BC5BDC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二、 问答</w:t>
            </w:r>
          </w:p>
          <w:p w14:paraId="08D2DB87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1.2025年整体业绩预期好转的驱动力是什么？</w:t>
            </w:r>
          </w:p>
          <w:p w14:paraId="1C3C74C1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bookmarkStart w:id="3" w:name="OLE_LINK3"/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2024年传统油气领域新建需求显著收缩，行业投资进入平台期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。2025年公司</w:t>
            </w:r>
            <w:r w:rsidRPr="00DA4123">
              <w:rPr>
                <w:rFonts w:ascii="宋体" w:hAnsi="宋体"/>
                <w:bCs/>
                <w:iCs/>
                <w:sz w:val="24"/>
              </w:rPr>
              <w:t>积极开拓新增长点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，布局新疆煤化工领域业务。</w:t>
            </w:r>
            <w:r w:rsidRPr="00DA4123">
              <w:rPr>
                <w:rFonts w:ascii="宋体" w:hAnsi="宋体"/>
                <w:bCs/>
                <w:iCs/>
                <w:sz w:val="24"/>
              </w:rPr>
              <w:t>根据规划，2025至2028年该领域总投资规模近万亿元，其中</w:t>
            </w:r>
            <w:r w:rsidRPr="00DA4123">
              <w:rPr>
                <w:rFonts w:ascii="宋体" w:hAnsi="宋体"/>
                <w:bCs/>
                <w:iCs/>
                <w:sz w:val="24"/>
              </w:rPr>
              <w:lastRenderedPageBreak/>
              <w:t>涉及防爆设备的投资约7000亿元。按照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防爆电器价值量占比1‰-3‰来测算</w:t>
            </w:r>
            <w:r w:rsidRPr="00DA4123">
              <w:rPr>
                <w:rFonts w:ascii="宋体" w:hAnsi="宋体"/>
                <w:bCs/>
                <w:iCs/>
                <w:sz w:val="24"/>
              </w:rPr>
              <w:t>，防爆电器增量市场规模可达15亿元。同时，公司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加速</w:t>
            </w:r>
            <w:r w:rsidRPr="00DA4123">
              <w:rPr>
                <w:rFonts w:ascii="宋体" w:hAnsi="宋体"/>
                <w:bCs/>
                <w:iCs/>
                <w:sz w:val="24"/>
              </w:rPr>
              <w:t>拓展液冷电池、氢能等新领域业务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，并</w:t>
            </w:r>
            <w:r w:rsidRPr="00DA4123">
              <w:rPr>
                <w:rFonts w:ascii="宋体" w:hAnsi="宋体"/>
                <w:bCs/>
                <w:iCs/>
                <w:sz w:val="24"/>
              </w:rPr>
              <w:t>在国际化方面，随着全球运营中心数量增加至四个以及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第三家海外合资公司</w:t>
            </w:r>
            <w:r w:rsidRPr="00DA4123">
              <w:rPr>
                <w:rFonts w:ascii="宋体" w:hAnsi="宋体"/>
                <w:bCs/>
                <w:iCs/>
                <w:sz w:val="24"/>
              </w:rPr>
              <w:t>沙特子公司正式投入运营，公司海外市场拓展能力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将</w:t>
            </w:r>
            <w:r w:rsidRPr="00DA4123">
              <w:rPr>
                <w:rFonts w:ascii="宋体" w:hAnsi="宋体"/>
                <w:bCs/>
                <w:iCs/>
                <w:sz w:val="24"/>
              </w:rPr>
              <w:t>得到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进一步的</w:t>
            </w:r>
            <w:r w:rsidRPr="00DA4123">
              <w:rPr>
                <w:rFonts w:ascii="宋体" w:hAnsi="宋体"/>
                <w:bCs/>
                <w:iCs/>
                <w:sz w:val="24"/>
              </w:rPr>
              <w:t>提升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  <w:bookmarkEnd w:id="3"/>
          </w:p>
          <w:p w14:paraId="5657D81E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2.2025年毛利率的变化如何展望？</w:t>
            </w:r>
          </w:p>
          <w:p w14:paraId="030AE619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从当前经营情况来看，公司各业务板块预期毛利率水平将基本保持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稳定</w:t>
            </w:r>
            <w:r w:rsidRPr="00DA4123">
              <w:rPr>
                <w:rFonts w:ascii="宋体" w:hAnsi="宋体"/>
                <w:bCs/>
                <w:iCs/>
                <w:sz w:val="24"/>
              </w:rPr>
              <w:t>。未来成本端因素对毛利率的边际影响相对有限，整体盈利能力的变化将主要取决于终端市场价格走势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5429EF79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3.安工智能下游应用领域有哪些？2024年各领域收入贡献情况分别如何？</w:t>
            </w:r>
          </w:p>
          <w:p w14:paraId="67D4DD1C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sz w:val="24"/>
              </w:rPr>
              <w:t>公司安工智能系统可面向所有下游防爆硬件覆盖的客户进行推广</w:t>
            </w:r>
            <w:r w:rsidRPr="00DA4123">
              <w:rPr>
                <w:rFonts w:ascii="宋体" w:hAnsi="宋体" w:hint="eastAsia"/>
                <w:sz w:val="24"/>
              </w:rPr>
              <w:t>，近两年因政策推动和业务拓展，增加了危化园区以及大安全领域的智慧工地等下游市场，市场空间拓宽至千亿规模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。2</w:t>
            </w:r>
            <w:r w:rsidRPr="00DA4123">
              <w:rPr>
                <w:rFonts w:ascii="宋体" w:hAnsi="宋体"/>
                <w:bCs/>
                <w:iCs/>
                <w:sz w:val="24"/>
              </w:rPr>
              <w:t>024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年，安工智能板块实现营收3</w:t>
            </w:r>
            <w:r w:rsidRPr="00DA4123">
              <w:rPr>
                <w:rFonts w:ascii="宋体" w:hAnsi="宋体"/>
                <w:bCs/>
                <w:iCs/>
                <w:sz w:val="24"/>
              </w:rPr>
              <w:t>.62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亿元，同比增长超过70</w:t>
            </w:r>
            <w:r w:rsidRPr="00DA4123">
              <w:rPr>
                <w:rFonts w:ascii="宋体" w:hAnsi="宋体"/>
                <w:bCs/>
                <w:iCs/>
                <w:sz w:val="24"/>
              </w:rPr>
              <w:t>%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6C335815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4.防爆机器人业务介绍？</w:t>
            </w:r>
          </w:p>
          <w:p w14:paraId="08C70077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在国家政策支持防爆机器人行业发展的背景下，公司基于对终端用户实际需求的深度洞察，于2025年初与某机器人企业达成战略合作，通过技术互补与资源共享共同开发工业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执行</w:t>
            </w:r>
            <w:r w:rsidRPr="00DA4123">
              <w:rPr>
                <w:rFonts w:ascii="宋体" w:hAnsi="宋体"/>
                <w:bCs/>
                <w:iCs/>
                <w:sz w:val="24"/>
              </w:rPr>
              <w:t>机器人产品，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加速安工智能系统</w:t>
            </w:r>
            <w:r w:rsidRPr="00DA4123">
              <w:rPr>
                <w:rFonts w:ascii="宋体" w:hAnsi="宋体"/>
                <w:bCs/>
                <w:iCs/>
                <w:sz w:val="24"/>
              </w:rPr>
              <w:t>智能化升级。目前该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机器人</w:t>
            </w:r>
            <w:r w:rsidRPr="00DA4123">
              <w:rPr>
                <w:rFonts w:ascii="宋体" w:hAnsi="宋体"/>
                <w:bCs/>
                <w:iCs/>
                <w:sz w:val="24"/>
              </w:rPr>
              <w:t>产品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有少量用户正在试用</w:t>
            </w:r>
            <w:r w:rsidRPr="00DA4123">
              <w:rPr>
                <w:rFonts w:ascii="宋体" w:hAnsi="宋体"/>
                <w:bCs/>
                <w:iCs/>
                <w:sz w:val="24"/>
              </w:rPr>
              <w:t>，后续将根据市场反馈动态调整技术路线和商业化路径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556978D2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5.目前公司对防爆机器人的定价是如何考虑的？</w:t>
            </w:r>
          </w:p>
          <w:p w14:paraId="4A4CF4D8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公司安工智能系统由12个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子系统</w:t>
            </w:r>
            <w:r w:rsidRPr="00DA4123">
              <w:rPr>
                <w:rFonts w:ascii="宋体" w:hAnsi="宋体"/>
                <w:bCs/>
                <w:iCs/>
                <w:sz w:val="24"/>
              </w:rPr>
              <w:t>组成，防爆机器人将作为系统方案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当中</w:t>
            </w:r>
            <w:r w:rsidRPr="00DA4123">
              <w:rPr>
                <w:rFonts w:ascii="宋体" w:hAnsi="宋体"/>
                <w:bCs/>
                <w:iCs/>
                <w:sz w:val="24"/>
              </w:rPr>
              <w:t>的一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个组成</w:t>
            </w:r>
            <w:r w:rsidRPr="00DA4123">
              <w:rPr>
                <w:rFonts w:ascii="宋体" w:hAnsi="宋体"/>
                <w:bCs/>
                <w:iCs/>
                <w:sz w:val="24"/>
              </w:rPr>
              <w:t>部分进行销售，暂不作为独立产品销售。</w:t>
            </w:r>
          </w:p>
          <w:p w14:paraId="0559D32C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lastRenderedPageBreak/>
              <w:t>6.防爆机器人与普通机器人的差异在哪里？</w:t>
            </w:r>
          </w:p>
          <w:p w14:paraId="6206E426" w14:textId="6DFBCFB4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答：防爆机器人的生产企业必须取得国家规定的防爆产品生产资质，产品符合国际标准，同时根据不同的应用场景选用不同的材料和设计方法，如隔爆型、本安型、增安型等防爆技术。</w:t>
            </w:r>
          </w:p>
          <w:p w14:paraId="3D6B633E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7.外贸业务未来增长的驱动力是什么？</w:t>
            </w:r>
          </w:p>
          <w:p w14:paraId="5BCB0867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答：防爆电器国际市场需求旺盛，目前公司的外贸业务除了北美地区，其他区域均有销售。而且公司陆续在中东、欧洲、东南亚等地设立了4家国际运营中心，正在布局非洲和南美地区国际运营中心。2</w:t>
            </w:r>
            <w:r w:rsidRPr="00DA4123">
              <w:rPr>
                <w:rFonts w:ascii="宋体" w:hAnsi="宋体"/>
                <w:bCs/>
                <w:iCs/>
                <w:sz w:val="24"/>
              </w:rPr>
              <w:t>023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年筹备设立的欧洲、中东、东南亚国际运营中心，2</w:t>
            </w:r>
            <w:r w:rsidRPr="00DA4123">
              <w:rPr>
                <w:rFonts w:ascii="宋体" w:hAnsi="宋体"/>
                <w:bCs/>
                <w:iCs/>
                <w:sz w:val="24"/>
              </w:rPr>
              <w:t>024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年全面投入运营并获取外贸订单超3亿元</w:t>
            </w:r>
            <w:bookmarkStart w:id="4" w:name="_GoBack"/>
            <w:bookmarkEnd w:id="4"/>
            <w:r w:rsidRPr="00DA4123">
              <w:rPr>
                <w:rFonts w:ascii="宋体" w:hAnsi="宋体" w:hint="eastAsia"/>
                <w:bCs/>
                <w:iCs/>
                <w:sz w:val="24"/>
              </w:rPr>
              <w:t>人民币，快速推动所在地区业务的增长。此外，</w:t>
            </w:r>
            <w:r w:rsidRPr="00DA4123">
              <w:rPr>
                <w:rFonts w:ascii="宋体" w:hAnsi="宋体"/>
                <w:bCs/>
                <w:iCs/>
                <w:sz w:val="24"/>
              </w:rPr>
              <w:t>2024年9月正式投入运营的沙特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合资</w:t>
            </w:r>
            <w:r w:rsidRPr="00DA4123">
              <w:rPr>
                <w:rFonts w:ascii="宋体" w:hAnsi="宋体"/>
                <w:bCs/>
                <w:iCs/>
                <w:sz w:val="24"/>
              </w:rPr>
              <w:t>子公司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，目前正在进行合格供应商入围和市场拓展工作，待入围工作完成后将实现本土化服务沙特阿美等大型用户。</w:t>
            </w:r>
          </w:p>
          <w:p w14:paraId="170E512E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8.公司如何看待新能源EPC业务的盈利能力及未来的业绩展望？</w:t>
            </w:r>
          </w:p>
          <w:p w14:paraId="1B4D0B8F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公司新能源EPC业务毛利率通常维持在10%左右，但由于前期签订合同时组件价格处于高位，当前实际毛利率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能维持</w:t>
            </w:r>
            <w:r w:rsidRPr="00DA4123">
              <w:rPr>
                <w:rFonts w:ascii="宋体" w:hAnsi="宋体"/>
                <w:bCs/>
                <w:iCs/>
                <w:sz w:val="24"/>
              </w:rPr>
              <w:t>在20%以上。根据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在手</w:t>
            </w:r>
            <w:r w:rsidRPr="00DA4123">
              <w:rPr>
                <w:rFonts w:ascii="宋体" w:hAnsi="宋体"/>
                <w:bCs/>
                <w:iCs/>
                <w:sz w:val="24"/>
              </w:rPr>
              <w:t>订单情况，2025年业务规模预计能够延续，但2026年的业务发展态势仍需等待2025年下半年市场情况进一步明确。</w:t>
            </w:r>
          </w:p>
          <w:p w14:paraId="75C1291D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9.新能源EPC业务对公司现金流的影响？</w:t>
            </w:r>
          </w:p>
          <w:p w14:paraId="0E533845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公司EPC业务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一般有一定预收款，后续款项按工程关键节点</w:t>
            </w:r>
            <w:r w:rsidRPr="00DA4123">
              <w:rPr>
                <w:rFonts w:ascii="宋体" w:hAnsi="宋体"/>
                <w:bCs/>
                <w:iCs/>
                <w:sz w:val="24"/>
              </w:rPr>
              <w:t>分阶段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收取</w:t>
            </w:r>
            <w:r w:rsidRPr="00DA4123">
              <w:rPr>
                <w:rFonts w:ascii="宋体" w:hAnsi="宋体"/>
                <w:bCs/>
                <w:iCs/>
                <w:sz w:val="24"/>
              </w:rPr>
              <w:t>。这种收款节奏与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相关</w:t>
            </w:r>
            <w:r w:rsidRPr="00DA4123">
              <w:rPr>
                <w:rFonts w:ascii="宋体" w:hAnsi="宋体"/>
                <w:bCs/>
                <w:iCs/>
                <w:sz w:val="24"/>
              </w:rPr>
              <w:t>收入确认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不完全匹配</w:t>
            </w:r>
            <w:r w:rsidRPr="00DA4123">
              <w:rPr>
                <w:rFonts w:ascii="宋体" w:hAnsi="宋体"/>
                <w:bCs/>
                <w:iCs/>
                <w:sz w:val="24"/>
              </w:rPr>
              <w:t>：项目启动初期预收款到账时工程支出较少，现金流表现良好；但随着项目推进，前期收款逐步减少而后期工程款、设备采购等支出集中发生，导致跨年度大型项目的现金流呈现周期性波动特征，可能出现年度间现金流不均衡的情况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29A276ED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lastRenderedPageBreak/>
              <w:t>10.2024年应收账款的主要构成结构是什么样的？</w:t>
            </w:r>
          </w:p>
          <w:p w14:paraId="58B91CFD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2024年公司应收账款中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</w:t>
            </w:r>
            <w:r w:rsidRPr="00DA4123">
              <w:rPr>
                <w:rFonts w:ascii="宋体" w:hAnsi="宋体"/>
                <w:bCs/>
                <w:iCs/>
                <w:sz w:val="24"/>
              </w:rPr>
              <w:t>新能源EPC业务占比达7.3亿元，其余部分主要来自防爆板块业务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，其中绝大部分是业务服务商的。</w:t>
            </w:r>
          </w:p>
          <w:p w14:paraId="509A0D45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11.公司如何看待未来应收账款的减值风险？</w:t>
            </w:r>
          </w:p>
          <w:p w14:paraId="40FBF778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公司应收账款管理呈现差异化特征：防爆板块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中业务服务商客户应收账款产生的坏账准备将冲减其服务费用，因此相应</w:t>
            </w:r>
            <w:r w:rsidRPr="00DA4123">
              <w:rPr>
                <w:rFonts w:ascii="宋体" w:hAnsi="宋体"/>
                <w:bCs/>
                <w:iCs/>
                <w:sz w:val="24"/>
              </w:rPr>
              <w:t>坏账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准备的计提</w:t>
            </w:r>
            <w:r w:rsidRPr="00DA4123">
              <w:rPr>
                <w:rFonts w:ascii="宋体" w:hAnsi="宋体"/>
                <w:bCs/>
                <w:iCs/>
                <w:sz w:val="24"/>
              </w:rPr>
              <w:t>不影响公司利润；安工智能业务应收账款占比相对较低；外贸业务整体回款质量良好；新能源EPC业务账款通常能够正常回收，2024年因个别特殊项目账龄超三年而全额计提坏账准备，但后续实现回款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，坏账准备将冲回</w:t>
            </w:r>
            <w:r w:rsidRPr="00DA4123">
              <w:rPr>
                <w:rFonts w:ascii="宋体" w:hAnsi="宋体"/>
                <w:bCs/>
                <w:iCs/>
                <w:sz w:val="24"/>
              </w:rPr>
              <w:t>。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因此，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公司整体应收账款风险处于可控范围。</w:t>
            </w:r>
          </w:p>
          <w:p w14:paraId="1D51838C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12.2024年销售费用同比大幅下降的原因？</w:t>
            </w:r>
          </w:p>
          <w:p w14:paraId="5B305A3D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公司采用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业务服务商</w:t>
            </w:r>
            <w:r w:rsidRPr="00DA4123">
              <w:rPr>
                <w:rFonts w:ascii="宋体" w:hAnsi="宋体"/>
                <w:bCs/>
                <w:iCs/>
                <w:sz w:val="24"/>
              </w:rPr>
              <w:t>模式，销售费用主要体现为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确认的业务服务商服务费用</w:t>
            </w:r>
            <w:r w:rsidRPr="00DA4123">
              <w:rPr>
                <w:rFonts w:ascii="宋体" w:hAnsi="宋体"/>
                <w:bCs/>
                <w:iCs/>
                <w:sz w:val="24"/>
              </w:rPr>
              <w:t>。2024年由于整体业绩下滑，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业务服务商费用有所下降</w:t>
            </w:r>
            <w:r w:rsidRPr="00DA4123">
              <w:rPr>
                <w:rFonts w:ascii="宋体" w:hAnsi="宋体"/>
                <w:bCs/>
                <w:iCs/>
                <w:sz w:val="24"/>
              </w:rPr>
              <w:t>，同时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业务服务商客户应收账款计提的</w:t>
            </w:r>
            <w:r w:rsidRPr="00DA4123">
              <w:rPr>
                <w:rFonts w:ascii="宋体" w:hAnsi="宋体"/>
                <w:bCs/>
                <w:iCs/>
                <w:sz w:val="24"/>
              </w:rPr>
              <w:t>坏账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准备冲减</w:t>
            </w:r>
            <w:r w:rsidRPr="00DA4123">
              <w:rPr>
                <w:rFonts w:ascii="宋体" w:hAnsi="宋体"/>
                <w:bCs/>
                <w:iCs/>
                <w:sz w:val="24"/>
              </w:rPr>
              <w:t>销售费用，导致当年销售费用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有所</w:t>
            </w:r>
            <w:r w:rsidRPr="00DA4123">
              <w:rPr>
                <w:rFonts w:ascii="宋体" w:hAnsi="宋体"/>
                <w:bCs/>
                <w:iCs/>
                <w:sz w:val="24"/>
              </w:rPr>
              <w:t>下降。展望2025年，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预计营收有所回暖，且</w:t>
            </w:r>
            <w:r w:rsidRPr="00DA4123">
              <w:rPr>
                <w:rFonts w:ascii="宋体" w:hAnsi="宋体"/>
                <w:bCs/>
                <w:iCs/>
                <w:sz w:val="24"/>
              </w:rPr>
              <w:t>预期回款改善带动坏账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准备计提</w:t>
            </w:r>
            <w:r w:rsidRPr="00DA4123">
              <w:rPr>
                <w:rFonts w:ascii="宋体" w:hAnsi="宋体"/>
                <w:bCs/>
                <w:iCs/>
                <w:sz w:val="24"/>
              </w:rPr>
              <w:t>减少，预计销售费用将出现回升态势。</w:t>
            </w:r>
          </w:p>
          <w:p w14:paraId="6902C1D4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13.为什么2024第四季度公司的研发费用增长较多？</w:t>
            </w:r>
          </w:p>
          <w:p w14:paraId="29D2E2E5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答：2024年公司对业务服务商的服务范围进行重新划定，部分技术调研活动支出被确认为研发费用；同时2024委外研发费用有所增加，导致研发费用同比有所增长。</w:t>
            </w:r>
          </w:p>
          <w:p w14:paraId="1A572EDB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100" w:firstLine="241"/>
              <w:rPr>
                <w:rFonts w:ascii="宋体" w:hAnsi="宋体"/>
                <w:b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/>
                <w:bCs/>
                <w:iCs/>
                <w:sz w:val="24"/>
              </w:rPr>
              <w:t>14.2025年及2026年公司的资本开支情况及分红的规划是怎么样的？</w:t>
            </w:r>
          </w:p>
          <w:p w14:paraId="1DAD3BDC" w14:textId="77777777" w:rsidR="00DA4123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 w:rsidRPr="00DA4123">
              <w:rPr>
                <w:rFonts w:ascii="宋体" w:hAnsi="宋体" w:hint="eastAsia"/>
                <w:bCs/>
                <w:iCs/>
                <w:sz w:val="24"/>
              </w:rPr>
              <w:t>答：</w:t>
            </w:r>
            <w:r w:rsidRPr="00DA4123">
              <w:rPr>
                <w:rFonts w:ascii="宋体" w:hAnsi="宋体"/>
                <w:bCs/>
                <w:iCs/>
                <w:sz w:val="24"/>
              </w:rPr>
              <w:t>2024年公司资本开支达1.4亿元，主要用于建设5万平</w:t>
            </w:r>
            <w:r w:rsidRPr="00DA4123">
              <w:rPr>
                <w:rFonts w:ascii="宋体" w:hAnsi="宋体"/>
                <w:bCs/>
                <w:iCs/>
                <w:sz w:val="24"/>
              </w:rPr>
              <w:lastRenderedPageBreak/>
              <w:t>方米厂房及配套停车楼等基建项目，预计将于2025年中期或第三季度完成竣工验收。2025年资本开支规模预计与2024年基本持平，但由于后续暂无新增大型基建规划，公司未来资本开支水平将呈现显著下降趋势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  <w:p w14:paraId="20D4A712" w14:textId="315E71BF" w:rsidR="00BC5BDC" w:rsidRPr="00DA4123" w:rsidRDefault="00DA4123" w:rsidP="00DA4123">
            <w:pPr>
              <w:pStyle w:val="New0"/>
              <w:adjustRightInd w:val="0"/>
              <w:snapToGrid w:val="0"/>
              <w:spacing w:beforeLines="50" w:before="156" w:afterLines="50" w:after="156" w:line="480" w:lineRule="exact"/>
              <w:ind w:firstLineChars="200" w:firstLine="480"/>
              <w:rPr>
                <w:rFonts w:ascii="宋体" w:hAnsi="宋体" w:hint="eastAsia"/>
                <w:bCs/>
                <w:iCs/>
                <w:sz w:val="24"/>
              </w:rPr>
            </w:pPr>
            <w:r w:rsidRPr="00DA4123">
              <w:rPr>
                <w:rFonts w:ascii="宋体" w:hAnsi="宋体"/>
                <w:bCs/>
                <w:iCs/>
                <w:sz w:val="24"/>
              </w:rPr>
              <w:t>公司始终坚持高比例分红政策，历史分红比例维持在70%以上。2025年公司将制定新一轮三年股东分红回报规划，具体实施方案将提交董事会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及股东会</w:t>
            </w:r>
            <w:r w:rsidRPr="00DA4123">
              <w:rPr>
                <w:rFonts w:ascii="宋体" w:hAnsi="宋体"/>
                <w:bCs/>
                <w:iCs/>
                <w:sz w:val="24"/>
              </w:rPr>
              <w:t>审议后最终确定</w:t>
            </w:r>
            <w:r w:rsidRPr="00DA4123">
              <w:rPr>
                <w:rFonts w:ascii="宋体" w:hAnsi="宋体" w:hint="eastAsia"/>
                <w:bCs/>
                <w:iCs/>
                <w:sz w:val="24"/>
              </w:rPr>
              <w:t>。</w:t>
            </w:r>
          </w:p>
        </w:tc>
      </w:tr>
      <w:tr w:rsidR="00BC5BDC" w:rsidRPr="00B678C5" w14:paraId="4796CE49" w14:textId="77777777" w:rsidTr="00D53D08">
        <w:trPr>
          <w:trHeight w:val="90"/>
        </w:trPr>
        <w:tc>
          <w:tcPr>
            <w:tcW w:w="1526" w:type="dxa"/>
            <w:vAlign w:val="center"/>
          </w:tcPr>
          <w:p w14:paraId="040EF3C6" w14:textId="18253D9B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96" w:type="dxa"/>
            <w:vAlign w:val="center"/>
          </w:tcPr>
          <w:p w14:paraId="4CAA9805" w14:textId="77777777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无。</w:t>
            </w:r>
          </w:p>
        </w:tc>
      </w:tr>
      <w:tr w:rsidR="00BC5BDC" w14:paraId="28F87AC2" w14:textId="77777777" w:rsidTr="00D53D08">
        <w:tc>
          <w:tcPr>
            <w:tcW w:w="1526" w:type="dxa"/>
            <w:vAlign w:val="center"/>
          </w:tcPr>
          <w:p w14:paraId="7F749185" w14:textId="77777777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t>日期</w:t>
            </w:r>
          </w:p>
        </w:tc>
        <w:tc>
          <w:tcPr>
            <w:tcW w:w="6996" w:type="dxa"/>
            <w:vAlign w:val="center"/>
          </w:tcPr>
          <w:p w14:paraId="35FF94B4" w14:textId="3903F451" w:rsidR="00BC5BDC" w:rsidRPr="00BE6F10" w:rsidRDefault="00BC5BDC" w:rsidP="00BE68BE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202</w:t>
            </w:r>
            <w:r w:rsidR="00BE68BE"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/>
                <w:bCs/>
                <w:iCs/>
                <w:sz w:val="24"/>
              </w:rPr>
              <w:t>年</w:t>
            </w:r>
            <w:r w:rsidR="00BE68BE">
              <w:rPr>
                <w:rFonts w:ascii="宋体" w:hAnsi="宋体"/>
                <w:bCs/>
                <w:iCs/>
                <w:sz w:val="24"/>
              </w:rPr>
              <w:t>3</w:t>
            </w:r>
            <w:r w:rsidRPr="009467CE">
              <w:rPr>
                <w:rFonts w:ascii="宋体" w:hAnsi="宋体" w:hint="eastAsia"/>
                <w:bCs/>
                <w:iCs/>
                <w:sz w:val="24"/>
              </w:rPr>
              <w:t>月</w:t>
            </w:r>
            <w:r>
              <w:rPr>
                <w:rFonts w:ascii="宋体" w:hAnsi="宋体"/>
                <w:bCs/>
                <w:iCs/>
                <w:sz w:val="24"/>
              </w:rPr>
              <w:t>31</w:t>
            </w:r>
            <w:r w:rsidRPr="009467CE">
              <w:rPr>
                <w:rFonts w:ascii="宋体" w:hAnsi="宋体"/>
                <w:bCs/>
                <w:iCs/>
                <w:sz w:val="24"/>
              </w:rPr>
              <w:t>日</w:t>
            </w:r>
          </w:p>
        </w:tc>
      </w:tr>
    </w:tbl>
    <w:p w14:paraId="5429AABF" w14:textId="1E4AF4C3" w:rsidR="00777389" w:rsidRPr="0018665E" w:rsidRDefault="00777389" w:rsidP="009D44C0">
      <w:pPr>
        <w:rPr>
          <w:rFonts w:ascii="Times New Roman" w:hAnsi="Times New Roman"/>
          <w:sz w:val="28"/>
          <w:szCs w:val="28"/>
        </w:rPr>
      </w:pPr>
    </w:p>
    <w:sectPr w:rsidR="00777389" w:rsidRPr="0018665E" w:rsidSect="009D44C0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5CA7" w14:textId="77777777" w:rsidR="006A40BF" w:rsidRDefault="006A40BF" w:rsidP="00A8422C">
      <w:r>
        <w:separator/>
      </w:r>
    </w:p>
  </w:endnote>
  <w:endnote w:type="continuationSeparator" w:id="0">
    <w:p w14:paraId="43279A36" w14:textId="77777777" w:rsidR="006A40BF" w:rsidRDefault="006A40BF" w:rsidP="00A8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694A" w14:textId="77777777" w:rsidR="006A40BF" w:rsidRDefault="006A40BF" w:rsidP="00A8422C">
      <w:r>
        <w:separator/>
      </w:r>
    </w:p>
  </w:footnote>
  <w:footnote w:type="continuationSeparator" w:id="0">
    <w:p w14:paraId="2D72CB61" w14:textId="77777777" w:rsidR="006A40BF" w:rsidRDefault="006A40BF" w:rsidP="00A8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E52"/>
    <w:multiLevelType w:val="hybridMultilevel"/>
    <w:tmpl w:val="9A868F90"/>
    <w:lvl w:ilvl="0" w:tplc="61766F9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43780"/>
    <w:multiLevelType w:val="hybridMultilevel"/>
    <w:tmpl w:val="328213FE"/>
    <w:lvl w:ilvl="0" w:tplc="FE7439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62031"/>
    <w:multiLevelType w:val="hybridMultilevel"/>
    <w:tmpl w:val="3C4E096A"/>
    <w:lvl w:ilvl="0" w:tplc="A5E49D9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9EB3757"/>
    <w:multiLevelType w:val="hybridMultilevel"/>
    <w:tmpl w:val="49F8377E"/>
    <w:lvl w:ilvl="0" w:tplc="B82E51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705C1E"/>
    <w:multiLevelType w:val="hybridMultilevel"/>
    <w:tmpl w:val="79E4885E"/>
    <w:lvl w:ilvl="0" w:tplc="1DD4BDB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662979"/>
    <w:multiLevelType w:val="hybridMultilevel"/>
    <w:tmpl w:val="3C388F6E"/>
    <w:lvl w:ilvl="0" w:tplc="2E2A4ADC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EE1BB1"/>
    <w:multiLevelType w:val="hybridMultilevel"/>
    <w:tmpl w:val="BCC2CF82"/>
    <w:lvl w:ilvl="0" w:tplc="97F4F3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390E10"/>
    <w:multiLevelType w:val="hybridMultilevel"/>
    <w:tmpl w:val="89BA1524"/>
    <w:lvl w:ilvl="0" w:tplc="A05C8B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9F1550"/>
    <w:multiLevelType w:val="hybridMultilevel"/>
    <w:tmpl w:val="FC4697F4"/>
    <w:lvl w:ilvl="0" w:tplc="3416B3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972996"/>
    <w:multiLevelType w:val="hybridMultilevel"/>
    <w:tmpl w:val="37ECCE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912B81"/>
    <w:multiLevelType w:val="hybridMultilevel"/>
    <w:tmpl w:val="0DB08F2C"/>
    <w:lvl w:ilvl="0" w:tplc="566CC7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56F0374"/>
    <w:multiLevelType w:val="hybridMultilevel"/>
    <w:tmpl w:val="93EA02DC"/>
    <w:lvl w:ilvl="0" w:tplc="52167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EE2255"/>
    <w:multiLevelType w:val="hybridMultilevel"/>
    <w:tmpl w:val="F28EB74C"/>
    <w:lvl w:ilvl="0" w:tplc="55B6AE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12"/>
    <w:rsid w:val="00004648"/>
    <w:rsid w:val="0000545F"/>
    <w:rsid w:val="00005F34"/>
    <w:rsid w:val="00011B56"/>
    <w:rsid w:val="00015A23"/>
    <w:rsid w:val="00020D61"/>
    <w:rsid w:val="000219D8"/>
    <w:rsid w:val="00023BE6"/>
    <w:rsid w:val="00024DA7"/>
    <w:rsid w:val="00025EA5"/>
    <w:rsid w:val="00027CFB"/>
    <w:rsid w:val="00031AE6"/>
    <w:rsid w:val="00035858"/>
    <w:rsid w:val="00040602"/>
    <w:rsid w:val="00041307"/>
    <w:rsid w:val="00041CD1"/>
    <w:rsid w:val="00042172"/>
    <w:rsid w:val="00042352"/>
    <w:rsid w:val="000435DF"/>
    <w:rsid w:val="000444DB"/>
    <w:rsid w:val="00044C8F"/>
    <w:rsid w:val="00045692"/>
    <w:rsid w:val="0004575B"/>
    <w:rsid w:val="00046BEC"/>
    <w:rsid w:val="00046F82"/>
    <w:rsid w:val="000471F3"/>
    <w:rsid w:val="00050FD4"/>
    <w:rsid w:val="000524D9"/>
    <w:rsid w:val="000544A4"/>
    <w:rsid w:val="000562D3"/>
    <w:rsid w:val="00056EE7"/>
    <w:rsid w:val="00064578"/>
    <w:rsid w:val="00064C35"/>
    <w:rsid w:val="000655F7"/>
    <w:rsid w:val="00065610"/>
    <w:rsid w:val="000665E5"/>
    <w:rsid w:val="00066D61"/>
    <w:rsid w:val="000671EE"/>
    <w:rsid w:val="00067F72"/>
    <w:rsid w:val="00070309"/>
    <w:rsid w:val="0007375B"/>
    <w:rsid w:val="00073DE1"/>
    <w:rsid w:val="00075F96"/>
    <w:rsid w:val="00077664"/>
    <w:rsid w:val="00081199"/>
    <w:rsid w:val="00081E5A"/>
    <w:rsid w:val="00082FD5"/>
    <w:rsid w:val="0008335B"/>
    <w:rsid w:val="00083362"/>
    <w:rsid w:val="000847E9"/>
    <w:rsid w:val="00084BBF"/>
    <w:rsid w:val="0009015C"/>
    <w:rsid w:val="00091315"/>
    <w:rsid w:val="0009172F"/>
    <w:rsid w:val="000929CE"/>
    <w:rsid w:val="000932F4"/>
    <w:rsid w:val="00095B9F"/>
    <w:rsid w:val="000A196B"/>
    <w:rsid w:val="000A2090"/>
    <w:rsid w:val="000A2462"/>
    <w:rsid w:val="000A35C9"/>
    <w:rsid w:val="000A3DE4"/>
    <w:rsid w:val="000A3EB6"/>
    <w:rsid w:val="000A3F63"/>
    <w:rsid w:val="000A49C6"/>
    <w:rsid w:val="000A4F7B"/>
    <w:rsid w:val="000A67CA"/>
    <w:rsid w:val="000A7559"/>
    <w:rsid w:val="000A7B7C"/>
    <w:rsid w:val="000B03B7"/>
    <w:rsid w:val="000B1B58"/>
    <w:rsid w:val="000B283F"/>
    <w:rsid w:val="000B3336"/>
    <w:rsid w:val="000B49A2"/>
    <w:rsid w:val="000B5186"/>
    <w:rsid w:val="000B6572"/>
    <w:rsid w:val="000C35E8"/>
    <w:rsid w:val="000C3C31"/>
    <w:rsid w:val="000C5960"/>
    <w:rsid w:val="000C5F86"/>
    <w:rsid w:val="000C7C88"/>
    <w:rsid w:val="000D19A5"/>
    <w:rsid w:val="000D6C6F"/>
    <w:rsid w:val="000E0B57"/>
    <w:rsid w:val="000E1382"/>
    <w:rsid w:val="000E36B8"/>
    <w:rsid w:val="000E4568"/>
    <w:rsid w:val="000E4AB0"/>
    <w:rsid w:val="000E4B52"/>
    <w:rsid w:val="000E5D9F"/>
    <w:rsid w:val="000E748D"/>
    <w:rsid w:val="000F0CEE"/>
    <w:rsid w:val="000F39AA"/>
    <w:rsid w:val="000F3A95"/>
    <w:rsid w:val="000F5833"/>
    <w:rsid w:val="000F5898"/>
    <w:rsid w:val="000F58B1"/>
    <w:rsid w:val="000F630E"/>
    <w:rsid w:val="001007DE"/>
    <w:rsid w:val="00101F77"/>
    <w:rsid w:val="00104AFE"/>
    <w:rsid w:val="00107080"/>
    <w:rsid w:val="001078CF"/>
    <w:rsid w:val="00113218"/>
    <w:rsid w:val="00113A93"/>
    <w:rsid w:val="0011513A"/>
    <w:rsid w:val="00117038"/>
    <w:rsid w:val="001208CD"/>
    <w:rsid w:val="00120A49"/>
    <w:rsid w:val="00120C90"/>
    <w:rsid w:val="00122149"/>
    <w:rsid w:val="00125671"/>
    <w:rsid w:val="00125999"/>
    <w:rsid w:val="001301BE"/>
    <w:rsid w:val="001308BF"/>
    <w:rsid w:val="00134DD2"/>
    <w:rsid w:val="00140F5B"/>
    <w:rsid w:val="00142BBA"/>
    <w:rsid w:val="001447BD"/>
    <w:rsid w:val="00144F2F"/>
    <w:rsid w:val="00145E35"/>
    <w:rsid w:val="00146144"/>
    <w:rsid w:val="00146BB3"/>
    <w:rsid w:val="00152230"/>
    <w:rsid w:val="00153016"/>
    <w:rsid w:val="00157D5F"/>
    <w:rsid w:val="00157FF0"/>
    <w:rsid w:val="00160376"/>
    <w:rsid w:val="00162D41"/>
    <w:rsid w:val="00163358"/>
    <w:rsid w:val="001701D4"/>
    <w:rsid w:val="001704FA"/>
    <w:rsid w:val="00172754"/>
    <w:rsid w:val="00172A27"/>
    <w:rsid w:val="00173967"/>
    <w:rsid w:val="00174B45"/>
    <w:rsid w:val="001754AA"/>
    <w:rsid w:val="00175856"/>
    <w:rsid w:val="00175964"/>
    <w:rsid w:val="00175A06"/>
    <w:rsid w:val="00175C78"/>
    <w:rsid w:val="001837BB"/>
    <w:rsid w:val="001856DF"/>
    <w:rsid w:val="0018665E"/>
    <w:rsid w:val="00186E63"/>
    <w:rsid w:val="0018777D"/>
    <w:rsid w:val="00187F6D"/>
    <w:rsid w:val="00187FD9"/>
    <w:rsid w:val="001930F7"/>
    <w:rsid w:val="00194DD0"/>
    <w:rsid w:val="00195157"/>
    <w:rsid w:val="00195EF5"/>
    <w:rsid w:val="0019655E"/>
    <w:rsid w:val="001A0B32"/>
    <w:rsid w:val="001A0EB7"/>
    <w:rsid w:val="001A5BA9"/>
    <w:rsid w:val="001A71CA"/>
    <w:rsid w:val="001A73B3"/>
    <w:rsid w:val="001B0407"/>
    <w:rsid w:val="001B3AA3"/>
    <w:rsid w:val="001B43A7"/>
    <w:rsid w:val="001B43F8"/>
    <w:rsid w:val="001B58BC"/>
    <w:rsid w:val="001B648D"/>
    <w:rsid w:val="001B78C1"/>
    <w:rsid w:val="001C1361"/>
    <w:rsid w:val="001C15A0"/>
    <w:rsid w:val="001C1C9B"/>
    <w:rsid w:val="001C391D"/>
    <w:rsid w:val="001C6196"/>
    <w:rsid w:val="001D12B3"/>
    <w:rsid w:val="001D2228"/>
    <w:rsid w:val="001D24D1"/>
    <w:rsid w:val="001D3A1F"/>
    <w:rsid w:val="001D6CEC"/>
    <w:rsid w:val="001E2027"/>
    <w:rsid w:val="001E221A"/>
    <w:rsid w:val="001E2958"/>
    <w:rsid w:val="001E339C"/>
    <w:rsid w:val="001E7A4B"/>
    <w:rsid w:val="001E7E1E"/>
    <w:rsid w:val="001F0902"/>
    <w:rsid w:val="001F0B1C"/>
    <w:rsid w:val="001F0F72"/>
    <w:rsid w:val="001F7BAB"/>
    <w:rsid w:val="002000B8"/>
    <w:rsid w:val="00200440"/>
    <w:rsid w:val="00201A09"/>
    <w:rsid w:val="00202A0A"/>
    <w:rsid w:val="00203B18"/>
    <w:rsid w:val="002114B9"/>
    <w:rsid w:val="00211BC1"/>
    <w:rsid w:val="00211F8D"/>
    <w:rsid w:val="00216826"/>
    <w:rsid w:val="00217DEE"/>
    <w:rsid w:val="00221855"/>
    <w:rsid w:val="00222620"/>
    <w:rsid w:val="00227F31"/>
    <w:rsid w:val="00230685"/>
    <w:rsid w:val="00234586"/>
    <w:rsid w:val="002352B7"/>
    <w:rsid w:val="00240BA6"/>
    <w:rsid w:val="0024780A"/>
    <w:rsid w:val="002516AB"/>
    <w:rsid w:val="00252AD2"/>
    <w:rsid w:val="00253F1E"/>
    <w:rsid w:val="00255343"/>
    <w:rsid w:val="0025535C"/>
    <w:rsid w:val="00255A23"/>
    <w:rsid w:val="00256011"/>
    <w:rsid w:val="00256AFC"/>
    <w:rsid w:val="00257B87"/>
    <w:rsid w:val="0026070C"/>
    <w:rsid w:val="00261293"/>
    <w:rsid w:val="00262981"/>
    <w:rsid w:val="00264863"/>
    <w:rsid w:val="0026491A"/>
    <w:rsid w:val="002708BA"/>
    <w:rsid w:val="0027179B"/>
    <w:rsid w:val="00271873"/>
    <w:rsid w:val="00271EC0"/>
    <w:rsid w:val="002741F9"/>
    <w:rsid w:val="0027653A"/>
    <w:rsid w:val="00281F96"/>
    <w:rsid w:val="002839DB"/>
    <w:rsid w:val="00283DF9"/>
    <w:rsid w:val="00284D48"/>
    <w:rsid w:val="00285D10"/>
    <w:rsid w:val="0028787A"/>
    <w:rsid w:val="00287F17"/>
    <w:rsid w:val="00290E8A"/>
    <w:rsid w:val="0029120A"/>
    <w:rsid w:val="002921C5"/>
    <w:rsid w:val="00292558"/>
    <w:rsid w:val="00293853"/>
    <w:rsid w:val="0029444C"/>
    <w:rsid w:val="0029563C"/>
    <w:rsid w:val="002960B5"/>
    <w:rsid w:val="002A11B3"/>
    <w:rsid w:val="002A3CFD"/>
    <w:rsid w:val="002A6858"/>
    <w:rsid w:val="002B1B58"/>
    <w:rsid w:val="002B1C71"/>
    <w:rsid w:val="002B5050"/>
    <w:rsid w:val="002B5DDA"/>
    <w:rsid w:val="002C06DE"/>
    <w:rsid w:val="002C52C4"/>
    <w:rsid w:val="002C6D8E"/>
    <w:rsid w:val="002D17A3"/>
    <w:rsid w:val="002D21A5"/>
    <w:rsid w:val="002D3A14"/>
    <w:rsid w:val="002D6A9E"/>
    <w:rsid w:val="002D6F94"/>
    <w:rsid w:val="002E1931"/>
    <w:rsid w:val="002E5083"/>
    <w:rsid w:val="002E5695"/>
    <w:rsid w:val="002E5EEA"/>
    <w:rsid w:val="002E776F"/>
    <w:rsid w:val="002E7F64"/>
    <w:rsid w:val="002F1967"/>
    <w:rsid w:val="002F1EB2"/>
    <w:rsid w:val="002F2CA2"/>
    <w:rsid w:val="002F2FEB"/>
    <w:rsid w:val="002F4253"/>
    <w:rsid w:val="002F6A57"/>
    <w:rsid w:val="002F6E08"/>
    <w:rsid w:val="002F6E94"/>
    <w:rsid w:val="002F7945"/>
    <w:rsid w:val="003014A9"/>
    <w:rsid w:val="00301F9D"/>
    <w:rsid w:val="00302F14"/>
    <w:rsid w:val="00303D4D"/>
    <w:rsid w:val="00310FCE"/>
    <w:rsid w:val="00311254"/>
    <w:rsid w:val="003126B5"/>
    <w:rsid w:val="00315251"/>
    <w:rsid w:val="00317C9D"/>
    <w:rsid w:val="00321961"/>
    <w:rsid w:val="00323BA2"/>
    <w:rsid w:val="00324755"/>
    <w:rsid w:val="00325404"/>
    <w:rsid w:val="00330563"/>
    <w:rsid w:val="003327BC"/>
    <w:rsid w:val="00332DA9"/>
    <w:rsid w:val="00335D61"/>
    <w:rsid w:val="00336978"/>
    <w:rsid w:val="0034056B"/>
    <w:rsid w:val="0034084A"/>
    <w:rsid w:val="003460FD"/>
    <w:rsid w:val="00346BBA"/>
    <w:rsid w:val="0035146B"/>
    <w:rsid w:val="00351505"/>
    <w:rsid w:val="00352492"/>
    <w:rsid w:val="00352FF2"/>
    <w:rsid w:val="00354477"/>
    <w:rsid w:val="0035478E"/>
    <w:rsid w:val="003605C0"/>
    <w:rsid w:val="0036363C"/>
    <w:rsid w:val="00363B36"/>
    <w:rsid w:val="00364277"/>
    <w:rsid w:val="00364D56"/>
    <w:rsid w:val="00365F25"/>
    <w:rsid w:val="003663EA"/>
    <w:rsid w:val="00370794"/>
    <w:rsid w:val="00370EE8"/>
    <w:rsid w:val="0037189A"/>
    <w:rsid w:val="003763A6"/>
    <w:rsid w:val="00377D66"/>
    <w:rsid w:val="0038036F"/>
    <w:rsid w:val="0038101D"/>
    <w:rsid w:val="00381B7F"/>
    <w:rsid w:val="00382639"/>
    <w:rsid w:val="003856B5"/>
    <w:rsid w:val="00393B5C"/>
    <w:rsid w:val="00395CD8"/>
    <w:rsid w:val="003A0B72"/>
    <w:rsid w:val="003A1123"/>
    <w:rsid w:val="003A2692"/>
    <w:rsid w:val="003B0940"/>
    <w:rsid w:val="003B1C70"/>
    <w:rsid w:val="003B1E88"/>
    <w:rsid w:val="003B2DE3"/>
    <w:rsid w:val="003B3889"/>
    <w:rsid w:val="003B461E"/>
    <w:rsid w:val="003B5DA3"/>
    <w:rsid w:val="003B6C95"/>
    <w:rsid w:val="003C2B04"/>
    <w:rsid w:val="003D21E3"/>
    <w:rsid w:val="003D395C"/>
    <w:rsid w:val="003D7E96"/>
    <w:rsid w:val="003E11A9"/>
    <w:rsid w:val="003E65E9"/>
    <w:rsid w:val="003F1F28"/>
    <w:rsid w:val="003F2C1F"/>
    <w:rsid w:val="003F33EA"/>
    <w:rsid w:val="003F44D1"/>
    <w:rsid w:val="003F5955"/>
    <w:rsid w:val="00401C1A"/>
    <w:rsid w:val="00401F06"/>
    <w:rsid w:val="004037CF"/>
    <w:rsid w:val="004063B5"/>
    <w:rsid w:val="00410E9F"/>
    <w:rsid w:val="004151D8"/>
    <w:rsid w:val="0041666B"/>
    <w:rsid w:val="00422B2B"/>
    <w:rsid w:val="00425CFF"/>
    <w:rsid w:val="00425E39"/>
    <w:rsid w:val="00426D04"/>
    <w:rsid w:val="00433EBE"/>
    <w:rsid w:val="00434764"/>
    <w:rsid w:val="00434A19"/>
    <w:rsid w:val="004351C7"/>
    <w:rsid w:val="00437C45"/>
    <w:rsid w:val="004401FC"/>
    <w:rsid w:val="00440A8D"/>
    <w:rsid w:val="00440F52"/>
    <w:rsid w:val="00442BE2"/>
    <w:rsid w:val="00442C20"/>
    <w:rsid w:val="004449C1"/>
    <w:rsid w:val="004455B9"/>
    <w:rsid w:val="004526E5"/>
    <w:rsid w:val="00462093"/>
    <w:rsid w:val="004650B8"/>
    <w:rsid w:val="00467167"/>
    <w:rsid w:val="00470B4C"/>
    <w:rsid w:val="004713AF"/>
    <w:rsid w:val="00473868"/>
    <w:rsid w:val="0047399C"/>
    <w:rsid w:val="00473E5B"/>
    <w:rsid w:val="0047670A"/>
    <w:rsid w:val="0047756C"/>
    <w:rsid w:val="00481BE7"/>
    <w:rsid w:val="004851CE"/>
    <w:rsid w:val="00485B80"/>
    <w:rsid w:val="00486DE8"/>
    <w:rsid w:val="00487DA9"/>
    <w:rsid w:val="00491D7D"/>
    <w:rsid w:val="00492BB5"/>
    <w:rsid w:val="004A0F25"/>
    <w:rsid w:val="004A0F89"/>
    <w:rsid w:val="004A16CF"/>
    <w:rsid w:val="004A28B5"/>
    <w:rsid w:val="004A3515"/>
    <w:rsid w:val="004A4585"/>
    <w:rsid w:val="004A5020"/>
    <w:rsid w:val="004A69C2"/>
    <w:rsid w:val="004B18ED"/>
    <w:rsid w:val="004B24AB"/>
    <w:rsid w:val="004B52D6"/>
    <w:rsid w:val="004B59F2"/>
    <w:rsid w:val="004B670E"/>
    <w:rsid w:val="004B7F05"/>
    <w:rsid w:val="004C5D1C"/>
    <w:rsid w:val="004C5EAF"/>
    <w:rsid w:val="004D060B"/>
    <w:rsid w:val="004D4079"/>
    <w:rsid w:val="004D505B"/>
    <w:rsid w:val="004D7228"/>
    <w:rsid w:val="004D7403"/>
    <w:rsid w:val="004E1072"/>
    <w:rsid w:val="004E42E8"/>
    <w:rsid w:val="004E45E0"/>
    <w:rsid w:val="004E4C75"/>
    <w:rsid w:val="004E6435"/>
    <w:rsid w:val="004F3C47"/>
    <w:rsid w:val="004F7A76"/>
    <w:rsid w:val="005006A9"/>
    <w:rsid w:val="00500EDF"/>
    <w:rsid w:val="00501539"/>
    <w:rsid w:val="00502FD0"/>
    <w:rsid w:val="0050396F"/>
    <w:rsid w:val="00503F7C"/>
    <w:rsid w:val="005041FA"/>
    <w:rsid w:val="0050510A"/>
    <w:rsid w:val="00505119"/>
    <w:rsid w:val="00506993"/>
    <w:rsid w:val="00510E71"/>
    <w:rsid w:val="0051221B"/>
    <w:rsid w:val="00513958"/>
    <w:rsid w:val="005139E3"/>
    <w:rsid w:val="00515E53"/>
    <w:rsid w:val="00516D7C"/>
    <w:rsid w:val="00517AB6"/>
    <w:rsid w:val="00520AB6"/>
    <w:rsid w:val="00520E3C"/>
    <w:rsid w:val="00521684"/>
    <w:rsid w:val="005218D4"/>
    <w:rsid w:val="00522240"/>
    <w:rsid w:val="00523408"/>
    <w:rsid w:val="005237C0"/>
    <w:rsid w:val="00523E9A"/>
    <w:rsid w:val="005245C9"/>
    <w:rsid w:val="005253FE"/>
    <w:rsid w:val="0052614F"/>
    <w:rsid w:val="005306FC"/>
    <w:rsid w:val="00532A07"/>
    <w:rsid w:val="005339C5"/>
    <w:rsid w:val="005352E2"/>
    <w:rsid w:val="005406BB"/>
    <w:rsid w:val="00543E6F"/>
    <w:rsid w:val="0054501F"/>
    <w:rsid w:val="00545AE6"/>
    <w:rsid w:val="00545E53"/>
    <w:rsid w:val="00546DF6"/>
    <w:rsid w:val="0054749E"/>
    <w:rsid w:val="005479B0"/>
    <w:rsid w:val="00547E98"/>
    <w:rsid w:val="00550187"/>
    <w:rsid w:val="005515F1"/>
    <w:rsid w:val="00554439"/>
    <w:rsid w:val="00560DB3"/>
    <w:rsid w:val="005625CC"/>
    <w:rsid w:val="005628BB"/>
    <w:rsid w:val="0056431A"/>
    <w:rsid w:val="00566BE9"/>
    <w:rsid w:val="00571998"/>
    <w:rsid w:val="00572158"/>
    <w:rsid w:val="00573D63"/>
    <w:rsid w:val="00580415"/>
    <w:rsid w:val="005806A2"/>
    <w:rsid w:val="00581340"/>
    <w:rsid w:val="00581E0F"/>
    <w:rsid w:val="00583C9D"/>
    <w:rsid w:val="00587E46"/>
    <w:rsid w:val="0059625F"/>
    <w:rsid w:val="0059693A"/>
    <w:rsid w:val="005A32CF"/>
    <w:rsid w:val="005A41FD"/>
    <w:rsid w:val="005B0BD4"/>
    <w:rsid w:val="005B4A0E"/>
    <w:rsid w:val="005B561E"/>
    <w:rsid w:val="005B670B"/>
    <w:rsid w:val="005B6ED2"/>
    <w:rsid w:val="005C2ADB"/>
    <w:rsid w:val="005D27B1"/>
    <w:rsid w:val="005D27F7"/>
    <w:rsid w:val="005D6441"/>
    <w:rsid w:val="005D6720"/>
    <w:rsid w:val="005E0283"/>
    <w:rsid w:val="005E0DEA"/>
    <w:rsid w:val="005E1B72"/>
    <w:rsid w:val="005E3677"/>
    <w:rsid w:val="005F1EEC"/>
    <w:rsid w:val="005F386B"/>
    <w:rsid w:val="005F478A"/>
    <w:rsid w:val="005F5E13"/>
    <w:rsid w:val="00601913"/>
    <w:rsid w:val="006022CF"/>
    <w:rsid w:val="006033B3"/>
    <w:rsid w:val="00604CF4"/>
    <w:rsid w:val="006079D1"/>
    <w:rsid w:val="00611E05"/>
    <w:rsid w:val="00612A62"/>
    <w:rsid w:val="00613A92"/>
    <w:rsid w:val="00613D0B"/>
    <w:rsid w:val="0061773E"/>
    <w:rsid w:val="006204F0"/>
    <w:rsid w:val="00621D1A"/>
    <w:rsid w:val="00623378"/>
    <w:rsid w:val="00626A02"/>
    <w:rsid w:val="00627F2A"/>
    <w:rsid w:val="00631A72"/>
    <w:rsid w:val="00631B53"/>
    <w:rsid w:val="006328E3"/>
    <w:rsid w:val="006342D8"/>
    <w:rsid w:val="00636DA5"/>
    <w:rsid w:val="0064691E"/>
    <w:rsid w:val="00650152"/>
    <w:rsid w:val="006507F5"/>
    <w:rsid w:val="006517F7"/>
    <w:rsid w:val="006518CC"/>
    <w:rsid w:val="00655E40"/>
    <w:rsid w:val="0066034A"/>
    <w:rsid w:val="00664A34"/>
    <w:rsid w:val="00665F0D"/>
    <w:rsid w:val="006676CF"/>
    <w:rsid w:val="006678A2"/>
    <w:rsid w:val="00671B1B"/>
    <w:rsid w:val="00674193"/>
    <w:rsid w:val="00677BFE"/>
    <w:rsid w:val="0068041C"/>
    <w:rsid w:val="006804CA"/>
    <w:rsid w:val="00680CE1"/>
    <w:rsid w:val="006816AE"/>
    <w:rsid w:val="00685887"/>
    <w:rsid w:val="006860FE"/>
    <w:rsid w:val="00686B81"/>
    <w:rsid w:val="00692B6C"/>
    <w:rsid w:val="006932EC"/>
    <w:rsid w:val="00693632"/>
    <w:rsid w:val="00694563"/>
    <w:rsid w:val="00694691"/>
    <w:rsid w:val="006A058D"/>
    <w:rsid w:val="006A101F"/>
    <w:rsid w:val="006A387A"/>
    <w:rsid w:val="006A40BF"/>
    <w:rsid w:val="006A6794"/>
    <w:rsid w:val="006A742C"/>
    <w:rsid w:val="006B0D04"/>
    <w:rsid w:val="006B18FF"/>
    <w:rsid w:val="006B442D"/>
    <w:rsid w:val="006B6E82"/>
    <w:rsid w:val="006B7444"/>
    <w:rsid w:val="006C2801"/>
    <w:rsid w:val="006D297A"/>
    <w:rsid w:val="006D2A6F"/>
    <w:rsid w:val="006D4DDD"/>
    <w:rsid w:val="006D5B33"/>
    <w:rsid w:val="006E0E84"/>
    <w:rsid w:val="006E1AF5"/>
    <w:rsid w:val="006E2445"/>
    <w:rsid w:val="006E79CB"/>
    <w:rsid w:val="006E7ED0"/>
    <w:rsid w:val="006F1B07"/>
    <w:rsid w:val="006F3278"/>
    <w:rsid w:val="006F39F3"/>
    <w:rsid w:val="006F6893"/>
    <w:rsid w:val="006F6F48"/>
    <w:rsid w:val="006F7D95"/>
    <w:rsid w:val="0070213B"/>
    <w:rsid w:val="007051E9"/>
    <w:rsid w:val="007077A0"/>
    <w:rsid w:val="0071354C"/>
    <w:rsid w:val="00716360"/>
    <w:rsid w:val="0071651F"/>
    <w:rsid w:val="00716A4D"/>
    <w:rsid w:val="00716D41"/>
    <w:rsid w:val="00720BB3"/>
    <w:rsid w:val="0072233A"/>
    <w:rsid w:val="00722453"/>
    <w:rsid w:val="00724EF3"/>
    <w:rsid w:val="00725360"/>
    <w:rsid w:val="007272E4"/>
    <w:rsid w:val="00735480"/>
    <w:rsid w:val="00736364"/>
    <w:rsid w:val="007401B5"/>
    <w:rsid w:val="0074076E"/>
    <w:rsid w:val="007422D0"/>
    <w:rsid w:val="007425A1"/>
    <w:rsid w:val="00742EB0"/>
    <w:rsid w:val="007440DA"/>
    <w:rsid w:val="007473BB"/>
    <w:rsid w:val="0075103C"/>
    <w:rsid w:val="0075112A"/>
    <w:rsid w:val="00751877"/>
    <w:rsid w:val="00751D95"/>
    <w:rsid w:val="007528C6"/>
    <w:rsid w:val="0075373F"/>
    <w:rsid w:val="00756182"/>
    <w:rsid w:val="00757B8E"/>
    <w:rsid w:val="007617B1"/>
    <w:rsid w:val="007666BF"/>
    <w:rsid w:val="007676BD"/>
    <w:rsid w:val="00770A79"/>
    <w:rsid w:val="00777389"/>
    <w:rsid w:val="00777CB4"/>
    <w:rsid w:val="00787994"/>
    <w:rsid w:val="00790765"/>
    <w:rsid w:val="00790B10"/>
    <w:rsid w:val="00791597"/>
    <w:rsid w:val="0079731C"/>
    <w:rsid w:val="00797359"/>
    <w:rsid w:val="00797E7A"/>
    <w:rsid w:val="007A5054"/>
    <w:rsid w:val="007A635D"/>
    <w:rsid w:val="007A6553"/>
    <w:rsid w:val="007A7B51"/>
    <w:rsid w:val="007B0DE9"/>
    <w:rsid w:val="007B1B5B"/>
    <w:rsid w:val="007B1E30"/>
    <w:rsid w:val="007B26D6"/>
    <w:rsid w:val="007B395B"/>
    <w:rsid w:val="007B5D30"/>
    <w:rsid w:val="007B6D06"/>
    <w:rsid w:val="007C6F63"/>
    <w:rsid w:val="007C706E"/>
    <w:rsid w:val="007C744F"/>
    <w:rsid w:val="007D0021"/>
    <w:rsid w:val="007D134F"/>
    <w:rsid w:val="007D32FF"/>
    <w:rsid w:val="007D34CF"/>
    <w:rsid w:val="007D4582"/>
    <w:rsid w:val="007E027E"/>
    <w:rsid w:val="007E1E61"/>
    <w:rsid w:val="007E458B"/>
    <w:rsid w:val="007E460F"/>
    <w:rsid w:val="007E4925"/>
    <w:rsid w:val="007E5F2B"/>
    <w:rsid w:val="007E66C2"/>
    <w:rsid w:val="007F303C"/>
    <w:rsid w:val="007F40D3"/>
    <w:rsid w:val="007F45AB"/>
    <w:rsid w:val="007F69AF"/>
    <w:rsid w:val="007F77BC"/>
    <w:rsid w:val="00800C15"/>
    <w:rsid w:val="00800F38"/>
    <w:rsid w:val="00802F7B"/>
    <w:rsid w:val="0080320A"/>
    <w:rsid w:val="00810E9B"/>
    <w:rsid w:val="00811A02"/>
    <w:rsid w:val="0081515F"/>
    <w:rsid w:val="00817C2F"/>
    <w:rsid w:val="00817FC4"/>
    <w:rsid w:val="00820EEF"/>
    <w:rsid w:val="008253B6"/>
    <w:rsid w:val="0082746A"/>
    <w:rsid w:val="00827E2F"/>
    <w:rsid w:val="0083071E"/>
    <w:rsid w:val="00830EAB"/>
    <w:rsid w:val="00831B4D"/>
    <w:rsid w:val="00832A98"/>
    <w:rsid w:val="00833A48"/>
    <w:rsid w:val="00841323"/>
    <w:rsid w:val="00842D2B"/>
    <w:rsid w:val="00842E7C"/>
    <w:rsid w:val="00851F7D"/>
    <w:rsid w:val="00855811"/>
    <w:rsid w:val="00856B6A"/>
    <w:rsid w:val="008571F2"/>
    <w:rsid w:val="008572A8"/>
    <w:rsid w:val="00857447"/>
    <w:rsid w:val="00860592"/>
    <w:rsid w:val="00862E72"/>
    <w:rsid w:val="00863024"/>
    <w:rsid w:val="00863976"/>
    <w:rsid w:val="008647C8"/>
    <w:rsid w:val="0086517C"/>
    <w:rsid w:val="008664D6"/>
    <w:rsid w:val="00870C56"/>
    <w:rsid w:val="00873A53"/>
    <w:rsid w:val="00873C56"/>
    <w:rsid w:val="008747C7"/>
    <w:rsid w:val="00877C21"/>
    <w:rsid w:val="008821E3"/>
    <w:rsid w:val="00885481"/>
    <w:rsid w:val="008865B0"/>
    <w:rsid w:val="00891686"/>
    <w:rsid w:val="008943CC"/>
    <w:rsid w:val="0089575D"/>
    <w:rsid w:val="008A22C3"/>
    <w:rsid w:val="008B0CD1"/>
    <w:rsid w:val="008B1427"/>
    <w:rsid w:val="008B3707"/>
    <w:rsid w:val="008B7892"/>
    <w:rsid w:val="008C3247"/>
    <w:rsid w:val="008C71D8"/>
    <w:rsid w:val="008D120C"/>
    <w:rsid w:val="008D3EB3"/>
    <w:rsid w:val="008D5170"/>
    <w:rsid w:val="008D523C"/>
    <w:rsid w:val="008D5EA6"/>
    <w:rsid w:val="008D6DA4"/>
    <w:rsid w:val="008D7DC5"/>
    <w:rsid w:val="008E3E9A"/>
    <w:rsid w:val="008E6A0C"/>
    <w:rsid w:val="008E7207"/>
    <w:rsid w:val="008E7343"/>
    <w:rsid w:val="008F5580"/>
    <w:rsid w:val="008F5D94"/>
    <w:rsid w:val="008F658F"/>
    <w:rsid w:val="0090010C"/>
    <w:rsid w:val="00900507"/>
    <w:rsid w:val="009027EC"/>
    <w:rsid w:val="00904907"/>
    <w:rsid w:val="00907D9D"/>
    <w:rsid w:val="009106B7"/>
    <w:rsid w:val="00912751"/>
    <w:rsid w:val="00921A47"/>
    <w:rsid w:val="00921C57"/>
    <w:rsid w:val="009245A1"/>
    <w:rsid w:val="00924BF7"/>
    <w:rsid w:val="00924F44"/>
    <w:rsid w:val="00926FBB"/>
    <w:rsid w:val="00927874"/>
    <w:rsid w:val="00930C74"/>
    <w:rsid w:val="00932F1B"/>
    <w:rsid w:val="00935E3B"/>
    <w:rsid w:val="009379B1"/>
    <w:rsid w:val="00945686"/>
    <w:rsid w:val="0094630A"/>
    <w:rsid w:val="009467CE"/>
    <w:rsid w:val="00951E6B"/>
    <w:rsid w:val="00954CF3"/>
    <w:rsid w:val="00955F4F"/>
    <w:rsid w:val="009561D9"/>
    <w:rsid w:val="00962AEE"/>
    <w:rsid w:val="00965D23"/>
    <w:rsid w:val="0096770E"/>
    <w:rsid w:val="00976A1C"/>
    <w:rsid w:val="00981555"/>
    <w:rsid w:val="009832E1"/>
    <w:rsid w:val="0098341A"/>
    <w:rsid w:val="00985FEE"/>
    <w:rsid w:val="009903CA"/>
    <w:rsid w:val="00993DFE"/>
    <w:rsid w:val="00995929"/>
    <w:rsid w:val="009976C4"/>
    <w:rsid w:val="009A2DCB"/>
    <w:rsid w:val="009A3003"/>
    <w:rsid w:val="009A53EB"/>
    <w:rsid w:val="009B07EF"/>
    <w:rsid w:val="009B16AF"/>
    <w:rsid w:val="009B2F0F"/>
    <w:rsid w:val="009C03D2"/>
    <w:rsid w:val="009C20B8"/>
    <w:rsid w:val="009C2B34"/>
    <w:rsid w:val="009C7BAC"/>
    <w:rsid w:val="009D0955"/>
    <w:rsid w:val="009D0AF6"/>
    <w:rsid w:val="009D18C1"/>
    <w:rsid w:val="009D35BB"/>
    <w:rsid w:val="009D44C0"/>
    <w:rsid w:val="009D4D31"/>
    <w:rsid w:val="009E3820"/>
    <w:rsid w:val="009E4843"/>
    <w:rsid w:val="009E65EA"/>
    <w:rsid w:val="009E7DC2"/>
    <w:rsid w:val="009F330D"/>
    <w:rsid w:val="009F58F0"/>
    <w:rsid w:val="009F6FC2"/>
    <w:rsid w:val="00A02FA6"/>
    <w:rsid w:val="00A037A3"/>
    <w:rsid w:val="00A0388D"/>
    <w:rsid w:val="00A053AB"/>
    <w:rsid w:val="00A07D33"/>
    <w:rsid w:val="00A12AE9"/>
    <w:rsid w:val="00A15259"/>
    <w:rsid w:val="00A16B22"/>
    <w:rsid w:val="00A17146"/>
    <w:rsid w:val="00A1788A"/>
    <w:rsid w:val="00A20319"/>
    <w:rsid w:val="00A21AFF"/>
    <w:rsid w:val="00A22E92"/>
    <w:rsid w:val="00A27A0A"/>
    <w:rsid w:val="00A3138C"/>
    <w:rsid w:val="00A316F0"/>
    <w:rsid w:val="00A344AD"/>
    <w:rsid w:val="00A37647"/>
    <w:rsid w:val="00A37714"/>
    <w:rsid w:val="00A37F0A"/>
    <w:rsid w:val="00A400EE"/>
    <w:rsid w:val="00A45152"/>
    <w:rsid w:val="00A4743A"/>
    <w:rsid w:val="00A50597"/>
    <w:rsid w:val="00A5200A"/>
    <w:rsid w:val="00A525FF"/>
    <w:rsid w:val="00A537B6"/>
    <w:rsid w:val="00A53BE8"/>
    <w:rsid w:val="00A561C2"/>
    <w:rsid w:val="00A60F84"/>
    <w:rsid w:val="00A65ED3"/>
    <w:rsid w:val="00A70D1A"/>
    <w:rsid w:val="00A7163D"/>
    <w:rsid w:val="00A73F17"/>
    <w:rsid w:val="00A747A0"/>
    <w:rsid w:val="00A75D44"/>
    <w:rsid w:val="00A77EE4"/>
    <w:rsid w:val="00A837A5"/>
    <w:rsid w:val="00A83CFA"/>
    <w:rsid w:val="00A8422C"/>
    <w:rsid w:val="00A8470D"/>
    <w:rsid w:val="00A84A9B"/>
    <w:rsid w:val="00A84DD6"/>
    <w:rsid w:val="00A8742A"/>
    <w:rsid w:val="00A90152"/>
    <w:rsid w:val="00A923B6"/>
    <w:rsid w:val="00A9369A"/>
    <w:rsid w:val="00A940BB"/>
    <w:rsid w:val="00A97D04"/>
    <w:rsid w:val="00AA30C2"/>
    <w:rsid w:val="00AA4ADA"/>
    <w:rsid w:val="00AA56E5"/>
    <w:rsid w:val="00AA5792"/>
    <w:rsid w:val="00AB02A4"/>
    <w:rsid w:val="00AB1E85"/>
    <w:rsid w:val="00AB2113"/>
    <w:rsid w:val="00AB267A"/>
    <w:rsid w:val="00AB777A"/>
    <w:rsid w:val="00AC0128"/>
    <w:rsid w:val="00AC1CA6"/>
    <w:rsid w:val="00AC1FC5"/>
    <w:rsid w:val="00AC219F"/>
    <w:rsid w:val="00AC2DE1"/>
    <w:rsid w:val="00AC2F2A"/>
    <w:rsid w:val="00AC3F6C"/>
    <w:rsid w:val="00AC6CDF"/>
    <w:rsid w:val="00AD2A08"/>
    <w:rsid w:val="00AD51D3"/>
    <w:rsid w:val="00AD736E"/>
    <w:rsid w:val="00AE2326"/>
    <w:rsid w:val="00AE2ACC"/>
    <w:rsid w:val="00AE2BF3"/>
    <w:rsid w:val="00AE3482"/>
    <w:rsid w:val="00AE56EF"/>
    <w:rsid w:val="00AE7162"/>
    <w:rsid w:val="00AE7422"/>
    <w:rsid w:val="00AF18E9"/>
    <w:rsid w:val="00AF2A5E"/>
    <w:rsid w:val="00AF4C98"/>
    <w:rsid w:val="00B03405"/>
    <w:rsid w:val="00B040D7"/>
    <w:rsid w:val="00B04CCC"/>
    <w:rsid w:val="00B07592"/>
    <w:rsid w:val="00B12F9F"/>
    <w:rsid w:val="00B147B3"/>
    <w:rsid w:val="00B2144A"/>
    <w:rsid w:val="00B24C4A"/>
    <w:rsid w:val="00B30A6F"/>
    <w:rsid w:val="00B31C9A"/>
    <w:rsid w:val="00B36A91"/>
    <w:rsid w:val="00B51C7F"/>
    <w:rsid w:val="00B54A56"/>
    <w:rsid w:val="00B54EA1"/>
    <w:rsid w:val="00B551DA"/>
    <w:rsid w:val="00B5693A"/>
    <w:rsid w:val="00B56D3A"/>
    <w:rsid w:val="00B56ED0"/>
    <w:rsid w:val="00B61798"/>
    <w:rsid w:val="00B6626C"/>
    <w:rsid w:val="00B669D9"/>
    <w:rsid w:val="00B67532"/>
    <w:rsid w:val="00B678C5"/>
    <w:rsid w:val="00B70B5C"/>
    <w:rsid w:val="00B70DA7"/>
    <w:rsid w:val="00B713EF"/>
    <w:rsid w:val="00B716C8"/>
    <w:rsid w:val="00B719D1"/>
    <w:rsid w:val="00B72647"/>
    <w:rsid w:val="00B72A92"/>
    <w:rsid w:val="00B72CAB"/>
    <w:rsid w:val="00B73039"/>
    <w:rsid w:val="00B7330B"/>
    <w:rsid w:val="00B73AFE"/>
    <w:rsid w:val="00B75217"/>
    <w:rsid w:val="00B756A4"/>
    <w:rsid w:val="00B80523"/>
    <w:rsid w:val="00B817BB"/>
    <w:rsid w:val="00B824E6"/>
    <w:rsid w:val="00B83286"/>
    <w:rsid w:val="00B83BFB"/>
    <w:rsid w:val="00B8489C"/>
    <w:rsid w:val="00B9039C"/>
    <w:rsid w:val="00B92356"/>
    <w:rsid w:val="00B96C06"/>
    <w:rsid w:val="00B977E0"/>
    <w:rsid w:val="00B97886"/>
    <w:rsid w:val="00BA1D10"/>
    <w:rsid w:val="00BA2498"/>
    <w:rsid w:val="00BA4E13"/>
    <w:rsid w:val="00BA55A6"/>
    <w:rsid w:val="00BA5C10"/>
    <w:rsid w:val="00BA5FBF"/>
    <w:rsid w:val="00BA78D4"/>
    <w:rsid w:val="00BB18D9"/>
    <w:rsid w:val="00BB1993"/>
    <w:rsid w:val="00BB3DC9"/>
    <w:rsid w:val="00BB413F"/>
    <w:rsid w:val="00BB5CEE"/>
    <w:rsid w:val="00BB7181"/>
    <w:rsid w:val="00BB7199"/>
    <w:rsid w:val="00BC17D9"/>
    <w:rsid w:val="00BC303A"/>
    <w:rsid w:val="00BC5BDC"/>
    <w:rsid w:val="00BC7BED"/>
    <w:rsid w:val="00BD30C4"/>
    <w:rsid w:val="00BD3F31"/>
    <w:rsid w:val="00BD5131"/>
    <w:rsid w:val="00BD7655"/>
    <w:rsid w:val="00BE410D"/>
    <w:rsid w:val="00BE68BE"/>
    <w:rsid w:val="00BE6F10"/>
    <w:rsid w:val="00BE7ABA"/>
    <w:rsid w:val="00BF0AC0"/>
    <w:rsid w:val="00BF250B"/>
    <w:rsid w:val="00BF32A2"/>
    <w:rsid w:val="00BF4288"/>
    <w:rsid w:val="00BF4315"/>
    <w:rsid w:val="00BF64F8"/>
    <w:rsid w:val="00BF726E"/>
    <w:rsid w:val="00BF770E"/>
    <w:rsid w:val="00C0313B"/>
    <w:rsid w:val="00C040B8"/>
    <w:rsid w:val="00C07C11"/>
    <w:rsid w:val="00C10055"/>
    <w:rsid w:val="00C114B2"/>
    <w:rsid w:val="00C1173C"/>
    <w:rsid w:val="00C15F5A"/>
    <w:rsid w:val="00C164C8"/>
    <w:rsid w:val="00C2105F"/>
    <w:rsid w:val="00C21B40"/>
    <w:rsid w:val="00C2264C"/>
    <w:rsid w:val="00C23516"/>
    <w:rsid w:val="00C3227E"/>
    <w:rsid w:val="00C327FB"/>
    <w:rsid w:val="00C346E4"/>
    <w:rsid w:val="00C42A6E"/>
    <w:rsid w:val="00C4725C"/>
    <w:rsid w:val="00C47B36"/>
    <w:rsid w:val="00C5082E"/>
    <w:rsid w:val="00C53C95"/>
    <w:rsid w:val="00C611E1"/>
    <w:rsid w:val="00C62406"/>
    <w:rsid w:val="00C63129"/>
    <w:rsid w:val="00C63665"/>
    <w:rsid w:val="00C65FEF"/>
    <w:rsid w:val="00C66867"/>
    <w:rsid w:val="00C7005B"/>
    <w:rsid w:val="00C751D3"/>
    <w:rsid w:val="00C849B0"/>
    <w:rsid w:val="00C85E4B"/>
    <w:rsid w:val="00C8667E"/>
    <w:rsid w:val="00C876B2"/>
    <w:rsid w:val="00C92905"/>
    <w:rsid w:val="00C93859"/>
    <w:rsid w:val="00C946CF"/>
    <w:rsid w:val="00C9496E"/>
    <w:rsid w:val="00C95862"/>
    <w:rsid w:val="00C97817"/>
    <w:rsid w:val="00CA0764"/>
    <w:rsid w:val="00CA09F1"/>
    <w:rsid w:val="00CA1B6F"/>
    <w:rsid w:val="00CA69D6"/>
    <w:rsid w:val="00CA6D2C"/>
    <w:rsid w:val="00CA7C09"/>
    <w:rsid w:val="00CB24F6"/>
    <w:rsid w:val="00CB3F02"/>
    <w:rsid w:val="00CB598B"/>
    <w:rsid w:val="00CC070C"/>
    <w:rsid w:val="00CC19A3"/>
    <w:rsid w:val="00CC22C6"/>
    <w:rsid w:val="00CC3103"/>
    <w:rsid w:val="00CC3DFA"/>
    <w:rsid w:val="00CC6524"/>
    <w:rsid w:val="00CC783F"/>
    <w:rsid w:val="00CD3B6D"/>
    <w:rsid w:val="00CD4963"/>
    <w:rsid w:val="00CD54D3"/>
    <w:rsid w:val="00CE08AA"/>
    <w:rsid w:val="00CE2123"/>
    <w:rsid w:val="00CE7E8C"/>
    <w:rsid w:val="00CF07C6"/>
    <w:rsid w:val="00CF4EBA"/>
    <w:rsid w:val="00CF5215"/>
    <w:rsid w:val="00CF5B56"/>
    <w:rsid w:val="00CF5D39"/>
    <w:rsid w:val="00D0183A"/>
    <w:rsid w:val="00D022EC"/>
    <w:rsid w:val="00D02FD8"/>
    <w:rsid w:val="00D05772"/>
    <w:rsid w:val="00D05E74"/>
    <w:rsid w:val="00D06F1E"/>
    <w:rsid w:val="00D1051C"/>
    <w:rsid w:val="00D134BA"/>
    <w:rsid w:val="00D1424D"/>
    <w:rsid w:val="00D15B53"/>
    <w:rsid w:val="00D15C3C"/>
    <w:rsid w:val="00D170E4"/>
    <w:rsid w:val="00D172FD"/>
    <w:rsid w:val="00D20995"/>
    <w:rsid w:val="00D218CF"/>
    <w:rsid w:val="00D222FD"/>
    <w:rsid w:val="00D2478C"/>
    <w:rsid w:val="00D256B4"/>
    <w:rsid w:val="00D267AE"/>
    <w:rsid w:val="00D26DAD"/>
    <w:rsid w:val="00D2758A"/>
    <w:rsid w:val="00D322A1"/>
    <w:rsid w:val="00D34279"/>
    <w:rsid w:val="00D3650C"/>
    <w:rsid w:val="00D4101A"/>
    <w:rsid w:val="00D41FCB"/>
    <w:rsid w:val="00D428D5"/>
    <w:rsid w:val="00D43733"/>
    <w:rsid w:val="00D43E7C"/>
    <w:rsid w:val="00D5186C"/>
    <w:rsid w:val="00D52DCD"/>
    <w:rsid w:val="00D53A0A"/>
    <w:rsid w:val="00D53D08"/>
    <w:rsid w:val="00D54F0A"/>
    <w:rsid w:val="00D55D68"/>
    <w:rsid w:val="00D56868"/>
    <w:rsid w:val="00D61FFB"/>
    <w:rsid w:val="00D63D2A"/>
    <w:rsid w:val="00D64366"/>
    <w:rsid w:val="00D70128"/>
    <w:rsid w:val="00D76A93"/>
    <w:rsid w:val="00D821F0"/>
    <w:rsid w:val="00D84890"/>
    <w:rsid w:val="00D87371"/>
    <w:rsid w:val="00D91139"/>
    <w:rsid w:val="00D96119"/>
    <w:rsid w:val="00DA4123"/>
    <w:rsid w:val="00DA77AA"/>
    <w:rsid w:val="00DA7ABB"/>
    <w:rsid w:val="00DB0135"/>
    <w:rsid w:val="00DB061C"/>
    <w:rsid w:val="00DB5AD2"/>
    <w:rsid w:val="00DB7258"/>
    <w:rsid w:val="00DB7A6C"/>
    <w:rsid w:val="00DC230B"/>
    <w:rsid w:val="00DC31BA"/>
    <w:rsid w:val="00DC3875"/>
    <w:rsid w:val="00DC4F16"/>
    <w:rsid w:val="00DC51BD"/>
    <w:rsid w:val="00DC5380"/>
    <w:rsid w:val="00DD0217"/>
    <w:rsid w:val="00DD1420"/>
    <w:rsid w:val="00DD1B89"/>
    <w:rsid w:val="00DD2233"/>
    <w:rsid w:val="00DD6E92"/>
    <w:rsid w:val="00DD7632"/>
    <w:rsid w:val="00DD7B2F"/>
    <w:rsid w:val="00DE275D"/>
    <w:rsid w:val="00DE503E"/>
    <w:rsid w:val="00DE55A3"/>
    <w:rsid w:val="00DE5942"/>
    <w:rsid w:val="00DE6C7C"/>
    <w:rsid w:val="00DF14D1"/>
    <w:rsid w:val="00DF18F5"/>
    <w:rsid w:val="00DF1F00"/>
    <w:rsid w:val="00DF32B8"/>
    <w:rsid w:val="00DF4A4C"/>
    <w:rsid w:val="00DF5F39"/>
    <w:rsid w:val="00DF7FAA"/>
    <w:rsid w:val="00E02FF6"/>
    <w:rsid w:val="00E046FC"/>
    <w:rsid w:val="00E05162"/>
    <w:rsid w:val="00E0618B"/>
    <w:rsid w:val="00E06B9A"/>
    <w:rsid w:val="00E07CA5"/>
    <w:rsid w:val="00E14011"/>
    <w:rsid w:val="00E1545D"/>
    <w:rsid w:val="00E156AC"/>
    <w:rsid w:val="00E17FAC"/>
    <w:rsid w:val="00E214EB"/>
    <w:rsid w:val="00E21572"/>
    <w:rsid w:val="00E231F8"/>
    <w:rsid w:val="00E24DC4"/>
    <w:rsid w:val="00E253C3"/>
    <w:rsid w:val="00E27E1B"/>
    <w:rsid w:val="00E30722"/>
    <w:rsid w:val="00E31900"/>
    <w:rsid w:val="00E37292"/>
    <w:rsid w:val="00E4045B"/>
    <w:rsid w:val="00E41988"/>
    <w:rsid w:val="00E43300"/>
    <w:rsid w:val="00E4447E"/>
    <w:rsid w:val="00E44DC6"/>
    <w:rsid w:val="00E46528"/>
    <w:rsid w:val="00E4740C"/>
    <w:rsid w:val="00E50CE1"/>
    <w:rsid w:val="00E51B0C"/>
    <w:rsid w:val="00E52C83"/>
    <w:rsid w:val="00E54EF0"/>
    <w:rsid w:val="00E5570C"/>
    <w:rsid w:val="00E64503"/>
    <w:rsid w:val="00E65F7A"/>
    <w:rsid w:val="00E6731D"/>
    <w:rsid w:val="00E70B91"/>
    <w:rsid w:val="00E726FC"/>
    <w:rsid w:val="00E75CA8"/>
    <w:rsid w:val="00E82DA8"/>
    <w:rsid w:val="00E85AE9"/>
    <w:rsid w:val="00E85B16"/>
    <w:rsid w:val="00E85EC4"/>
    <w:rsid w:val="00E87A47"/>
    <w:rsid w:val="00E903B9"/>
    <w:rsid w:val="00E90EB7"/>
    <w:rsid w:val="00E91654"/>
    <w:rsid w:val="00E939DE"/>
    <w:rsid w:val="00EA61AF"/>
    <w:rsid w:val="00EB120D"/>
    <w:rsid w:val="00EB1467"/>
    <w:rsid w:val="00EB1FA1"/>
    <w:rsid w:val="00EC19C1"/>
    <w:rsid w:val="00EC1C52"/>
    <w:rsid w:val="00EC404B"/>
    <w:rsid w:val="00EC6E9B"/>
    <w:rsid w:val="00EC7604"/>
    <w:rsid w:val="00ED0555"/>
    <w:rsid w:val="00ED12B1"/>
    <w:rsid w:val="00ED3131"/>
    <w:rsid w:val="00ED583A"/>
    <w:rsid w:val="00ED5E31"/>
    <w:rsid w:val="00ED6544"/>
    <w:rsid w:val="00EE022F"/>
    <w:rsid w:val="00EE1A23"/>
    <w:rsid w:val="00EE2720"/>
    <w:rsid w:val="00EE327F"/>
    <w:rsid w:val="00EE353C"/>
    <w:rsid w:val="00EE5EDA"/>
    <w:rsid w:val="00EE6FE1"/>
    <w:rsid w:val="00EF0B54"/>
    <w:rsid w:val="00EF1C92"/>
    <w:rsid w:val="00EF5DE2"/>
    <w:rsid w:val="00EF7E88"/>
    <w:rsid w:val="00F0002A"/>
    <w:rsid w:val="00F01538"/>
    <w:rsid w:val="00F017EB"/>
    <w:rsid w:val="00F01A2B"/>
    <w:rsid w:val="00F02F6E"/>
    <w:rsid w:val="00F03DAF"/>
    <w:rsid w:val="00F05B44"/>
    <w:rsid w:val="00F14513"/>
    <w:rsid w:val="00F15CDF"/>
    <w:rsid w:val="00F16A4F"/>
    <w:rsid w:val="00F206B3"/>
    <w:rsid w:val="00F2342F"/>
    <w:rsid w:val="00F242D3"/>
    <w:rsid w:val="00F24CCA"/>
    <w:rsid w:val="00F254EE"/>
    <w:rsid w:val="00F25FD8"/>
    <w:rsid w:val="00F32AB2"/>
    <w:rsid w:val="00F32F99"/>
    <w:rsid w:val="00F33ED2"/>
    <w:rsid w:val="00F34B4D"/>
    <w:rsid w:val="00F34D3B"/>
    <w:rsid w:val="00F35D06"/>
    <w:rsid w:val="00F363D6"/>
    <w:rsid w:val="00F36B1A"/>
    <w:rsid w:val="00F43692"/>
    <w:rsid w:val="00F446B8"/>
    <w:rsid w:val="00F45FA2"/>
    <w:rsid w:val="00F47955"/>
    <w:rsid w:val="00F53AAA"/>
    <w:rsid w:val="00F55BA3"/>
    <w:rsid w:val="00F55C63"/>
    <w:rsid w:val="00F56445"/>
    <w:rsid w:val="00F60205"/>
    <w:rsid w:val="00F63073"/>
    <w:rsid w:val="00F653A7"/>
    <w:rsid w:val="00F666EE"/>
    <w:rsid w:val="00F67A4C"/>
    <w:rsid w:val="00F67B9A"/>
    <w:rsid w:val="00F709AC"/>
    <w:rsid w:val="00F7734D"/>
    <w:rsid w:val="00F773E1"/>
    <w:rsid w:val="00F777B3"/>
    <w:rsid w:val="00F83761"/>
    <w:rsid w:val="00F84981"/>
    <w:rsid w:val="00F85748"/>
    <w:rsid w:val="00F85789"/>
    <w:rsid w:val="00F875F9"/>
    <w:rsid w:val="00F87CB4"/>
    <w:rsid w:val="00F90A0A"/>
    <w:rsid w:val="00F91CE2"/>
    <w:rsid w:val="00F92B1A"/>
    <w:rsid w:val="00F93923"/>
    <w:rsid w:val="00F96269"/>
    <w:rsid w:val="00FA08FF"/>
    <w:rsid w:val="00FA0AAC"/>
    <w:rsid w:val="00FA3A77"/>
    <w:rsid w:val="00FA4B8E"/>
    <w:rsid w:val="00FA4E8E"/>
    <w:rsid w:val="00FA5984"/>
    <w:rsid w:val="00FA660E"/>
    <w:rsid w:val="00FA7906"/>
    <w:rsid w:val="00FA7C03"/>
    <w:rsid w:val="00FB0774"/>
    <w:rsid w:val="00FB0A7C"/>
    <w:rsid w:val="00FB22B5"/>
    <w:rsid w:val="00FB36CA"/>
    <w:rsid w:val="00FB37A8"/>
    <w:rsid w:val="00FB4346"/>
    <w:rsid w:val="00FB67F5"/>
    <w:rsid w:val="00FB7B83"/>
    <w:rsid w:val="00FC1AD1"/>
    <w:rsid w:val="00FC204F"/>
    <w:rsid w:val="00FC2D5A"/>
    <w:rsid w:val="00FC5DC1"/>
    <w:rsid w:val="00FC6592"/>
    <w:rsid w:val="00FD0D8D"/>
    <w:rsid w:val="00FD267C"/>
    <w:rsid w:val="00FD3172"/>
    <w:rsid w:val="00FD4500"/>
    <w:rsid w:val="00FE6F76"/>
    <w:rsid w:val="00FF0D48"/>
    <w:rsid w:val="00FF1879"/>
    <w:rsid w:val="00FF24BB"/>
    <w:rsid w:val="00FF418A"/>
    <w:rsid w:val="00FF4DFD"/>
    <w:rsid w:val="00FF6BED"/>
    <w:rsid w:val="011B0B3E"/>
    <w:rsid w:val="02274A75"/>
    <w:rsid w:val="033E13F6"/>
    <w:rsid w:val="03506DE9"/>
    <w:rsid w:val="03A73E37"/>
    <w:rsid w:val="045C30BE"/>
    <w:rsid w:val="04B9111C"/>
    <w:rsid w:val="04BE0636"/>
    <w:rsid w:val="0A587F35"/>
    <w:rsid w:val="0A6615DD"/>
    <w:rsid w:val="0AA200D9"/>
    <w:rsid w:val="0B2A5DBA"/>
    <w:rsid w:val="0BC118C7"/>
    <w:rsid w:val="0BF32F26"/>
    <w:rsid w:val="0F646CD4"/>
    <w:rsid w:val="0FB70159"/>
    <w:rsid w:val="10566AA0"/>
    <w:rsid w:val="10A626E3"/>
    <w:rsid w:val="11326C5D"/>
    <w:rsid w:val="12CE7EAD"/>
    <w:rsid w:val="13413CC1"/>
    <w:rsid w:val="13B760CB"/>
    <w:rsid w:val="158D2F47"/>
    <w:rsid w:val="159A3E84"/>
    <w:rsid w:val="161329A3"/>
    <w:rsid w:val="164E2B47"/>
    <w:rsid w:val="169F1276"/>
    <w:rsid w:val="16CE2E57"/>
    <w:rsid w:val="19706179"/>
    <w:rsid w:val="1A59379F"/>
    <w:rsid w:val="1CA9271C"/>
    <w:rsid w:val="1CCC65C3"/>
    <w:rsid w:val="1D16109E"/>
    <w:rsid w:val="1E5E3285"/>
    <w:rsid w:val="1EFA7AD4"/>
    <w:rsid w:val="1F164383"/>
    <w:rsid w:val="1F8C008B"/>
    <w:rsid w:val="21DC3EB5"/>
    <w:rsid w:val="21F551BE"/>
    <w:rsid w:val="22A30C5C"/>
    <w:rsid w:val="22B10E4A"/>
    <w:rsid w:val="22EF7B02"/>
    <w:rsid w:val="232E322B"/>
    <w:rsid w:val="257A11EB"/>
    <w:rsid w:val="262B76B2"/>
    <w:rsid w:val="274A1985"/>
    <w:rsid w:val="277877D8"/>
    <w:rsid w:val="28AA523C"/>
    <w:rsid w:val="2D55735D"/>
    <w:rsid w:val="2F1A4BA5"/>
    <w:rsid w:val="300726A6"/>
    <w:rsid w:val="30486A45"/>
    <w:rsid w:val="30F750F1"/>
    <w:rsid w:val="33647368"/>
    <w:rsid w:val="33813B45"/>
    <w:rsid w:val="34F50400"/>
    <w:rsid w:val="34F97994"/>
    <w:rsid w:val="35805BB8"/>
    <w:rsid w:val="36E47B9D"/>
    <w:rsid w:val="38D52BF7"/>
    <w:rsid w:val="39EC5C57"/>
    <w:rsid w:val="3A375E14"/>
    <w:rsid w:val="3A476BB9"/>
    <w:rsid w:val="3A7B11C2"/>
    <w:rsid w:val="3ADE63E1"/>
    <w:rsid w:val="3B991C34"/>
    <w:rsid w:val="3B9B464F"/>
    <w:rsid w:val="3C000D95"/>
    <w:rsid w:val="3D4B6B3D"/>
    <w:rsid w:val="3E8A42E6"/>
    <w:rsid w:val="41630B97"/>
    <w:rsid w:val="41835478"/>
    <w:rsid w:val="41BA41E1"/>
    <w:rsid w:val="421E68E9"/>
    <w:rsid w:val="42F61601"/>
    <w:rsid w:val="43523B6F"/>
    <w:rsid w:val="43F11C1C"/>
    <w:rsid w:val="4448317C"/>
    <w:rsid w:val="45D325B3"/>
    <w:rsid w:val="46400D88"/>
    <w:rsid w:val="471E610A"/>
    <w:rsid w:val="485D4FC6"/>
    <w:rsid w:val="48FB6052"/>
    <w:rsid w:val="4951213E"/>
    <w:rsid w:val="49B025B8"/>
    <w:rsid w:val="49CC3268"/>
    <w:rsid w:val="4B191B98"/>
    <w:rsid w:val="4C736FB2"/>
    <w:rsid w:val="4D214550"/>
    <w:rsid w:val="4FB1612B"/>
    <w:rsid w:val="50571B23"/>
    <w:rsid w:val="512632FB"/>
    <w:rsid w:val="539329D3"/>
    <w:rsid w:val="55267F02"/>
    <w:rsid w:val="56653F98"/>
    <w:rsid w:val="5820615E"/>
    <w:rsid w:val="58C841D3"/>
    <w:rsid w:val="58D4368E"/>
    <w:rsid w:val="58DE00A4"/>
    <w:rsid w:val="59AE3315"/>
    <w:rsid w:val="5B37744F"/>
    <w:rsid w:val="5B584ECB"/>
    <w:rsid w:val="5B9F4E6F"/>
    <w:rsid w:val="5BBA74EE"/>
    <w:rsid w:val="5C80234E"/>
    <w:rsid w:val="5DCA7B89"/>
    <w:rsid w:val="5DE40E91"/>
    <w:rsid w:val="5E596938"/>
    <w:rsid w:val="5E9C1EDC"/>
    <w:rsid w:val="5E9E2CBA"/>
    <w:rsid w:val="5EF71B3A"/>
    <w:rsid w:val="5F232B02"/>
    <w:rsid w:val="61C964C6"/>
    <w:rsid w:val="62A34659"/>
    <w:rsid w:val="62A44B43"/>
    <w:rsid w:val="62AA6B74"/>
    <w:rsid w:val="636D6A22"/>
    <w:rsid w:val="63E27E37"/>
    <w:rsid w:val="63FA69BA"/>
    <w:rsid w:val="640E0BC6"/>
    <w:rsid w:val="64330D78"/>
    <w:rsid w:val="65121123"/>
    <w:rsid w:val="67706CC4"/>
    <w:rsid w:val="6844132E"/>
    <w:rsid w:val="69F64FC5"/>
    <w:rsid w:val="6B7C1202"/>
    <w:rsid w:val="6D373641"/>
    <w:rsid w:val="6DC14180"/>
    <w:rsid w:val="6E38742B"/>
    <w:rsid w:val="6FCF1762"/>
    <w:rsid w:val="70607829"/>
    <w:rsid w:val="71A31F1B"/>
    <w:rsid w:val="725D2D38"/>
    <w:rsid w:val="745F1A7B"/>
    <w:rsid w:val="75192F2C"/>
    <w:rsid w:val="75964330"/>
    <w:rsid w:val="76414D0B"/>
    <w:rsid w:val="773C23F5"/>
    <w:rsid w:val="77C178E6"/>
    <w:rsid w:val="77E4505D"/>
    <w:rsid w:val="781B7540"/>
    <w:rsid w:val="787044AC"/>
    <w:rsid w:val="789809BD"/>
    <w:rsid w:val="78BF39AC"/>
    <w:rsid w:val="799C7E9C"/>
    <w:rsid w:val="7A183A19"/>
    <w:rsid w:val="7A18483C"/>
    <w:rsid w:val="7A434839"/>
    <w:rsid w:val="7ADE07C9"/>
    <w:rsid w:val="7BBF169D"/>
    <w:rsid w:val="7C324148"/>
    <w:rsid w:val="7DE5277F"/>
    <w:rsid w:val="7D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FB42DD"/>
  <w15:docId w15:val="{3B4E7E59-6A7A-4A2C-AC12-6FF82C0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</w:rPr>
  </w:style>
  <w:style w:type="character" w:customStyle="1" w:styleId="New">
    <w:name w:val="页码 New"/>
    <w:basedOn w:val="a0"/>
  </w:style>
  <w:style w:type="character" w:customStyle="1" w:styleId="NewNew">
    <w:name w:val="页码 New New"/>
    <w:basedOn w:val="a0"/>
  </w:style>
  <w:style w:type="character" w:customStyle="1" w:styleId="NewNewNew">
    <w:name w:val="页码 New New New"/>
    <w:basedOn w:val="a0"/>
  </w:style>
  <w:style w:type="character" w:styleId="a5">
    <w:name w:val="annotation reference"/>
    <w:rPr>
      <w:sz w:val="21"/>
      <w:szCs w:val="21"/>
    </w:rPr>
  </w:style>
  <w:style w:type="character" w:customStyle="1" w:styleId="a6">
    <w:name w:val="批注框文本 字符"/>
    <w:link w:val="a7"/>
    <w:rPr>
      <w:kern w:val="2"/>
      <w:sz w:val="18"/>
      <w:szCs w:val="18"/>
    </w:rPr>
  </w:style>
  <w:style w:type="character" w:customStyle="1" w:styleId="a8">
    <w:name w:val="批注主题 字符"/>
    <w:link w:val="a9"/>
    <w:rPr>
      <w:b/>
      <w:bCs/>
      <w:kern w:val="2"/>
      <w:sz w:val="21"/>
    </w:rPr>
  </w:style>
  <w:style w:type="character" w:customStyle="1" w:styleId="aa">
    <w:name w:val="批注文字 字符"/>
    <w:link w:val="ab"/>
    <w:rPr>
      <w:kern w:val="2"/>
      <w:sz w:val="21"/>
    </w:rPr>
  </w:style>
  <w:style w:type="character" w:customStyle="1" w:styleId="NewNewNewNew">
    <w:name w:val="页码 New New New New"/>
    <w:basedOn w:val="a0"/>
  </w:style>
  <w:style w:type="paragraph" w:styleId="ac">
    <w:name w:val="Body Text Indent"/>
    <w:uiPriority w:val="99"/>
    <w:unhideWhenUsed/>
    <w:pPr>
      <w:spacing w:after="120"/>
      <w:ind w:leftChars="200" w:left="420"/>
    </w:pPr>
  </w:style>
  <w:style w:type="paragraph" w:styleId="ab">
    <w:name w:val="annotation text"/>
    <w:basedOn w:val="a"/>
    <w:link w:val="aa"/>
    <w:pPr>
      <w:jc w:val="left"/>
    </w:pPr>
  </w:style>
  <w:style w:type="paragraph" w:customStyle="1" w:styleId="NewNew0">
    <w:name w:val="正文 New New"/>
    <w:pPr>
      <w:widowControl w:val="0"/>
      <w:jc w:val="both"/>
    </w:pPr>
    <w:rPr>
      <w:kern w:val="2"/>
      <w:sz w:val="21"/>
    </w:rPr>
  </w:style>
  <w:style w:type="paragraph" w:customStyle="1" w:styleId="New0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annotation subject"/>
    <w:basedOn w:val="ab"/>
    <w:next w:val="ab"/>
    <w:link w:val="a8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页眉1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1">
    <w:name w:val="页眉 New"/>
    <w:basedOn w:val="NewNew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0">
    <w:name w:val="页脚 New New New"/>
    <w:basedOn w:val="NewNewNew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1">
    <w:name w:val="页眉 New New"/>
    <w:basedOn w:val="NewNewNew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">
    <w:name w:val="正文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a6"/>
    <w:rPr>
      <w:sz w:val="18"/>
      <w:szCs w:val="18"/>
    </w:rPr>
  </w:style>
  <w:style w:type="paragraph" w:customStyle="1" w:styleId="New2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脚1"/>
    <w:basedOn w:val="a"/>
    <w:uiPriority w:val="99"/>
    <w:unhideWhenUsed/>
    <w:pP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2">
    <w:name w:val="页脚 New New"/>
    <w:basedOn w:val="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0">
    <w:name w:val="页脚 New New New New"/>
    <w:basedOn w:val="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uiPriority w:val="99"/>
    <w:unhideWhenUsed/>
    <w:rPr>
      <w:kern w:val="2"/>
      <w:sz w:val="21"/>
    </w:rPr>
  </w:style>
  <w:style w:type="paragraph" w:customStyle="1" w:styleId="NewNewNewNew1">
    <w:name w:val="正文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1">
    <w:name w:val="正文 New New New"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NewNewNew">
    <w:name w:val="正文 New New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7C38-876D-48E4-9D20-407F3F39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7</Pages>
  <Words>603</Words>
  <Characters>3440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Manager/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subject/>
  <dc:creator>Administrator</dc:creator>
  <cp:keywords/>
  <dc:description/>
  <cp:lastModifiedBy>王婷</cp:lastModifiedBy>
  <cp:revision>320</cp:revision>
  <cp:lastPrinted>2024-09-04T08:42:00Z</cp:lastPrinted>
  <dcterms:created xsi:type="dcterms:W3CDTF">2021-04-28T07:22:00Z</dcterms:created>
  <dcterms:modified xsi:type="dcterms:W3CDTF">2025-03-31T09:19:00Z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