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124EB" w14:textId="483430CB" w:rsidR="003A57E6" w:rsidRDefault="00D25A9E">
      <w:pPr>
        <w:pStyle w:val="1"/>
        <w:rPr>
          <w:rFonts w:ascii="宋体" w:eastAsia="宋体" w:hAnsi="宋体" w:cs="宋体"/>
          <w:b/>
          <w:bCs/>
          <w:sz w:val="24"/>
          <w:szCs w:val="24"/>
          <w:lang w:val="en-US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val="en-US"/>
        </w:rPr>
        <w:t xml:space="preserve">证券代码：600927                                 </w:t>
      </w:r>
      <w:r w:rsidR="00852D46">
        <w:rPr>
          <w:rFonts w:ascii="宋体" w:eastAsia="宋体" w:hAnsi="宋体" w:cs="宋体"/>
          <w:b/>
          <w:bCs/>
          <w:sz w:val="24"/>
          <w:szCs w:val="24"/>
          <w:lang w:val="en-US"/>
        </w:rPr>
        <w:t xml:space="preserve"> </w:t>
      </w:r>
      <w:r>
        <w:rPr>
          <w:rFonts w:ascii="宋体" w:eastAsia="宋体" w:hAnsi="宋体" w:cs="宋体" w:hint="eastAsia"/>
          <w:b/>
          <w:bCs/>
          <w:sz w:val="24"/>
          <w:szCs w:val="24"/>
          <w:lang w:val="en-US"/>
        </w:rPr>
        <w:t>证券简称：永安期货</w:t>
      </w:r>
    </w:p>
    <w:p w14:paraId="43523745" w14:textId="77777777" w:rsidR="003A57E6" w:rsidRDefault="003A57E6">
      <w:pPr>
        <w:spacing w:line="360" w:lineRule="auto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441F1B1F" w14:textId="77777777" w:rsidR="003A57E6" w:rsidRDefault="00D25A9E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永安期货股份有限公司</w:t>
      </w:r>
    </w:p>
    <w:p w14:paraId="786051EB" w14:textId="2DA0D8A3" w:rsidR="003A57E6" w:rsidRDefault="00D25A9E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投资者关系活动记录表</w:t>
      </w:r>
    </w:p>
    <w:p w14:paraId="0EA3A67B" w14:textId="57645CBD" w:rsidR="005248DE" w:rsidRDefault="005248DE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</w:rPr>
      </w:pPr>
      <w:r w:rsidRPr="005248DE">
        <w:rPr>
          <w:rFonts w:ascii="宋体" w:eastAsia="宋体" w:hAnsi="宋体" w:cs="宋体" w:hint="eastAsia"/>
          <w:b/>
          <w:bCs/>
          <w:sz w:val="32"/>
          <w:szCs w:val="32"/>
        </w:rPr>
        <w:t>（</w:t>
      </w:r>
      <w:r>
        <w:rPr>
          <w:rFonts w:ascii="宋体" w:eastAsia="宋体" w:hAnsi="宋体" w:cs="宋体"/>
          <w:b/>
          <w:bCs/>
          <w:sz w:val="32"/>
          <w:szCs w:val="32"/>
        </w:rPr>
        <w:t>2025</w:t>
      </w:r>
      <w:r w:rsidRPr="005248DE">
        <w:rPr>
          <w:rFonts w:ascii="宋体" w:eastAsia="宋体" w:hAnsi="宋体" w:cs="宋体"/>
          <w:b/>
          <w:bCs/>
          <w:sz w:val="32"/>
          <w:szCs w:val="32"/>
        </w:rPr>
        <w:t>年</w:t>
      </w:r>
      <w:r w:rsidR="00382969">
        <w:rPr>
          <w:rFonts w:ascii="宋体" w:eastAsia="宋体" w:hAnsi="宋体" w:cs="宋体"/>
          <w:b/>
          <w:bCs/>
          <w:sz w:val="32"/>
          <w:szCs w:val="32"/>
        </w:rPr>
        <w:t>3</w:t>
      </w:r>
      <w:r w:rsidRPr="005248DE">
        <w:rPr>
          <w:rFonts w:ascii="宋体" w:eastAsia="宋体" w:hAnsi="宋体" w:cs="宋体"/>
          <w:b/>
          <w:bCs/>
          <w:sz w:val="32"/>
          <w:szCs w:val="32"/>
        </w:rPr>
        <w:t>月）</w:t>
      </w:r>
    </w:p>
    <w:p w14:paraId="2233A686" w14:textId="70E7A610" w:rsidR="003A57E6" w:rsidRDefault="00D63863">
      <w:pPr>
        <w:spacing w:before="51" w:after="32"/>
        <w:ind w:right="619"/>
        <w:rPr>
          <w:rFonts w:asciiTheme="minorEastAsia" w:eastAsiaTheme="minorEastAsia" w:hAnsiTheme="minorEastAsia" w:cs="宋体"/>
          <w:b/>
          <w:bCs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  <w:szCs w:val="24"/>
        </w:rPr>
        <w:t>编号：2025-00</w:t>
      </w:r>
      <w:r w:rsidR="00382969">
        <w:rPr>
          <w:rFonts w:asciiTheme="minorEastAsia" w:eastAsiaTheme="minorEastAsia" w:hAnsiTheme="minorEastAsia" w:cs="宋体"/>
          <w:b/>
          <w:bCs/>
          <w:sz w:val="24"/>
          <w:szCs w:val="24"/>
        </w:rPr>
        <w:t>2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6403"/>
      </w:tblGrid>
      <w:tr w:rsidR="003A57E6" w14:paraId="47FB4F42" w14:textId="77777777">
        <w:trPr>
          <w:trHeight w:val="2801"/>
          <w:jc w:val="center"/>
        </w:trPr>
        <w:tc>
          <w:tcPr>
            <w:tcW w:w="2122" w:type="dxa"/>
            <w:vAlign w:val="center"/>
          </w:tcPr>
          <w:p w14:paraId="26F1D9A3" w14:textId="77777777" w:rsidR="003A57E6" w:rsidRPr="00D72703" w:rsidRDefault="003A57E6">
            <w:pPr>
              <w:pStyle w:val="TableParagraph"/>
              <w:spacing w:before="7"/>
              <w:jc w:val="bot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2736FF82" w14:textId="77777777" w:rsidR="003A57E6" w:rsidRPr="00D72703" w:rsidRDefault="00D25A9E" w:rsidP="00D76FE4">
            <w:pPr>
              <w:pStyle w:val="TableParagraph"/>
              <w:spacing w:before="1"/>
              <w:jc w:val="bot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D7270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403" w:type="dxa"/>
          </w:tcPr>
          <w:p w14:paraId="65765185" w14:textId="75E7EBE8" w:rsidR="003A57E6" w:rsidRPr="00D72703" w:rsidRDefault="003A57E6">
            <w:pPr>
              <w:pStyle w:val="TableParagraph"/>
              <w:spacing w:before="7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</w:p>
          <w:p w14:paraId="07225AA0" w14:textId="79F089D0" w:rsidR="003A57E6" w:rsidRPr="00D72703" w:rsidRDefault="00662535" w:rsidP="00D76FE4">
            <w:pPr>
              <w:pStyle w:val="TableParagraph"/>
              <w:tabs>
                <w:tab w:val="left" w:pos="2418"/>
              </w:tabs>
              <w:spacing w:before="1" w:line="360" w:lineRule="auto"/>
              <w:ind w:left="108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249780449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1844">
                  <w:rPr>
                    <w:rFonts w:asciiTheme="minorEastAsia" w:eastAsiaTheme="minorEastAsia" w:hAnsiTheme="minorEastAsia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特</w:t>
            </w:r>
            <w:r w:rsidR="00D25A9E" w:rsidRPr="00D72703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定</w:t>
            </w:r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对</w:t>
            </w:r>
            <w:r w:rsidR="00D25A9E" w:rsidRPr="00D72703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象</w:t>
            </w:r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调研</w:t>
            </w:r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5A9E" w:rsidRPr="00D72703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分</w:t>
            </w:r>
            <w:r w:rsidR="00D25A9E" w:rsidRPr="00D72703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析</w:t>
            </w:r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师</w:t>
            </w:r>
            <w:r w:rsidR="00D25A9E" w:rsidRPr="00D72703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会</w:t>
            </w:r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议</w:t>
            </w:r>
          </w:p>
          <w:p w14:paraId="4BFB508A" w14:textId="658DD3BE" w:rsidR="003A57E6" w:rsidRPr="00D72703" w:rsidRDefault="00662535" w:rsidP="00D76FE4">
            <w:pPr>
              <w:pStyle w:val="TableParagraph"/>
              <w:tabs>
                <w:tab w:val="left" w:pos="2418"/>
              </w:tabs>
              <w:spacing w:line="360" w:lineRule="auto"/>
              <w:ind w:left="108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5A9E" w:rsidRPr="00D72703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媒</w:t>
            </w:r>
            <w:r w:rsidR="00D25A9E" w:rsidRPr="00D72703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体</w:t>
            </w:r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采访</w:t>
            </w:r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7934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业</w:t>
            </w:r>
            <w:r w:rsidR="00D25A9E" w:rsidRPr="00D72703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绩</w:t>
            </w:r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说</w:t>
            </w:r>
            <w:r w:rsidR="00D25A9E" w:rsidRPr="00D72703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明</w:t>
            </w:r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</w:t>
            </w:r>
          </w:p>
          <w:p w14:paraId="034DA29E" w14:textId="7239C8BA" w:rsidR="003A57E6" w:rsidRPr="00D72703" w:rsidRDefault="00662535" w:rsidP="00D76FE4">
            <w:pPr>
              <w:pStyle w:val="TableParagraph"/>
              <w:tabs>
                <w:tab w:val="left" w:pos="2418"/>
              </w:tabs>
              <w:spacing w:line="360" w:lineRule="auto"/>
              <w:ind w:left="108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5A9E" w:rsidRPr="00D72703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新</w:t>
            </w:r>
            <w:r w:rsidR="00D25A9E" w:rsidRPr="00D72703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闻</w:t>
            </w:r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发</w:t>
            </w:r>
            <w:r w:rsidR="00D25A9E" w:rsidRPr="00D72703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布</w:t>
            </w:r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会</w:t>
            </w:r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ab/>
            </w: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C7934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路</w:t>
            </w:r>
            <w:r w:rsidR="00D25A9E" w:rsidRPr="00D72703">
              <w:rPr>
                <w:rFonts w:asciiTheme="minorEastAsia" w:eastAsiaTheme="minorEastAsia" w:hAnsiTheme="minorEastAsia" w:cs="宋体" w:hint="eastAsia"/>
                <w:spacing w:val="-3"/>
                <w:sz w:val="24"/>
                <w:szCs w:val="24"/>
              </w:rPr>
              <w:t>演</w:t>
            </w:r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活动</w:t>
            </w:r>
          </w:p>
          <w:p w14:paraId="54642AC4" w14:textId="77777777" w:rsidR="003A57E6" w:rsidRPr="00D72703" w:rsidRDefault="00662535" w:rsidP="00D76FE4">
            <w:pPr>
              <w:pStyle w:val="TableParagraph"/>
              <w:spacing w:line="360" w:lineRule="auto"/>
              <w:ind w:left="108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25A9E" w:rsidRPr="00D72703">
                  <w:rPr>
                    <w:rFonts w:ascii="Segoe UI Symbol" w:eastAsiaTheme="minorEastAsia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现场参观</w:t>
            </w:r>
          </w:p>
          <w:p w14:paraId="21C970DB" w14:textId="7F4D8797" w:rsidR="003A57E6" w:rsidRPr="00D72703" w:rsidRDefault="00662535" w:rsidP="00D76FE4">
            <w:pPr>
              <w:pStyle w:val="TableParagraph"/>
              <w:spacing w:line="360" w:lineRule="auto"/>
              <w:ind w:left="108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sdt>
              <w:sdtPr>
                <w:rPr>
                  <w:rFonts w:asciiTheme="minorEastAsia" w:eastAsiaTheme="minorEastAsia" w:hAnsiTheme="minorEastAsia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382969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其他（</w:t>
            </w:r>
            <w:r w:rsidR="00D25A9E"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  <w:u w:val="single"/>
              </w:rPr>
              <w:t>线下交流会）</w:t>
            </w:r>
          </w:p>
        </w:tc>
      </w:tr>
      <w:tr w:rsidR="003A57E6" w14:paraId="0447AD33" w14:textId="77777777">
        <w:trPr>
          <w:trHeight w:val="542"/>
          <w:jc w:val="center"/>
        </w:trPr>
        <w:tc>
          <w:tcPr>
            <w:tcW w:w="2122" w:type="dxa"/>
            <w:vAlign w:val="center"/>
          </w:tcPr>
          <w:p w14:paraId="0F1C7EAE" w14:textId="69DBDB63" w:rsidR="003A57E6" w:rsidRPr="00D72703" w:rsidRDefault="00D25A9E" w:rsidP="00A54A97">
            <w:pPr>
              <w:pStyle w:val="TableParagraph"/>
              <w:spacing w:line="560" w:lineRule="exact"/>
              <w:ind w:right="96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D7270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参与人员</w:t>
            </w:r>
            <w:r w:rsidR="00382969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及时间</w:t>
            </w:r>
          </w:p>
        </w:tc>
        <w:tc>
          <w:tcPr>
            <w:tcW w:w="6403" w:type="dxa"/>
            <w:vAlign w:val="center"/>
          </w:tcPr>
          <w:p w14:paraId="15A0BCFD" w14:textId="77777777" w:rsidR="00375AAB" w:rsidRDefault="00382969" w:rsidP="008429E7">
            <w:pPr>
              <w:widowControl/>
              <w:spacing w:line="360" w:lineRule="auto"/>
              <w:rPr>
                <w:rFonts w:asciiTheme="minorEastAsia" w:eastAsiaTheme="minorEastAsia" w:hAnsiTheme="minorEastAsia" w:cs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申万宏源证券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2025</w:t>
            </w:r>
            <w:r w:rsidRPr="00D7270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3</w:t>
            </w:r>
            <w:r w:rsidRPr="00D7270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18</w:t>
            </w:r>
            <w:r w:rsidRPr="00D7270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 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4:00-16</w:t>
            </w:r>
            <w:r w:rsidRPr="00D7270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</w:t>
            </w:r>
            <w:r w:rsidRPr="00D7270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</w:t>
            </w:r>
          </w:p>
          <w:p w14:paraId="2444F3BF" w14:textId="3A7C55C0" w:rsidR="00382969" w:rsidRPr="00375AAB" w:rsidRDefault="00382969" w:rsidP="008429E7">
            <w:pPr>
              <w:widowControl/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317621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西部证券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2025</w:t>
            </w:r>
            <w:r w:rsidRPr="00D7270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年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3</w:t>
            </w:r>
            <w:r w:rsidRPr="00D7270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cstheme="minorEastAsia"/>
                <w:sz w:val="24"/>
                <w:szCs w:val="24"/>
              </w:rPr>
              <w:t>9</w:t>
            </w:r>
            <w:r w:rsidRPr="00D7270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日 1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4:30-16</w:t>
            </w:r>
            <w:r w:rsidRPr="00D7270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</w:t>
            </w:r>
            <w:r w:rsidRPr="00D72703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0</w:t>
            </w:r>
          </w:p>
        </w:tc>
      </w:tr>
      <w:tr w:rsidR="003A57E6" w14:paraId="5A8F46AD" w14:textId="77777777">
        <w:trPr>
          <w:trHeight w:val="561"/>
          <w:jc w:val="center"/>
        </w:trPr>
        <w:tc>
          <w:tcPr>
            <w:tcW w:w="2122" w:type="dxa"/>
            <w:vAlign w:val="center"/>
          </w:tcPr>
          <w:p w14:paraId="7DE9E452" w14:textId="77777777" w:rsidR="003A57E6" w:rsidRPr="00D72703" w:rsidRDefault="00D25A9E" w:rsidP="00A54A97">
            <w:pPr>
              <w:pStyle w:val="TableParagrap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D7270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会议地点</w:t>
            </w:r>
          </w:p>
        </w:tc>
        <w:tc>
          <w:tcPr>
            <w:tcW w:w="6403" w:type="dxa"/>
            <w:vAlign w:val="center"/>
          </w:tcPr>
          <w:p w14:paraId="10E92078" w14:textId="327C4E64" w:rsidR="003A57E6" w:rsidRPr="00D72703" w:rsidRDefault="00D25A9E" w:rsidP="00382969">
            <w:pPr>
              <w:pStyle w:val="TableParagraph"/>
              <w:spacing w:before="100" w:beforeAutospacing="1" w:line="360" w:lineRule="auto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浙江省杭州市上城区</w:t>
            </w:r>
            <w:proofErr w:type="gramStart"/>
            <w:r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新业路</w:t>
            </w:r>
            <w:r w:rsidRPr="00D72703">
              <w:rPr>
                <w:rFonts w:asciiTheme="minorEastAsia" w:eastAsiaTheme="minorEastAsia" w:hAnsiTheme="minorEastAsia" w:cs="宋体"/>
                <w:sz w:val="24"/>
                <w:szCs w:val="24"/>
              </w:rPr>
              <w:t>200号</w:t>
            </w:r>
            <w:proofErr w:type="gramEnd"/>
            <w:r w:rsidRPr="00D72703">
              <w:rPr>
                <w:rFonts w:asciiTheme="minorEastAsia" w:eastAsiaTheme="minorEastAsia" w:hAnsiTheme="minorEastAsia" w:cs="宋体"/>
                <w:sz w:val="24"/>
                <w:szCs w:val="24"/>
              </w:rPr>
              <w:t>华</w:t>
            </w:r>
            <w:proofErr w:type="gramStart"/>
            <w:r w:rsidRPr="00D72703">
              <w:rPr>
                <w:rFonts w:asciiTheme="minorEastAsia" w:eastAsiaTheme="minorEastAsia" w:hAnsiTheme="minorEastAsia" w:cs="宋体"/>
                <w:sz w:val="24"/>
                <w:szCs w:val="24"/>
              </w:rPr>
              <w:t>峰国际</w:t>
            </w:r>
            <w:proofErr w:type="gramEnd"/>
            <w:r w:rsidRPr="00D7270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商务大厦会议室</w:t>
            </w:r>
          </w:p>
        </w:tc>
      </w:tr>
      <w:tr w:rsidR="003A57E6" w14:paraId="08BFCBA1" w14:textId="77777777">
        <w:trPr>
          <w:trHeight w:val="558"/>
          <w:jc w:val="center"/>
        </w:trPr>
        <w:tc>
          <w:tcPr>
            <w:tcW w:w="2122" w:type="dxa"/>
            <w:vAlign w:val="center"/>
          </w:tcPr>
          <w:p w14:paraId="459745B2" w14:textId="77777777" w:rsidR="003A57E6" w:rsidRPr="00D72703" w:rsidRDefault="00D25A9E" w:rsidP="00A54A97">
            <w:pPr>
              <w:pStyle w:val="TableParagraph"/>
              <w:spacing w:before="1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D7270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403" w:type="dxa"/>
            <w:vAlign w:val="center"/>
          </w:tcPr>
          <w:p w14:paraId="1542503D" w14:textId="487773A1" w:rsidR="003A57E6" w:rsidRPr="00D72703" w:rsidRDefault="00382969" w:rsidP="00E1500D">
            <w:pPr>
              <w:widowControl/>
              <w:spacing w:line="360" w:lineRule="auto"/>
              <w:rPr>
                <w:rFonts w:asciiTheme="minorEastAsia" w:eastAsiaTheme="minorEastAsia" w:hAnsiTheme="minorEastAsia" w:cs="宋体"/>
                <w:sz w:val="32"/>
                <w:szCs w:val="32"/>
              </w:rPr>
            </w:pPr>
            <w:r w:rsidRPr="00FB22B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副总经理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</w:t>
            </w:r>
            <w:r w:rsidRPr="00FB22B9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董事会秘书兼财务总监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，证券事务代表及董事会办公室相关成员</w:t>
            </w:r>
          </w:p>
        </w:tc>
      </w:tr>
      <w:tr w:rsidR="003A57E6" w14:paraId="443C892F" w14:textId="77777777" w:rsidTr="00FD59E6">
        <w:trPr>
          <w:trHeight w:val="1550"/>
          <w:jc w:val="center"/>
        </w:trPr>
        <w:tc>
          <w:tcPr>
            <w:tcW w:w="2122" w:type="dxa"/>
          </w:tcPr>
          <w:p w14:paraId="40F38D45" w14:textId="77777777" w:rsidR="003A57E6" w:rsidRPr="00D72703" w:rsidRDefault="003A57E6">
            <w:pPr>
              <w:pStyle w:val="TableParagrap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5A7F693B" w14:textId="77777777" w:rsidR="003A57E6" w:rsidRPr="00D72703" w:rsidRDefault="003A57E6">
            <w:pPr>
              <w:pStyle w:val="TableParagraph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64F4DC1D" w14:textId="77777777" w:rsidR="003A57E6" w:rsidRPr="00D72703" w:rsidRDefault="003A57E6">
            <w:pPr>
              <w:pStyle w:val="TableParagraph"/>
              <w:spacing w:before="5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</w:p>
          <w:p w14:paraId="20AD4304" w14:textId="77777777" w:rsidR="003A57E6" w:rsidRPr="00D72703" w:rsidRDefault="00D25A9E" w:rsidP="00A54A97">
            <w:pPr>
              <w:pStyle w:val="TableParagraph"/>
              <w:spacing w:before="1" w:line="499" w:lineRule="auto"/>
              <w:ind w:right="96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D7270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403" w:type="dxa"/>
          </w:tcPr>
          <w:p w14:paraId="3D0AF28A" w14:textId="77777777" w:rsidR="00382969" w:rsidRPr="00D72703" w:rsidRDefault="00382969" w:rsidP="00382969">
            <w:pPr>
              <w:autoSpaceDE/>
              <w:autoSpaceDN/>
              <w:spacing w:line="360" w:lineRule="auto"/>
              <w:ind w:firstLineChars="200" w:firstLine="482"/>
              <w:jc w:val="both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D72703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1.</w:t>
            </w:r>
            <w:r w:rsidRPr="002631B4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公司如何展望期货市场后续发展？</w:t>
            </w:r>
            <w:r w:rsidRPr="002631B4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02</w:t>
            </w:r>
            <w:r w:rsidRPr="002631B4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年成交额如何展望</w:t>
            </w:r>
            <w:r w:rsidRPr="00D72703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？</w:t>
            </w:r>
          </w:p>
          <w:p w14:paraId="3E2B9622" w14:textId="680777F7" w:rsidR="00711570" w:rsidRDefault="00382969" w:rsidP="00382969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答：一方面期货市场可能延续</w:t>
            </w:r>
            <w:r w:rsidRPr="00C60B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品种活跃度分化态势，美联储货币政策和</w:t>
            </w:r>
            <w:proofErr w:type="gramStart"/>
            <w:r w:rsidRPr="00C60B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特朗普</w:t>
            </w:r>
            <w:proofErr w:type="gramEnd"/>
            <w:r w:rsidRPr="00C60B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2.0时代或将对商品市场和全球供应</w:t>
            </w:r>
            <w:proofErr w:type="gramStart"/>
            <w:r w:rsidRPr="00C60B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链产生</w:t>
            </w:r>
            <w:proofErr w:type="gramEnd"/>
            <w:r w:rsidRPr="00C60B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较大影响，大宗商品市场可能将在波动加大下延续分化态势。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另一方面中国期货市场成交额有望</w:t>
            </w:r>
            <w:r w:rsidRPr="00C60BF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保持增长态势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，主要因素包括：一是国家继续推动逆周期调节政策，为期货市场营造良好的政策环境，促进市场活跃，推动成交额增长；二是</w:t>
            </w:r>
            <w:r w:rsidRPr="009A70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实体企业面临的市场不确定性依然存在，风险管理需求持续增加，会更多地利用期货市场进行套期保值，同时投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资者对期货市场的投资需求也将随着市场发展而扩大，推动成交额上升；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lastRenderedPageBreak/>
              <w:t>三是广州期货交易所</w:t>
            </w:r>
            <w:r w:rsidRPr="009A70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等交易所的新兴品种逐渐活跃，随着新品种的市场认可度提高，交易规模不断扩大，将成为成交额增长的新动力。但全球经济和地缘政治等不确定因素依然存在，可能对市场造成一定扰动，给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期货市场</w:t>
            </w:r>
            <w:r w:rsidRPr="009A70C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成交额增长带来一定的不确定性和挑战。</w:t>
            </w:r>
          </w:p>
          <w:p w14:paraId="6215CF30" w14:textId="77777777" w:rsidR="00382969" w:rsidRPr="00D72703" w:rsidRDefault="00382969" w:rsidP="00382969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D72703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2.</w:t>
            </w:r>
            <w:r w:rsidRPr="009B2DF5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1月新加坡子公司成为新交所衍生品市场交易和清算会员，对公司境外业务有何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意义</w:t>
            </w:r>
            <w:r w:rsidRPr="009B2DF5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？</w:t>
            </w:r>
          </w:p>
          <w:p w14:paraId="79BA56DA" w14:textId="77777777" w:rsidR="00382969" w:rsidRDefault="00382969" w:rsidP="00382969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答：</w:t>
            </w:r>
            <w:r w:rsidRPr="005A006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早在</w:t>
            </w:r>
            <w:r w:rsidRPr="005A0065">
              <w:rPr>
                <w:rFonts w:asciiTheme="minorEastAsia" w:eastAsiaTheme="minorEastAsia" w:hAnsiTheme="minorEastAsia" w:cs="宋体"/>
                <w:sz w:val="24"/>
                <w:szCs w:val="24"/>
              </w:rPr>
              <w:t>2006年，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作为最早一批出海的期货公司，登陆中国香港市场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Pr="005A0065">
              <w:rPr>
                <w:rFonts w:asciiTheme="minorEastAsia" w:eastAsiaTheme="minorEastAsia" w:hAnsiTheme="minorEastAsia" w:cs="宋体"/>
                <w:sz w:val="24"/>
                <w:szCs w:val="24"/>
              </w:rPr>
              <w:t>2014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年，带着对全球市场的憧憬，进军新加坡市场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Pr="005A0065">
              <w:rPr>
                <w:rFonts w:asciiTheme="minorEastAsia" w:eastAsiaTheme="minorEastAsia" w:hAnsiTheme="minorEastAsia" w:cs="宋体"/>
                <w:sz w:val="24"/>
                <w:szCs w:val="24"/>
              </w:rPr>
              <w:t>2017年，在中国香港全资成立新永安国际金控，并于2018年在新加坡成立期货经纪公司。</w:t>
            </w:r>
          </w:p>
          <w:p w14:paraId="60B1CB54" w14:textId="7CA2D10B" w:rsidR="00AD2160" w:rsidRPr="00AD2160" w:rsidRDefault="00382969" w:rsidP="00382969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5A006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此次获得新交所衍生品市场交易和清算会员资格，是继</w:t>
            </w:r>
            <w:r w:rsidRPr="005A0065">
              <w:rPr>
                <w:rFonts w:asciiTheme="minorEastAsia" w:eastAsiaTheme="minorEastAsia" w:hAnsiTheme="minorEastAsia" w:cs="宋体"/>
                <w:sz w:val="24"/>
                <w:szCs w:val="24"/>
              </w:rPr>
              <w:t>2019年获得新加坡金融管理局（MAS）核发的资本市场服务CMS 期货牌照以来的又一次跨越。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</w:t>
            </w:r>
            <w:r w:rsidRPr="005A0065">
              <w:rPr>
                <w:rFonts w:asciiTheme="minorEastAsia" w:eastAsiaTheme="minorEastAsia" w:hAnsiTheme="minorEastAsia" w:cs="宋体"/>
                <w:sz w:val="24"/>
                <w:szCs w:val="24"/>
              </w:rPr>
              <w:t>将锚定“行业领先、独具特色的衍生品投行”的目标，争当国际业务排头兵，携手新交所创新业务模式，跨境发展、跨界创新、多跨协同，为财富客户提供多元化全球资产配置方案，为产业客户提供一体化价格发现、风险管理、资源配置方案，构建支持实体企业海外发展的金融服务网络，共同为跨境贸易、投资、并购提供全链条金融联动产品和精准服务，助推中国实体企业的全球产业链、供应链、价值链布局</w:t>
            </w:r>
            <w:r w:rsidRPr="005A006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，让中国智慧与</w:t>
            </w:r>
            <w:proofErr w:type="gramStart"/>
            <w:r w:rsidRPr="005A006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全球机遇</w:t>
            </w:r>
            <w:proofErr w:type="gramEnd"/>
            <w:r w:rsidRPr="005A0065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碰撞出新的火花，为全球金融市场的繁荣与稳定贡献力量。</w:t>
            </w:r>
          </w:p>
          <w:p w14:paraId="15721E31" w14:textId="3975576D" w:rsidR="00382969" w:rsidRPr="00D72703" w:rsidRDefault="00382969" w:rsidP="00382969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3</w:t>
            </w:r>
            <w:r w:rsidRPr="00D72703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.</w:t>
            </w:r>
            <w:r w:rsidRPr="00C33393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从期货行业政策看，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20</w:t>
            </w:r>
            <w:r w:rsidRPr="00C33393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24年以来期货市场监管政策进一步完善，10月证监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会等发布了《关于加强监管防范风险促进期货市场高质量发展的意见》</w:t>
            </w:r>
            <w:r w:rsidRPr="00C33393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，如何解读</w:t>
            </w: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相关政策对于</w:t>
            </w:r>
            <w:r w:rsidRPr="00C33393"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行业的影响？</w:t>
            </w:r>
          </w:p>
          <w:p w14:paraId="55FD07FB" w14:textId="77777777" w:rsidR="00382969" w:rsidRPr="00C33393" w:rsidRDefault="00382969" w:rsidP="00382969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答：</w:t>
            </w:r>
            <w:r w:rsidRPr="00C333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该政策的核心要点包括：加强风险防控、强化服务实体导向、加快国际化拓展、鼓励科技赋能和投资者保护升级。未来</w:t>
            </w:r>
            <w:r w:rsidRPr="00C33393">
              <w:rPr>
                <w:rFonts w:asciiTheme="minorEastAsia" w:eastAsiaTheme="minorEastAsia" w:hAnsiTheme="minorEastAsia" w:cs="宋体"/>
                <w:sz w:val="24"/>
                <w:szCs w:val="24"/>
              </w:rPr>
              <w:t>3-5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年，期货行业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可能</w:t>
            </w:r>
            <w:r w:rsidRPr="00C33393">
              <w:rPr>
                <w:rFonts w:asciiTheme="minorEastAsia" w:eastAsiaTheme="minorEastAsia" w:hAnsiTheme="minorEastAsia" w:cs="宋体"/>
                <w:sz w:val="24"/>
                <w:szCs w:val="24"/>
              </w:rPr>
              <w:t>呈现“强者恒强、特色突围”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t>的格</w:t>
            </w:r>
            <w:r>
              <w:rPr>
                <w:rFonts w:asciiTheme="minorEastAsia" w:eastAsiaTheme="minorEastAsia" w:hAnsiTheme="minorEastAsia" w:cs="宋体"/>
                <w:sz w:val="24"/>
                <w:szCs w:val="24"/>
              </w:rPr>
              <w:lastRenderedPageBreak/>
              <w:t>局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Pr="00C33393">
              <w:rPr>
                <w:rFonts w:asciiTheme="minorEastAsia" w:eastAsiaTheme="minorEastAsia" w:hAnsiTheme="minorEastAsia" w:cs="宋体"/>
                <w:sz w:val="24"/>
                <w:szCs w:val="24"/>
              </w:rPr>
              <w:t>对于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行业</w:t>
            </w:r>
            <w:r w:rsidRPr="00C33393">
              <w:rPr>
                <w:rFonts w:asciiTheme="minorEastAsia" w:eastAsiaTheme="minorEastAsia" w:hAnsiTheme="minorEastAsia" w:cs="宋体"/>
                <w:sz w:val="24"/>
                <w:szCs w:val="24"/>
              </w:rPr>
              <w:t>的影响主要有以下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两</w:t>
            </w:r>
            <w:r w:rsidRPr="00C33393">
              <w:rPr>
                <w:rFonts w:asciiTheme="minorEastAsia" w:eastAsiaTheme="minorEastAsia" w:hAnsiTheme="minorEastAsia" w:cs="宋体"/>
                <w:sz w:val="24"/>
                <w:szCs w:val="24"/>
              </w:rPr>
              <w:t>点：</w:t>
            </w:r>
          </w:p>
          <w:p w14:paraId="5F86171A" w14:textId="081A88B9" w:rsidR="00F81E45" w:rsidRDefault="00382969" w:rsidP="00382969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一是市场格局分化，从“规模扩张”到“质量竞争”</w:t>
            </w:r>
            <w:r w:rsidRPr="00C333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，头部效应进一步凸显，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具备全牌照、资本实力强的大型期货</w:t>
            </w:r>
            <w:r w:rsidRPr="00C333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公司的市场份额将进一步扩大。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二是业务生态重构，</w:t>
            </w:r>
            <w:r w:rsidRPr="00C333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从“通道服务”到“综合服务商”，将促进期货公司从单一的经纪业务向综合服务型期货公司转型，这些变化意味着期货公司的综合服务能力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将</w:t>
            </w:r>
            <w:r w:rsidRPr="00C3339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成为期货公司的核心竞争力。</w:t>
            </w:r>
          </w:p>
          <w:p w14:paraId="3E5566D2" w14:textId="5B7A86BE" w:rsidR="00382969" w:rsidRPr="00AC5E78" w:rsidRDefault="00382969" w:rsidP="00382969">
            <w:pPr>
              <w:pStyle w:val="TableParagraph"/>
              <w:spacing w:line="360" w:lineRule="auto"/>
              <w:ind w:firstLineChars="200" w:firstLine="482"/>
              <w:jc w:val="both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.</w:t>
            </w:r>
            <w:r w:rsidRPr="00AC5E78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公司计划从“以牌照为中心”转向“以客户为中心”，有哪些具体的措施？</w:t>
            </w:r>
          </w:p>
          <w:p w14:paraId="1AA7BB8A" w14:textId="6D565064" w:rsidR="00803504" w:rsidRPr="00D72703" w:rsidRDefault="00382969" w:rsidP="00382969">
            <w:pPr>
              <w:pStyle w:val="TableParagraph"/>
              <w:spacing w:line="360" w:lineRule="auto"/>
              <w:ind w:firstLineChars="200" w:firstLine="480"/>
              <w:jc w:val="both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答：一方面，加强中台建设，</w:t>
            </w:r>
            <w:r w:rsidRPr="00AC5E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“强中台”就是强总部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，</w:t>
            </w:r>
            <w:r w:rsidRPr="00AC5E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要</w:t>
            </w:r>
            <w:proofErr w:type="gramStart"/>
            <w:r w:rsidRPr="00AC5E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打造四</w:t>
            </w:r>
            <w:proofErr w:type="gramEnd"/>
            <w:r w:rsidRPr="00AC5E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大中心：产融服务中心，整合产融相关服务职能，为产业机构客户服务；财富服务中心，优化财富管理服务中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心的职能，为不同类型的客户提供大类资产配置服务；客户运营中心，全面提高客户开发和服务效率；投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中心，</w:t>
            </w:r>
            <w:r w:rsidRPr="00AC5E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推动“产投</w:t>
            </w:r>
            <w:proofErr w:type="gramStart"/>
            <w:r w:rsidRPr="00AC5E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研</w:t>
            </w:r>
            <w:proofErr w:type="gramEnd"/>
            <w:r w:rsidRPr="00AC5E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一体化”，将好投</w:t>
            </w:r>
            <w:proofErr w:type="gramStart"/>
            <w:r w:rsidRPr="00AC5E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研</w:t>
            </w:r>
            <w:proofErr w:type="gramEnd"/>
            <w:r w:rsidRPr="00AC5E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、好产品打造成为公司的核心能力。</w:t>
            </w: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另一方面，</w:t>
            </w:r>
            <w:r w:rsidRPr="00AC5E78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刻画精准的客户画像，掌握真实的客户需求，实现客户的分级分类，进而量身定制差异化的营销策略和服务方案，使服务资源配置更合理化、层次化、多元化。</w:t>
            </w:r>
          </w:p>
        </w:tc>
      </w:tr>
    </w:tbl>
    <w:p w14:paraId="6167B78C" w14:textId="77777777" w:rsidR="003A57E6" w:rsidRDefault="003A57E6">
      <w:pPr>
        <w:rPr>
          <w:rFonts w:ascii="宋体" w:eastAsia="宋体" w:hAnsi="宋体" w:cs="宋体"/>
          <w:sz w:val="28"/>
          <w:szCs w:val="36"/>
        </w:rPr>
      </w:pPr>
      <w:bookmarkStart w:id="0" w:name="_GoBack"/>
      <w:bookmarkEnd w:id="0"/>
    </w:p>
    <w:sectPr w:rsidR="003A57E6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1390C92" w16cex:dateUtc="2024-07-19T0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D3A6FE0" w16cid:durableId="51EC267B"/>
  <w16cid:commentId w16cid:paraId="4F6425E7" w16cid:durableId="01FFB056"/>
  <w16cid:commentId w16cid:paraId="2302127E" w16cid:durableId="31390C92"/>
  <w16cid:commentId w16cid:paraId="657E6754" w16cid:durableId="2BF0BFEF"/>
  <w16cid:commentId w16cid:paraId="00AF4F7F" w16cid:durableId="013A76E1"/>
  <w16cid:commentId w16cid:paraId="1C3F0978" w16cid:durableId="205312EC"/>
  <w16cid:commentId w16cid:paraId="7AC401E3" w16cid:durableId="0529FFCE"/>
  <w16cid:commentId w16cid:paraId="5CCE1951" w16cid:durableId="2C1C881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A64DC" w14:textId="77777777" w:rsidR="00662535" w:rsidRDefault="00662535" w:rsidP="001133EB">
      <w:r>
        <w:separator/>
      </w:r>
    </w:p>
  </w:endnote>
  <w:endnote w:type="continuationSeparator" w:id="0">
    <w:p w14:paraId="0E253F57" w14:textId="77777777" w:rsidR="00662535" w:rsidRDefault="00662535" w:rsidP="00113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99E43" w14:textId="77777777" w:rsidR="00662535" w:rsidRDefault="00662535" w:rsidP="001133EB">
      <w:r>
        <w:separator/>
      </w:r>
    </w:p>
  </w:footnote>
  <w:footnote w:type="continuationSeparator" w:id="0">
    <w:p w14:paraId="7925FBC2" w14:textId="77777777" w:rsidR="00662535" w:rsidRDefault="00662535" w:rsidP="00113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4ZTVjYzg5YWRmOWZkZWFiNzYxMzA4MWU0MmM0ZmIifQ=="/>
  </w:docVars>
  <w:rsids>
    <w:rsidRoot w:val="00301D32"/>
    <w:rsid w:val="00005A7C"/>
    <w:rsid w:val="00010D49"/>
    <w:rsid w:val="00011D0E"/>
    <w:rsid w:val="00026CC3"/>
    <w:rsid w:val="0003107F"/>
    <w:rsid w:val="00036089"/>
    <w:rsid w:val="000502ED"/>
    <w:rsid w:val="00052D0E"/>
    <w:rsid w:val="00053CFA"/>
    <w:rsid w:val="000615A7"/>
    <w:rsid w:val="000633EC"/>
    <w:rsid w:val="00063804"/>
    <w:rsid w:val="000665A2"/>
    <w:rsid w:val="00071BF2"/>
    <w:rsid w:val="00074AC2"/>
    <w:rsid w:val="000877AB"/>
    <w:rsid w:val="000A0C03"/>
    <w:rsid w:val="000A7D5E"/>
    <w:rsid w:val="000B054A"/>
    <w:rsid w:val="000B7C08"/>
    <w:rsid w:val="000C41EE"/>
    <w:rsid w:val="000C6B12"/>
    <w:rsid w:val="000D12CF"/>
    <w:rsid w:val="000D2D88"/>
    <w:rsid w:val="000D4515"/>
    <w:rsid w:val="000E4B20"/>
    <w:rsid w:val="000F3474"/>
    <w:rsid w:val="00105B7E"/>
    <w:rsid w:val="001133EB"/>
    <w:rsid w:val="0011418F"/>
    <w:rsid w:val="001163AC"/>
    <w:rsid w:val="0011677D"/>
    <w:rsid w:val="00127C83"/>
    <w:rsid w:val="00131AA7"/>
    <w:rsid w:val="00132387"/>
    <w:rsid w:val="0016736C"/>
    <w:rsid w:val="001728E7"/>
    <w:rsid w:val="00172C24"/>
    <w:rsid w:val="0018345F"/>
    <w:rsid w:val="001868BD"/>
    <w:rsid w:val="00192142"/>
    <w:rsid w:val="001B2586"/>
    <w:rsid w:val="001B48DD"/>
    <w:rsid w:val="001C709F"/>
    <w:rsid w:val="001D5A6C"/>
    <w:rsid w:val="001E59D1"/>
    <w:rsid w:val="001E5EA4"/>
    <w:rsid w:val="001F0837"/>
    <w:rsid w:val="002042A7"/>
    <w:rsid w:val="0020534F"/>
    <w:rsid w:val="00205911"/>
    <w:rsid w:val="00213C26"/>
    <w:rsid w:val="002146AD"/>
    <w:rsid w:val="00214E04"/>
    <w:rsid w:val="00215EB2"/>
    <w:rsid w:val="002269CC"/>
    <w:rsid w:val="00236626"/>
    <w:rsid w:val="00240C5C"/>
    <w:rsid w:val="00242806"/>
    <w:rsid w:val="00243C62"/>
    <w:rsid w:val="0024711D"/>
    <w:rsid w:val="002631B4"/>
    <w:rsid w:val="002679AE"/>
    <w:rsid w:val="00275CB6"/>
    <w:rsid w:val="002800B5"/>
    <w:rsid w:val="00287E4D"/>
    <w:rsid w:val="00295B29"/>
    <w:rsid w:val="002C1CEF"/>
    <w:rsid w:val="002C4D23"/>
    <w:rsid w:val="002D4073"/>
    <w:rsid w:val="002E7098"/>
    <w:rsid w:val="002F6C84"/>
    <w:rsid w:val="00301D32"/>
    <w:rsid w:val="00305DEE"/>
    <w:rsid w:val="0030633F"/>
    <w:rsid w:val="003127EA"/>
    <w:rsid w:val="00333A07"/>
    <w:rsid w:val="003417B8"/>
    <w:rsid w:val="00351D5E"/>
    <w:rsid w:val="0035434C"/>
    <w:rsid w:val="00354397"/>
    <w:rsid w:val="00357593"/>
    <w:rsid w:val="00360541"/>
    <w:rsid w:val="0036251B"/>
    <w:rsid w:val="00363C0F"/>
    <w:rsid w:val="00366FAD"/>
    <w:rsid w:val="0037105B"/>
    <w:rsid w:val="00375AAB"/>
    <w:rsid w:val="00382969"/>
    <w:rsid w:val="00383941"/>
    <w:rsid w:val="003975BA"/>
    <w:rsid w:val="00397807"/>
    <w:rsid w:val="003A57E6"/>
    <w:rsid w:val="003A74E6"/>
    <w:rsid w:val="003B73DD"/>
    <w:rsid w:val="003B783B"/>
    <w:rsid w:val="003C49F8"/>
    <w:rsid w:val="003D011C"/>
    <w:rsid w:val="003D6A44"/>
    <w:rsid w:val="003E0D0F"/>
    <w:rsid w:val="003F4805"/>
    <w:rsid w:val="003F7704"/>
    <w:rsid w:val="0040411A"/>
    <w:rsid w:val="004061F8"/>
    <w:rsid w:val="004108C7"/>
    <w:rsid w:val="00412DC2"/>
    <w:rsid w:val="00413718"/>
    <w:rsid w:val="00426AF0"/>
    <w:rsid w:val="00426CA4"/>
    <w:rsid w:val="0043206D"/>
    <w:rsid w:val="00440041"/>
    <w:rsid w:val="00451268"/>
    <w:rsid w:val="004515AD"/>
    <w:rsid w:val="00451857"/>
    <w:rsid w:val="00453516"/>
    <w:rsid w:val="00457548"/>
    <w:rsid w:val="00465B53"/>
    <w:rsid w:val="00470DB2"/>
    <w:rsid w:val="004925E7"/>
    <w:rsid w:val="00495B11"/>
    <w:rsid w:val="004B14AB"/>
    <w:rsid w:val="004B24CE"/>
    <w:rsid w:val="004B5EB2"/>
    <w:rsid w:val="004C594B"/>
    <w:rsid w:val="004D0A2E"/>
    <w:rsid w:val="004E2FD9"/>
    <w:rsid w:val="004F4AE8"/>
    <w:rsid w:val="004F6FF3"/>
    <w:rsid w:val="00511F0F"/>
    <w:rsid w:val="005207EB"/>
    <w:rsid w:val="0052398E"/>
    <w:rsid w:val="005248DE"/>
    <w:rsid w:val="005346F8"/>
    <w:rsid w:val="0053583E"/>
    <w:rsid w:val="00541A5A"/>
    <w:rsid w:val="00571B49"/>
    <w:rsid w:val="005743AE"/>
    <w:rsid w:val="00586299"/>
    <w:rsid w:val="005872E8"/>
    <w:rsid w:val="0059193D"/>
    <w:rsid w:val="005A74DC"/>
    <w:rsid w:val="005B1452"/>
    <w:rsid w:val="005D64CA"/>
    <w:rsid w:val="005E2929"/>
    <w:rsid w:val="005E3AE1"/>
    <w:rsid w:val="005E5663"/>
    <w:rsid w:val="005E5717"/>
    <w:rsid w:val="005E6DB2"/>
    <w:rsid w:val="00603B8F"/>
    <w:rsid w:val="0061433E"/>
    <w:rsid w:val="006223FA"/>
    <w:rsid w:val="00623856"/>
    <w:rsid w:val="00624192"/>
    <w:rsid w:val="0062751D"/>
    <w:rsid w:val="00632D14"/>
    <w:rsid w:val="006354AA"/>
    <w:rsid w:val="00653046"/>
    <w:rsid w:val="00661AFA"/>
    <w:rsid w:val="00662535"/>
    <w:rsid w:val="00665B25"/>
    <w:rsid w:val="0066676E"/>
    <w:rsid w:val="00671D98"/>
    <w:rsid w:val="006726BF"/>
    <w:rsid w:val="006728B6"/>
    <w:rsid w:val="0067414F"/>
    <w:rsid w:val="00677B77"/>
    <w:rsid w:val="00684257"/>
    <w:rsid w:val="00686EE4"/>
    <w:rsid w:val="0068718A"/>
    <w:rsid w:val="00694256"/>
    <w:rsid w:val="006A2739"/>
    <w:rsid w:val="006A4598"/>
    <w:rsid w:val="006B2CEF"/>
    <w:rsid w:val="006B5C95"/>
    <w:rsid w:val="006C4AF6"/>
    <w:rsid w:val="006E14B0"/>
    <w:rsid w:val="006F0108"/>
    <w:rsid w:val="006F3207"/>
    <w:rsid w:val="00704AE6"/>
    <w:rsid w:val="00704D8A"/>
    <w:rsid w:val="00707766"/>
    <w:rsid w:val="00711570"/>
    <w:rsid w:val="007153A2"/>
    <w:rsid w:val="00724A68"/>
    <w:rsid w:val="007271BF"/>
    <w:rsid w:val="00730DD3"/>
    <w:rsid w:val="00733224"/>
    <w:rsid w:val="00734DC0"/>
    <w:rsid w:val="0075011F"/>
    <w:rsid w:val="007504A1"/>
    <w:rsid w:val="0075459D"/>
    <w:rsid w:val="00764128"/>
    <w:rsid w:val="00765095"/>
    <w:rsid w:val="007815A8"/>
    <w:rsid w:val="007824B8"/>
    <w:rsid w:val="00782C50"/>
    <w:rsid w:val="00786337"/>
    <w:rsid w:val="007910DD"/>
    <w:rsid w:val="00796AA5"/>
    <w:rsid w:val="007A066B"/>
    <w:rsid w:val="007A3EC1"/>
    <w:rsid w:val="007A74AD"/>
    <w:rsid w:val="007B1920"/>
    <w:rsid w:val="007B3368"/>
    <w:rsid w:val="007D0A69"/>
    <w:rsid w:val="007D2152"/>
    <w:rsid w:val="007D28F1"/>
    <w:rsid w:val="007D6DC4"/>
    <w:rsid w:val="00801F96"/>
    <w:rsid w:val="00803504"/>
    <w:rsid w:val="00813217"/>
    <w:rsid w:val="0081703B"/>
    <w:rsid w:val="00833C37"/>
    <w:rsid w:val="008429E7"/>
    <w:rsid w:val="00852D46"/>
    <w:rsid w:val="00853463"/>
    <w:rsid w:val="008601E1"/>
    <w:rsid w:val="00867551"/>
    <w:rsid w:val="00871117"/>
    <w:rsid w:val="008901C0"/>
    <w:rsid w:val="00893EA3"/>
    <w:rsid w:val="00893F25"/>
    <w:rsid w:val="00895035"/>
    <w:rsid w:val="008B2B14"/>
    <w:rsid w:val="008B2CEF"/>
    <w:rsid w:val="008B7620"/>
    <w:rsid w:val="008C13F5"/>
    <w:rsid w:val="008C2E7B"/>
    <w:rsid w:val="008C6AED"/>
    <w:rsid w:val="008C7604"/>
    <w:rsid w:val="008E1B27"/>
    <w:rsid w:val="008E5A48"/>
    <w:rsid w:val="00901E13"/>
    <w:rsid w:val="00903379"/>
    <w:rsid w:val="00906975"/>
    <w:rsid w:val="00916BB8"/>
    <w:rsid w:val="00917F0B"/>
    <w:rsid w:val="00917F8B"/>
    <w:rsid w:val="009254E3"/>
    <w:rsid w:val="00934446"/>
    <w:rsid w:val="009348FC"/>
    <w:rsid w:val="0093534C"/>
    <w:rsid w:val="00954C05"/>
    <w:rsid w:val="00960964"/>
    <w:rsid w:val="0096097F"/>
    <w:rsid w:val="00960AC8"/>
    <w:rsid w:val="00965E4D"/>
    <w:rsid w:val="009662E7"/>
    <w:rsid w:val="009716A6"/>
    <w:rsid w:val="00974D68"/>
    <w:rsid w:val="009805A2"/>
    <w:rsid w:val="00986789"/>
    <w:rsid w:val="00991BB3"/>
    <w:rsid w:val="00996A13"/>
    <w:rsid w:val="009A25B6"/>
    <w:rsid w:val="009A63AC"/>
    <w:rsid w:val="009A6554"/>
    <w:rsid w:val="009A70CF"/>
    <w:rsid w:val="009B0D58"/>
    <w:rsid w:val="009B1D5C"/>
    <w:rsid w:val="009C1C1F"/>
    <w:rsid w:val="009C2952"/>
    <w:rsid w:val="009C2E31"/>
    <w:rsid w:val="009C7934"/>
    <w:rsid w:val="009D3625"/>
    <w:rsid w:val="009D5D90"/>
    <w:rsid w:val="009E1955"/>
    <w:rsid w:val="009F1C61"/>
    <w:rsid w:val="009F7406"/>
    <w:rsid w:val="00A03895"/>
    <w:rsid w:val="00A125A8"/>
    <w:rsid w:val="00A14899"/>
    <w:rsid w:val="00A16640"/>
    <w:rsid w:val="00A20048"/>
    <w:rsid w:val="00A21E83"/>
    <w:rsid w:val="00A229BF"/>
    <w:rsid w:val="00A33D27"/>
    <w:rsid w:val="00A35E47"/>
    <w:rsid w:val="00A3769B"/>
    <w:rsid w:val="00A509F9"/>
    <w:rsid w:val="00A51238"/>
    <w:rsid w:val="00A527AA"/>
    <w:rsid w:val="00A54A97"/>
    <w:rsid w:val="00A5684D"/>
    <w:rsid w:val="00A61096"/>
    <w:rsid w:val="00A61774"/>
    <w:rsid w:val="00A75C61"/>
    <w:rsid w:val="00A76CCD"/>
    <w:rsid w:val="00A94A63"/>
    <w:rsid w:val="00A958E8"/>
    <w:rsid w:val="00A9601B"/>
    <w:rsid w:val="00AA0AC2"/>
    <w:rsid w:val="00AD04A5"/>
    <w:rsid w:val="00AD0713"/>
    <w:rsid w:val="00AD100E"/>
    <w:rsid w:val="00AD2160"/>
    <w:rsid w:val="00AE1E36"/>
    <w:rsid w:val="00AE642E"/>
    <w:rsid w:val="00AF0CD6"/>
    <w:rsid w:val="00AF21EA"/>
    <w:rsid w:val="00AF74AA"/>
    <w:rsid w:val="00B0221F"/>
    <w:rsid w:val="00B03C2F"/>
    <w:rsid w:val="00B043F0"/>
    <w:rsid w:val="00B07046"/>
    <w:rsid w:val="00B15064"/>
    <w:rsid w:val="00B23AEB"/>
    <w:rsid w:val="00B340A3"/>
    <w:rsid w:val="00B410F5"/>
    <w:rsid w:val="00B42718"/>
    <w:rsid w:val="00B4295D"/>
    <w:rsid w:val="00B472FE"/>
    <w:rsid w:val="00B622E1"/>
    <w:rsid w:val="00B6280C"/>
    <w:rsid w:val="00B636C1"/>
    <w:rsid w:val="00B665B5"/>
    <w:rsid w:val="00B671A4"/>
    <w:rsid w:val="00B672B2"/>
    <w:rsid w:val="00B72CD4"/>
    <w:rsid w:val="00B85B00"/>
    <w:rsid w:val="00B9343E"/>
    <w:rsid w:val="00B96332"/>
    <w:rsid w:val="00BE408A"/>
    <w:rsid w:val="00BE66EE"/>
    <w:rsid w:val="00BF0218"/>
    <w:rsid w:val="00BF132F"/>
    <w:rsid w:val="00BF2FCC"/>
    <w:rsid w:val="00BF37FE"/>
    <w:rsid w:val="00BF4857"/>
    <w:rsid w:val="00BF669C"/>
    <w:rsid w:val="00C13878"/>
    <w:rsid w:val="00C30029"/>
    <w:rsid w:val="00C33393"/>
    <w:rsid w:val="00C338E0"/>
    <w:rsid w:val="00C50065"/>
    <w:rsid w:val="00C5475E"/>
    <w:rsid w:val="00C607F5"/>
    <w:rsid w:val="00C60BFF"/>
    <w:rsid w:val="00C72F8E"/>
    <w:rsid w:val="00C95355"/>
    <w:rsid w:val="00CA1705"/>
    <w:rsid w:val="00CA6420"/>
    <w:rsid w:val="00CC5943"/>
    <w:rsid w:val="00CD641D"/>
    <w:rsid w:val="00CE1A54"/>
    <w:rsid w:val="00CE2C31"/>
    <w:rsid w:val="00CE62F8"/>
    <w:rsid w:val="00CE69F5"/>
    <w:rsid w:val="00CF2DE3"/>
    <w:rsid w:val="00CF5FB6"/>
    <w:rsid w:val="00CF7A00"/>
    <w:rsid w:val="00D02518"/>
    <w:rsid w:val="00D03F19"/>
    <w:rsid w:val="00D04E77"/>
    <w:rsid w:val="00D05F0F"/>
    <w:rsid w:val="00D17454"/>
    <w:rsid w:val="00D25A9E"/>
    <w:rsid w:val="00D33FBC"/>
    <w:rsid w:val="00D467CE"/>
    <w:rsid w:val="00D63863"/>
    <w:rsid w:val="00D71312"/>
    <w:rsid w:val="00D72703"/>
    <w:rsid w:val="00D7535C"/>
    <w:rsid w:val="00D76302"/>
    <w:rsid w:val="00D76FE4"/>
    <w:rsid w:val="00D80560"/>
    <w:rsid w:val="00D87ABF"/>
    <w:rsid w:val="00D94FA0"/>
    <w:rsid w:val="00DA5CE2"/>
    <w:rsid w:val="00DC11E9"/>
    <w:rsid w:val="00DC3685"/>
    <w:rsid w:val="00DE10E8"/>
    <w:rsid w:val="00DF24C9"/>
    <w:rsid w:val="00DF47D2"/>
    <w:rsid w:val="00E050BC"/>
    <w:rsid w:val="00E147FB"/>
    <w:rsid w:val="00E1500D"/>
    <w:rsid w:val="00E16FDA"/>
    <w:rsid w:val="00E175AB"/>
    <w:rsid w:val="00E35F58"/>
    <w:rsid w:val="00E45BD9"/>
    <w:rsid w:val="00E54141"/>
    <w:rsid w:val="00E620C7"/>
    <w:rsid w:val="00E66FFC"/>
    <w:rsid w:val="00E67F5E"/>
    <w:rsid w:val="00E759D6"/>
    <w:rsid w:val="00E76EF3"/>
    <w:rsid w:val="00E772C4"/>
    <w:rsid w:val="00E84A8C"/>
    <w:rsid w:val="00E9635F"/>
    <w:rsid w:val="00E976DE"/>
    <w:rsid w:val="00EA6E14"/>
    <w:rsid w:val="00EB4621"/>
    <w:rsid w:val="00EB5569"/>
    <w:rsid w:val="00EC0F83"/>
    <w:rsid w:val="00ED1C81"/>
    <w:rsid w:val="00ED531A"/>
    <w:rsid w:val="00ED5BC4"/>
    <w:rsid w:val="00EE1844"/>
    <w:rsid w:val="00EE3187"/>
    <w:rsid w:val="00EF499B"/>
    <w:rsid w:val="00F14977"/>
    <w:rsid w:val="00F24AC5"/>
    <w:rsid w:val="00F2695A"/>
    <w:rsid w:val="00F40E2B"/>
    <w:rsid w:val="00F40FED"/>
    <w:rsid w:val="00F44EC5"/>
    <w:rsid w:val="00F50274"/>
    <w:rsid w:val="00F60A73"/>
    <w:rsid w:val="00F62DA1"/>
    <w:rsid w:val="00F77707"/>
    <w:rsid w:val="00F8157F"/>
    <w:rsid w:val="00F81E45"/>
    <w:rsid w:val="00F8504F"/>
    <w:rsid w:val="00FA7217"/>
    <w:rsid w:val="00FB22B9"/>
    <w:rsid w:val="00FB2D80"/>
    <w:rsid w:val="00FB4A08"/>
    <w:rsid w:val="00FB7381"/>
    <w:rsid w:val="00FC0C2A"/>
    <w:rsid w:val="00FC2B2A"/>
    <w:rsid w:val="00FD59E6"/>
    <w:rsid w:val="00FD7F8E"/>
    <w:rsid w:val="00FF11E4"/>
    <w:rsid w:val="00FF61A7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613A94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FDC6B"/>
  <w15:docId w15:val="{82FBDD06-05C0-4E9F-8BB9-BBC87ADE5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Hyperlink"/>
    <w:basedOn w:val="a0"/>
    <w:rPr>
      <w:color w:val="0000FF"/>
      <w:u w:val="single"/>
    </w:rPr>
  </w:style>
  <w:style w:type="character" w:styleId="af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宋体" w:eastAsia="宋体" w:hAnsi="宋体" w:cs="宋体"/>
    </w:rPr>
  </w:style>
  <w:style w:type="paragraph" w:customStyle="1" w:styleId="10">
    <w:name w:val="修订1"/>
    <w:hidden/>
    <w:uiPriority w:val="99"/>
    <w:unhideWhenUsed/>
    <w:rPr>
      <w:rFonts w:ascii="仿宋" w:eastAsia="仿宋" w:hAnsi="仿宋" w:cs="仿宋"/>
      <w:sz w:val="22"/>
      <w:szCs w:val="22"/>
      <w:lang w:val="zh-CN" w:bidi="zh-CN"/>
    </w:rPr>
  </w:style>
  <w:style w:type="paragraph" w:styleId="af1">
    <w:name w:val="Revision"/>
    <w:hidden/>
    <w:uiPriority w:val="99"/>
    <w:unhideWhenUsed/>
    <w:rsid w:val="001133EB"/>
    <w:rPr>
      <w:rFonts w:ascii="仿宋" w:eastAsia="仿宋" w:hAnsi="仿宋" w:cs="仿宋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4973B-63D7-49C4-B00D-871BFCA92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syw</cp:lastModifiedBy>
  <cp:revision>2</cp:revision>
  <cp:lastPrinted>2024-07-19T02:55:00Z</cp:lastPrinted>
  <dcterms:created xsi:type="dcterms:W3CDTF">2025-04-02T09:26:00Z</dcterms:created>
  <dcterms:modified xsi:type="dcterms:W3CDTF">2025-04-02T09:26:00Z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57D148DF2F764966BF4E1C38A6255FA2</vt:lpwstr>
  </property>
</Properties>
</file>