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07E82" w14:textId="77777777" w:rsidR="003775AB" w:rsidRPr="0030260F" w:rsidRDefault="003775AB" w:rsidP="003775AB">
      <w:pPr>
        <w:spacing w:afterLines="50" w:after="156" w:line="400" w:lineRule="exact"/>
        <w:jc w:val="center"/>
        <w:rPr>
          <w:rFonts w:cs="方正小标宋_GBK"/>
          <w:b/>
          <w:bCs/>
          <w:iCs/>
          <w:color w:val="000000"/>
          <w:sz w:val="24"/>
        </w:rPr>
      </w:pPr>
      <w:r w:rsidRPr="0030260F">
        <w:rPr>
          <w:rFonts w:cs="方正小标宋_GBK" w:hint="eastAsia"/>
          <w:b/>
          <w:bCs/>
          <w:iCs/>
          <w:color w:val="000000"/>
          <w:sz w:val="24"/>
        </w:rPr>
        <w:t>证券代码：</w:t>
      </w:r>
      <w:r>
        <w:rPr>
          <w:rFonts w:cs="方正小标宋_GBK" w:hint="eastAsia"/>
          <w:b/>
          <w:bCs/>
          <w:iCs/>
          <w:color w:val="000000"/>
          <w:sz w:val="24"/>
        </w:rPr>
        <w:t>60</w:t>
      </w:r>
      <w:r>
        <w:rPr>
          <w:rFonts w:cs="方正小标宋_GBK"/>
          <w:b/>
          <w:bCs/>
          <w:iCs/>
          <w:color w:val="000000"/>
          <w:sz w:val="24"/>
        </w:rPr>
        <w:t>0970</w:t>
      </w:r>
      <w:r w:rsidRPr="0030260F">
        <w:rPr>
          <w:rFonts w:cs="方正小标宋_GBK" w:hint="eastAsia"/>
          <w:b/>
          <w:bCs/>
          <w:iCs/>
          <w:color w:val="000000"/>
          <w:sz w:val="24"/>
        </w:rPr>
        <w:t xml:space="preserve"> </w:t>
      </w:r>
      <w:r>
        <w:rPr>
          <w:rFonts w:cs="方正小标宋_GBK" w:hint="eastAsia"/>
          <w:b/>
          <w:bCs/>
          <w:iCs/>
          <w:color w:val="000000"/>
          <w:sz w:val="24"/>
        </w:rPr>
        <w:t xml:space="preserve">                                   </w:t>
      </w:r>
      <w:r w:rsidRPr="0030260F">
        <w:rPr>
          <w:rFonts w:cs="方正小标宋_GBK" w:hint="eastAsia"/>
          <w:b/>
          <w:bCs/>
          <w:iCs/>
          <w:color w:val="000000"/>
          <w:sz w:val="24"/>
        </w:rPr>
        <w:t>证券简称：</w:t>
      </w:r>
      <w:r>
        <w:rPr>
          <w:rFonts w:cs="方正小标宋_GBK" w:hint="eastAsia"/>
          <w:b/>
          <w:bCs/>
          <w:iCs/>
          <w:color w:val="000000"/>
          <w:sz w:val="24"/>
        </w:rPr>
        <w:t>中材国际</w:t>
      </w:r>
    </w:p>
    <w:p w14:paraId="34822149" w14:textId="77777777" w:rsidR="003775AB" w:rsidRDefault="003775AB" w:rsidP="003775AB">
      <w:pPr>
        <w:spacing w:beforeLines="150" w:before="468" w:afterLines="50" w:after="156" w:line="400" w:lineRule="exact"/>
        <w:jc w:val="center"/>
        <w:rPr>
          <w:rFonts w:ascii="方正小标宋_GBK" w:eastAsia="方正小标宋_GBK" w:hAnsi="方正小标宋_GBK" w:cs="方正小标宋_GBK"/>
          <w:bCs/>
          <w:iCs/>
          <w:color w:val="000000"/>
          <w:sz w:val="32"/>
          <w:szCs w:val="32"/>
        </w:rPr>
      </w:pPr>
      <w:r>
        <w:rPr>
          <w:rFonts w:ascii="方正小标宋_GBK" w:eastAsia="方正小标宋_GBK" w:hAnsi="方正小标宋_GBK" w:cs="方正小标宋_GBK" w:hint="eastAsia"/>
          <w:bCs/>
          <w:iCs/>
          <w:color w:val="000000"/>
          <w:sz w:val="32"/>
          <w:szCs w:val="32"/>
        </w:rPr>
        <w:t>中国中材国际工程股份有限公司投资者沟通情况</w:t>
      </w:r>
    </w:p>
    <w:p w14:paraId="7F43C21C" w14:textId="77777777" w:rsidR="00133438" w:rsidRDefault="001334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8363"/>
      </w:tblGrid>
      <w:tr w:rsidR="003775AB" w:rsidRPr="0030260F" w14:paraId="356530FA" w14:textId="77777777" w:rsidTr="00133438">
        <w:trPr>
          <w:trHeight w:val="1071"/>
          <w:jc w:val="center"/>
        </w:trPr>
        <w:tc>
          <w:tcPr>
            <w:tcW w:w="1814" w:type="dxa"/>
            <w:vAlign w:val="center"/>
          </w:tcPr>
          <w:p w14:paraId="657AAF25" w14:textId="77777777" w:rsidR="003775AB" w:rsidRPr="0030260F" w:rsidRDefault="003775AB" w:rsidP="00B0555C">
            <w:pPr>
              <w:snapToGrid w:val="0"/>
              <w:rPr>
                <w:rFonts w:cs="方正黑体_GBK"/>
                <w:bCs/>
                <w:iCs/>
                <w:color w:val="000000"/>
                <w:sz w:val="24"/>
              </w:rPr>
            </w:pPr>
            <w:r w:rsidRPr="0030260F">
              <w:rPr>
                <w:rFonts w:cs="方正黑体_GBK" w:hint="eastAsia"/>
                <w:bCs/>
                <w:iCs/>
                <w:color w:val="000000"/>
                <w:sz w:val="24"/>
              </w:rPr>
              <w:t>活动类别</w:t>
            </w:r>
          </w:p>
        </w:tc>
        <w:tc>
          <w:tcPr>
            <w:tcW w:w="8363" w:type="dxa"/>
            <w:tcBorders>
              <w:bottom w:val="single" w:sz="4" w:space="0" w:color="auto"/>
            </w:tcBorders>
            <w:vAlign w:val="center"/>
          </w:tcPr>
          <w:p w14:paraId="2E9E0BC3" w14:textId="77777777" w:rsidR="003775AB" w:rsidRPr="0030260F" w:rsidRDefault="00CC5DB0" w:rsidP="00AE4F83">
            <w:pPr>
              <w:autoSpaceDE w:val="0"/>
              <w:autoSpaceDN w:val="0"/>
              <w:adjustRightInd w:val="0"/>
              <w:snapToGrid w:val="0"/>
              <w:spacing w:line="440" w:lineRule="exact"/>
              <w:rPr>
                <w:rFonts w:cs="MS Mincho"/>
                <w:sz w:val="24"/>
              </w:rPr>
            </w:pPr>
            <w:r w:rsidRPr="0030260F">
              <w:rPr>
                <w:rFonts w:cs="MS Mincho" w:hint="eastAsia"/>
                <w:sz w:val="24"/>
              </w:rPr>
              <w:sym w:font="Wingdings" w:char="F0FE"/>
            </w:r>
            <w:r w:rsidR="003775AB" w:rsidRPr="0030260F">
              <w:rPr>
                <w:rFonts w:cs="MS Mincho" w:hint="eastAsia"/>
                <w:sz w:val="24"/>
              </w:rPr>
              <w:t>特定对象调研</w:t>
            </w:r>
            <w:r w:rsidR="003775AB" w:rsidRPr="0030260F">
              <w:rPr>
                <w:rFonts w:cs="MS Mincho"/>
                <w:sz w:val="24"/>
              </w:rPr>
              <w:t xml:space="preserve">      </w:t>
            </w:r>
            <w:r w:rsidR="00443C00" w:rsidRPr="0030260F">
              <w:rPr>
                <w:rFonts w:cs="MS Mincho" w:hint="eastAsia"/>
                <w:sz w:val="24"/>
              </w:rPr>
              <w:t>□</w:t>
            </w:r>
            <w:r w:rsidR="003775AB" w:rsidRPr="0030260F">
              <w:rPr>
                <w:rFonts w:cs="MS Mincho" w:hint="eastAsia"/>
                <w:sz w:val="24"/>
              </w:rPr>
              <w:t>现场参观</w:t>
            </w:r>
            <w:r w:rsidR="003775AB" w:rsidRPr="0030260F">
              <w:rPr>
                <w:rFonts w:cs="MS Mincho" w:hint="eastAsia"/>
                <w:sz w:val="24"/>
              </w:rPr>
              <w:t xml:space="preserve">        </w:t>
            </w:r>
            <w:r w:rsidR="003775AB" w:rsidRPr="0030260F">
              <w:rPr>
                <w:rFonts w:cs="MS Mincho" w:hint="eastAsia"/>
                <w:sz w:val="24"/>
              </w:rPr>
              <w:t>□媒体采访</w:t>
            </w:r>
            <w:r w:rsidR="003775AB" w:rsidRPr="0030260F">
              <w:rPr>
                <w:rFonts w:cs="MS Mincho" w:hint="eastAsia"/>
                <w:sz w:val="24"/>
              </w:rPr>
              <w:t xml:space="preserve">    </w:t>
            </w:r>
            <w:r w:rsidR="003775AB">
              <w:rPr>
                <w:rFonts w:cs="MS Mincho"/>
                <w:sz w:val="24"/>
              </w:rPr>
              <w:t xml:space="preserve"> </w:t>
            </w:r>
            <w:r w:rsidR="00D34015" w:rsidRPr="0030260F">
              <w:rPr>
                <w:rFonts w:cs="MS Mincho" w:hint="eastAsia"/>
                <w:sz w:val="24"/>
              </w:rPr>
              <w:t>□</w:t>
            </w:r>
            <w:r w:rsidR="003775AB" w:rsidRPr="00D74146">
              <w:rPr>
                <w:rFonts w:cs="MS Mincho" w:hint="eastAsia"/>
                <w:sz w:val="24"/>
              </w:rPr>
              <w:t>券商策略会</w:t>
            </w:r>
          </w:p>
          <w:p w14:paraId="00361235" w14:textId="77777777" w:rsidR="003775AB" w:rsidRPr="0030260F" w:rsidRDefault="00D34015" w:rsidP="00AE4F83">
            <w:pPr>
              <w:autoSpaceDE w:val="0"/>
              <w:autoSpaceDN w:val="0"/>
              <w:adjustRightInd w:val="0"/>
              <w:snapToGrid w:val="0"/>
              <w:spacing w:line="440" w:lineRule="exact"/>
              <w:rPr>
                <w:bCs/>
                <w:iCs/>
                <w:color w:val="000000"/>
                <w:sz w:val="24"/>
              </w:rPr>
            </w:pPr>
            <w:r w:rsidRPr="0030260F">
              <w:rPr>
                <w:rFonts w:cs="MS Mincho" w:hint="eastAsia"/>
                <w:sz w:val="24"/>
              </w:rPr>
              <w:sym w:font="Wingdings" w:char="F0FE"/>
            </w:r>
            <w:r w:rsidR="003775AB" w:rsidRPr="0030260F">
              <w:rPr>
                <w:rFonts w:cs="MS Mincho" w:hint="eastAsia"/>
                <w:sz w:val="24"/>
              </w:rPr>
              <w:t>业绩说明会</w:t>
            </w:r>
            <w:r w:rsidR="003775AB" w:rsidRPr="0030260F">
              <w:rPr>
                <w:rFonts w:cs="MS Mincho" w:hint="eastAsia"/>
                <w:sz w:val="24"/>
              </w:rPr>
              <w:t xml:space="preserve">        </w:t>
            </w:r>
            <w:r w:rsidR="003775AB" w:rsidRPr="0030260F">
              <w:rPr>
                <w:rFonts w:cs="MS Mincho" w:hint="eastAsia"/>
                <w:sz w:val="24"/>
              </w:rPr>
              <w:t>□新闻发布会</w:t>
            </w:r>
            <w:r w:rsidR="003775AB" w:rsidRPr="0030260F">
              <w:rPr>
                <w:rFonts w:cs="MS Mincho"/>
                <w:sz w:val="24"/>
              </w:rPr>
              <w:t xml:space="preserve">      </w:t>
            </w:r>
            <w:r w:rsidRPr="0030260F">
              <w:rPr>
                <w:rFonts w:cs="MS Mincho" w:hint="eastAsia"/>
                <w:sz w:val="24"/>
              </w:rPr>
              <w:sym w:font="Wingdings" w:char="F0FE"/>
            </w:r>
            <w:r w:rsidR="003775AB" w:rsidRPr="0030260F">
              <w:rPr>
                <w:rFonts w:cs="MS Mincho" w:hint="eastAsia"/>
                <w:sz w:val="24"/>
              </w:rPr>
              <w:t>路演活动</w:t>
            </w:r>
            <w:r w:rsidR="003775AB" w:rsidRPr="0030260F">
              <w:rPr>
                <w:rFonts w:cs="MS Mincho"/>
                <w:sz w:val="24"/>
              </w:rPr>
              <w:t xml:space="preserve">     </w:t>
            </w:r>
            <w:r w:rsidRPr="0030260F">
              <w:rPr>
                <w:rFonts w:cs="MS Mincho" w:hint="eastAsia"/>
                <w:sz w:val="24"/>
              </w:rPr>
              <w:sym w:font="Wingdings" w:char="F0FE"/>
            </w:r>
            <w:r w:rsidR="003775AB" w:rsidRPr="0030260F">
              <w:rPr>
                <w:rFonts w:cs="MS Mincho" w:hint="eastAsia"/>
                <w:sz w:val="24"/>
              </w:rPr>
              <w:t>电话会议</w:t>
            </w:r>
          </w:p>
        </w:tc>
      </w:tr>
      <w:tr w:rsidR="003775AB" w:rsidRPr="0030260F" w14:paraId="1AE38A82" w14:textId="77777777" w:rsidTr="00133438">
        <w:trPr>
          <w:trHeight w:val="602"/>
          <w:jc w:val="center"/>
        </w:trPr>
        <w:tc>
          <w:tcPr>
            <w:tcW w:w="1814" w:type="dxa"/>
            <w:vAlign w:val="center"/>
          </w:tcPr>
          <w:p w14:paraId="0614C9BB" w14:textId="77777777" w:rsidR="003775AB" w:rsidRPr="00D47273" w:rsidRDefault="003775AB" w:rsidP="00B0555C">
            <w:pPr>
              <w:snapToGrid w:val="0"/>
              <w:rPr>
                <w:rFonts w:ascii="宋体" w:hAnsi="宋体" w:cs="方正黑体_GBK"/>
                <w:bCs/>
                <w:iCs/>
                <w:color w:val="000000"/>
                <w:sz w:val="24"/>
              </w:rPr>
            </w:pPr>
            <w:r w:rsidRPr="00D47273">
              <w:rPr>
                <w:rFonts w:ascii="宋体" w:hAnsi="宋体" w:cs="方正黑体_GBK" w:hint="eastAsia"/>
                <w:bCs/>
                <w:iCs/>
                <w:color w:val="000000"/>
                <w:sz w:val="24"/>
              </w:rPr>
              <w:t>活动时间</w:t>
            </w:r>
          </w:p>
        </w:tc>
        <w:tc>
          <w:tcPr>
            <w:tcW w:w="8363" w:type="dxa"/>
            <w:tcBorders>
              <w:top w:val="single" w:sz="4" w:space="0" w:color="auto"/>
            </w:tcBorders>
            <w:vAlign w:val="center"/>
          </w:tcPr>
          <w:p w14:paraId="668BC3CD" w14:textId="77777777" w:rsidR="003775AB" w:rsidRPr="00D47273" w:rsidRDefault="003775AB" w:rsidP="009370B1">
            <w:pPr>
              <w:autoSpaceDE w:val="0"/>
              <w:autoSpaceDN w:val="0"/>
              <w:adjustRightInd w:val="0"/>
              <w:snapToGrid w:val="0"/>
              <w:rPr>
                <w:rFonts w:ascii="宋体" w:hAnsi="宋体"/>
                <w:bCs/>
                <w:iCs/>
                <w:color w:val="000000"/>
                <w:sz w:val="24"/>
              </w:rPr>
            </w:pPr>
            <w:r w:rsidRPr="00D47273">
              <w:rPr>
                <w:rFonts w:ascii="宋体" w:hAnsi="宋体" w:cs="MS Mincho" w:hint="eastAsia"/>
                <w:sz w:val="24"/>
              </w:rPr>
              <w:t>202</w:t>
            </w:r>
            <w:r w:rsidR="00DD583B">
              <w:rPr>
                <w:rFonts w:ascii="宋体" w:hAnsi="宋体" w:cs="MS Mincho" w:hint="eastAsia"/>
                <w:sz w:val="24"/>
              </w:rPr>
              <w:t>5</w:t>
            </w:r>
            <w:r w:rsidRPr="00D47273">
              <w:rPr>
                <w:rFonts w:ascii="宋体" w:hAnsi="宋体" w:cs="MS Mincho" w:hint="eastAsia"/>
                <w:sz w:val="24"/>
              </w:rPr>
              <w:t>年</w:t>
            </w:r>
            <w:r w:rsidR="00DD583B">
              <w:rPr>
                <w:rFonts w:ascii="宋体" w:hAnsi="宋体" w:cs="MS Mincho" w:hint="eastAsia"/>
                <w:sz w:val="24"/>
              </w:rPr>
              <w:t>3</w:t>
            </w:r>
            <w:r w:rsidRPr="00D47273">
              <w:rPr>
                <w:rFonts w:ascii="宋体" w:hAnsi="宋体" w:cs="MS Mincho" w:hint="eastAsia"/>
                <w:sz w:val="24"/>
              </w:rPr>
              <w:t>月</w:t>
            </w:r>
            <w:r w:rsidR="00373511">
              <w:rPr>
                <w:rFonts w:ascii="宋体" w:hAnsi="宋体" w:cs="MS Mincho" w:hint="eastAsia"/>
                <w:sz w:val="24"/>
              </w:rPr>
              <w:t>26</w:t>
            </w:r>
            <w:r w:rsidR="00AF793E" w:rsidRPr="00D47273">
              <w:rPr>
                <w:rFonts w:ascii="宋体" w:hAnsi="宋体" w:cs="MS Mincho" w:hint="eastAsia"/>
                <w:sz w:val="24"/>
              </w:rPr>
              <w:t>日</w:t>
            </w:r>
            <w:r w:rsidRPr="00D47273">
              <w:rPr>
                <w:rFonts w:ascii="宋体" w:hAnsi="宋体" w:cs="MS Mincho" w:hint="eastAsia"/>
                <w:sz w:val="24"/>
              </w:rPr>
              <w:t>-</w:t>
            </w:r>
            <w:r w:rsidRPr="00D47273">
              <w:rPr>
                <w:rFonts w:ascii="宋体" w:hAnsi="宋体" w:cs="MS Mincho"/>
                <w:sz w:val="24"/>
              </w:rPr>
              <w:t>202</w:t>
            </w:r>
            <w:r w:rsidR="00373511">
              <w:rPr>
                <w:rFonts w:ascii="宋体" w:hAnsi="宋体" w:cs="MS Mincho" w:hint="eastAsia"/>
                <w:sz w:val="24"/>
              </w:rPr>
              <w:t>5</w:t>
            </w:r>
            <w:r w:rsidRPr="00D47273">
              <w:rPr>
                <w:rFonts w:ascii="宋体" w:hAnsi="宋体" w:cs="MS Mincho" w:hint="eastAsia"/>
                <w:sz w:val="24"/>
              </w:rPr>
              <w:t>年</w:t>
            </w:r>
            <w:r w:rsidR="00373511">
              <w:rPr>
                <w:rFonts w:ascii="宋体" w:hAnsi="宋体" w:cs="MS Mincho" w:hint="eastAsia"/>
                <w:sz w:val="24"/>
              </w:rPr>
              <w:t>3</w:t>
            </w:r>
            <w:r w:rsidRPr="00D47273">
              <w:rPr>
                <w:rFonts w:ascii="宋体" w:hAnsi="宋体" w:cs="MS Mincho" w:hint="eastAsia"/>
                <w:sz w:val="24"/>
              </w:rPr>
              <w:t>月</w:t>
            </w:r>
            <w:r w:rsidR="00373511">
              <w:rPr>
                <w:rFonts w:ascii="宋体" w:hAnsi="宋体" w:cs="MS Mincho" w:hint="eastAsia"/>
                <w:sz w:val="24"/>
              </w:rPr>
              <w:t>31</w:t>
            </w:r>
            <w:r w:rsidR="00B905A6" w:rsidRPr="00D47273">
              <w:rPr>
                <w:rFonts w:ascii="宋体" w:hAnsi="宋体" w:cs="MS Mincho" w:hint="eastAsia"/>
                <w:sz w:val="24"/>
              </w:rPr>
              <w:t>日</w:t>
            </w:r>
            <w:r w:rsidR="004F44C7" w:rsidRPr="00D47273">
              <w:rPr>
                <w:rFonts w:ascii="宋体" w:hAnsi="宋体" w:cs="MS Mincho" w:hint="eastAsia"/>
                <w:sz w:val="24"/>
              </w:rPr>
              <w:t xml:space="preserve"> </w:t>
            </w:r>
          </w:p>
        </w:tc>
      </w:tr>
      <w:tr w:rsidR="003775AB" w:rsidRPr="0030260F" w14:paraId="48E393FD" w14:textId="77777777" w:rsidTr="00133438">
        <w:trPr>
          <w:jc w:val="center"/>
        </w:trPr>
        <w:tc>
          <w:tcPr>
            <w:tcW w:w="1814" w:type="dxa"/>
            <w:vAlign w:val="center"/>
          </w:tcPr>
          <w:p w14:paraId="26455A72" w14:textId="77777777" w:rsidR="003775AB" w:rsidRPr="00D47273" w:rsidRDefault="003775AB" w:rsidP="00B0555C">
            <w:pPr>
              <w:autoSpaceDE w:val="0"/>
              <w:autoSpaceDN w:val="0"/>
              <w:adjustRightInd w:val="0"/>
              <w:snapToGrid w:val="0"/>
              <w:rPr>
                <w:rFonts w:ascii="宋体" w:hAnsi="宋体" w:cs="MS Mincho"/>
                <w:sz w:val="24"/>
              </w:rPr>
            </w:pPr>
            <w:r w:rsidRPr="00D47273">
              <w:rPr>
                <w:rFonts w:ascii="宋体" w:hAnsi="宋体" w:cs="MS Mincho" w:hint="eastAsia"/>
                <w:sz w:val="24"/>
              </w:rPr>
              <w:t>公司接待人员</w:t>
            </w:r>
          </w:p>
        </w:tc>
        <w:tc>
          <w:tcPr>
            <w:tcW w:w="8363" w:type="dxa"/>
            <w:vAlign w:val="center"/>
          </w:tcPr>
          <w:p w14:paraId="4DAB8A40" w14:textId="77777777" w:rsidR="003775AB" w:rsidRPr="00D47273" w:rsidRDefault="003F51A3" w:rsidP="00862533">
            <w:pPr>
              <w:autoSpaceDE w:val="0"/>
              <w:autoSpaceDN w:val="0"/>
              <w:adjustRightInd w:val="0"/>
              <w:snapToGrid w:val="0"/>
              <w:spacing w:beforeLines="50" w:before="156" w:afterLines="50" w:after="156"/>
              <w:rPr>
                <w:rFonts w:ascii="宋体" w:hAnsi="宋体" w:cs="MS Mincho"/>
                <w:sz w:val="24"/>
              </w:rPr>
            </w:pPr>
            <w:r w:rsidRPr="00D47273">
              <w:rPr>
                <w:rFonts w:ascii="宋体" w:hAnsi="宋体" w:cs="MS Mincho" w:hint="eastAsia"/>
                <w:sz w:val="24"/>
              </w:rPr>
              <w:t>董事长印志松，</w:t>
            </w:r>
            <w:r w:rsidR="00081816" w:rsidRPr="00081816">
              <w:rPr>
                <w:rFonts w:ascii="宋体" w:hAnsi="宋体" w:cs="MS Mincho" w:hint="eastAsia"/>
                <w:sz w:val="24"/>
              </w:rPr>
              <w:t>独立董事焦点</w:t>
            </w:r>
            <w:r w:rsidR="00081816">
              <w:rPr>
                <w:rFonts w:ascii="宋体" w:hAnsi="宋体" w:cs="MS Mincho" w:hint="eastAsia"/>
                <w:sz w:val="24"/>
              </w:rPr>
              <w:t>，</w:t>
            </w:r>
            <w:r w:rsidR="000C3B04" w:rsidRPr="000C3B04">
              <w:rPr>
                <w:rFonts w:ascii="宋体" w:hAnsi="宋体" w:cs="MS Mincho" w:hint="eastAsia"/>
                <w:sz w:val="24"/>
              </w:rPr>
              <w:t>常务副总裁刘仁越</w:t>
            </w:r>
            <w:r w:rsidR="000C3B04">
              <w:rPr>
                <w:rFonts w:ascii="宋体" w:hAnsi="宋体" w:cs="MS Mincho" w:hint="eastAsia"/>
                <w:sz w:val="24"/>
              </w:rPr>
              <w:t>，</w:t>
            </w:r>
            <w:r w:rsidR="000C3B04" w:rsidRPr="000C3B04">
              <w:rPr>
                <w:rFonts w:ascii="宋体" w:hAnsi="宋体" w:cs="MS Mincho" w:hint="eastAsia"/>
                <w:sz w:val="24"/>
              </w:rPr>
              <w:t>副总裁隋同波</w:t>
            </w:r>
            <w:r w:rsidR="000C3B04">
              <w:rPr>
                <w:rFonts w:ascii="宋体" w:hAnsi="宋体" w:cs="MS Mincho" w:hint="eastAsia"/>
                <w:sz w:val="24"/>
              </w:rPr>
              <w:t>，</w:t>
            </w:r>
            <w:r w:rsidR="000C3B04" w:rsidRPr="000C3B04">
              <w:rPr>
                <w:rFonts w:ascii="宋体" w:hAnsi="宋体" w:cs="MS Mincho" w:hint="eastAsia"/>
                <w:sz w:val="24"/>
              </w:rPr>
              <w:t>副总裁、董事会秘书、总法律顾问、首席合规官曾暄</w:t>
            </w:r>
            <w:r w:rsidR="000C3B04">
              <w:rPr>
                <w:rFonts w:ascii="宋体" w:hAnsi="宋体" w:cs="MS Mincho" w:hint="eastAsia"/>
                <w:sz w:val="24"/>
              </w:rPr>
              <w:t>，</w:t>
            </w:r>
            <w:r w:rsidR="000C3B04" w:rsidRPr="000C3B04">
              <w:rPr>
                <w:rFonts w:ascii="宋体" w:hAnsi="宋体" w:cs="MS Mincho" w:hint="eastAsia"/>
                <w:sz w:val="24"/>
              </w:rPr>
              <w:t>副总裁、财务总监尹凌</w:t>
            </w:r>
            <w:r w:rsidR="00B905A6" w:rsidRPr="00D47273">
              <w:rPr>
                <w:rFonts w:ascii="宋体" w:hAnsi="宋体" w:cs="MS Mincho" w:hint="eastAsia"/>
                <w:sz w:val="24"/>
              </w:rPr>
              <w:t>及</w:t>
            </w:r>
            <w:r w:rsidR="000D5F17" w:rsidRPr="00D47273">
              <w:rPr>
                <w:rFonts w:ascii="宋体" w:hAnsi="宋体" w:cs="MS Mincho" w:hint="eastAsia"/>
                <w:sz w:val="24"/>
              </w:rPr>
              <w:t>相关</w:t>
            </w:r>
            <w:r w:rsidR="0057678F" w:rsidRPr="00D47273">
              <w:rPr>
                <w:rFonts w:ascii="宋体" w:hAnsi="宋体" w:cs="MS Mincho" w:hint="eastAsia"/>
                <w:sz w:val="24"/>
              </w:rPr>
              <w:t>人员</w:t>
            </w:r>
          </w:p>
        </w:tc>
      </w:tr>
      <w:tr w:rsidR="003775AB" w:rsidRPr="0067350B" w14:paraId="0511D57D" w14:textId="77777777" w:rsidTr="00550D60">
        <w:trPr>
          <w:trHeight w:val="1044"/>
          <w:jc w:val="center"/>
        </w:trPr>
        <w:tc>
          <w:tcPr>
            <w:tcW w:w="1814" w:type="dxa"/>
            <w:shd w:val="clear" w:color="auto" w:fill="auto"/>
            <w:vAlign w:val="center"/>
          </w:tcPr>
          <w:p w14:paraId="5DB12979" w14:textId="77777777" w:rsidR="003775AB" w:rsidRPr="00D47273" w:rsidRDefault="003775AB" w:rsidP="00133438">
            <w:pPr>
              <w:autoSpaceDE w:val="0"/>
              <w:autoSpaceDN w:val="0"/>
              <w:adjustRightInd w:val="0"/>
              <w:snapToGrid w:val="0"/>
              <w:rPr>
                <w:rFonts w:ascii="宋体" w:hAnsi="宋体" w:cs="MS Mincho"/>
                <w:sz w:val="24"/>
              </w:rPr>
            </w:pPr>
            <w:r w:rsidRPr="00D47273">
              <w:rPr>
                <w:rFonts w:ascii="宋体" w:hAnsi="宋体" w:cs="MS Mincho" w:hint="eastAsia"/>
                <w:sz w:val="24"/>
              </w:rPr>
              <w:t>参与单位名称及人员</w:t>
            </w:r>
          </w:p>
        </w:tc>
        <w:tc>
          <w:tcPr>
            <w:tcW w:w="8363" w:type="dxa"/>
            <w:shd w:val="clear" w:color="auto" w:fill="auto"/>
            <w:vAlign w:val="center"/>
          </w:tcPr>
          <w:p w14:paraId="7090FB9E" w14:textId="77777777" w:rsidR="00AF1AE4" w:rsidRPr="00B2730C" w:rsidRDefault="00B2730C" w:rsidP="00862533">
            <w:pPr>
              <w:autoSpaceDE w:val="0"/>
              <w:autoSpaceDN w:val="0"/>
              <w:adjustRightInd w:val="0"/>
              <w:snapToGrid w:val="0"/>
              <w:spacing w:beforeLines="50" w:before="156" w:afterLines="50" w:after="156"/>
              <w:rPr>
                <w:rFonts w:ascii="宋体" w:hAnsi="宋体" w:cs="MS Mincho" w:hint="eastAsia"/>
                <w:sz w:val="24"/>
              </w:rPr>
            </w:pPr>
            <w:r w:rsidRPr="00B2730C">
              <w:rPr>
                <w:rFonts w:ascii="宋体" w:hAnsi="宋体" w:cs="MS Mincho" w:hint="eastAsia"/>
                <w:sz w:val="24"/>
              </w:rPr>
              <w:t>财通证券、东北证券、东方财富证券、东方证券、东吴证券、方正证券、光大证券、广发证券、国联证券、国盛证券、国泰君安、</w:t>
            </w:r>
            <w:r w:rsidR="00B76BDF" w:rsidRPr="00B76BDF">
              <w:rPr>
                <w:rFonts w:ascii="宋体" w:hAnsi="宋体" w:cs="MS Mincho"/>
                <w:sz w:val="24"/>
              </w:rPr>
              <w:t>国金证券</w:t>
            </w:r>
            <w:r w:rsidR="00B76BDF">
              <w:rPr>
                <w:rFonts w:ascii="宋体" w:hAnsi="宋体" w:cs="MS Mincho" w:hint="eastAsia"/>
                <w:sz w:val="24"/>
              </w:rPr>
              <w:t>、</w:t>
            </w:r>
            <w:r w:rsidRPr="00B2730C">
              <w:rPr>
                <w:rFonts w:ascii="宋体" w:hAnsi="宋体" w:cs="MS Mincho" w:hint="eastAsia"/>
                <w:sz w:val="24"/>
              </w:rPr>
              <w:t>国投证券、遂玖资产、</w:t>
            </w:r>
            <w:r>
              <w:rPr>
                <w:rFonts w:ascii="宋体" w:hAnsi="宋体" w:cs="MS Mincho" w:hint="eastAsia"/>
                <w:sz w:val="24"/>
              </w:rPr>
              <w:t>华龙证券、</w:t>
            </w:r>
            <w:r w:rsidRPr="00B2730C">
              <w:rPr>
                <w:rFonts w:ascii="宋体" w:hAnsi="宋体" w:cs="MS Mincho" w:hint="eastAsia"/>
                <w:sz w:val="24"/>
              </w:rPr>
              <w:t>华泰证券、华西证券、明河投资、申万证券、天风证券、西部证券、兴业证券、长江证券、招商证券、中金公司、中国银河、中信证券、</w:t>
            </w:r>
            <w:r w:rsidR="00DD5F6C" w:rsidRPr="00DD5F6C">
              <w:rPr>
                <w:rFonts w:ascii="宋体" w:hAnsi="宋体" w:cs="MS Mincho"/>
                <w:sz w:val="24"/>
              </w:rPr>
              <w:t>中信建投</w:t>
            </w:r>
            <w:r w:rsidR="00DD5F6C">
              <w:rPr>
                <w:rFonts w:ascii="宋体" w:hAnsi="宋体" w:cs="MS Mincho" w:hint="eastAsia"/>
                <w:sz w:val="24"/>
              </w:rPr>
              <w:t>、</w:t>
            </w:r>
            <w:r w:rsidRPr="00B2730C">
              <w:rPr>
                <w:rFonts w:ascii="宋体" w:hAnsi="宋体" w:cs="MS Mincho" w:hint="eastAsia"/>
                <w:sz w:val="24"/>
              </w:rPr>
              <w:t>东吴基金、国寿资产、长江养老、华夏久盈、泰康资产</w:t>
            </w:r>
            <w:r w:rsidR="007D3A8E">
              <w:rPr>
                <w:rFonts w:ascii="宋体" w:hAnsi="宋体" w:cs="MS Mincho" w:hint="eastAsia"/>
                <w:sz w:val="24"/>
              </w:rPr>
              <w:t>、</w:t>
            </w:r>
            <w:r w:rsidR="007D3A8E" w:rsidRPr="007D3A8E">
              <w:rPr>
                <w:rFonts w:ascii="宋体" w:hAnsi="宋体" w:cs="MS Mincho"/>
                <w:sz w:val="24"/>
              </w:rPr>
              <w:t>金泰证券</w:t>
            </w:r>
            <w:r w:rsidR="007D3A8E">
              <w:rPr>
                <w:rFonts w:ascii="宋体" w:hAnsi="宋体" w:cs="MS Mincho" w:hint="eastAsia"/>
                <w:sz w:val="24"/>
              </w:rPr>
              <w:t>、</w:t>
            </w:r>
            <w:r w:rsidR="007D3A8E" w:rsidRPr="007D3A8E">
              <w:rPr>
                <w:rFonts w:ascii="宋体" w:hAnsi="宋体" w:cs="MS Mincho"/>
                <w:sz w:val="24"/>
              </w:rPr>
              <w:t>大秦基金</w:t>
            </w:r>
            <w:r w:rsidR="007D3A8E">
              <w:rPr>
                <w:rFonts w:ascii="宋体" w:hAnsi="宋体" w:cs="MS Mincho" w:hint="eastAsia"/>
                <w:sz w:val="24"/>
              </w:rPr>
              <w:t>、</w:t>
            </w:r>
            <w:r w:rsidR="007D3A8E" w:rsidRPr="007D3A8E">
              <w:rPr>
                <w:rFonts w:ascii="宋体" w:hAnsi="宋体" w:cs="MS Mincho"/>
                <w:sz w:val="24"/>
              </w:rPr>
              <w:t>国发资</w:t>
            </w:r>
            <w:r w:rsidR="007D3A8E">
              <w:rPr>
                <w:rFonts w:ascii="宋体" w:hAnsi="宋体" w:cs="MS Mincho" w:hint="eastAsia"/>
                <w:sz w:val="24"/>
              </w:rPr>
              <w:t>管、</w:t>
            </w:r>
            <w:r w:rsidR="00374567" w:rsidRPr="00374567">
              <w:rPr>
                <w:rFonts w:ascii="宋体" w:hAnsi="宋体" w:cs="MS Mincho"/>
                <w:sz w:val="24"/>
              </w:rPr>
              <w:t>汇恒通资管</w:t>
            </w:r>
            <w:r w:rsidR="00374567">
              <w:rPr>
                <w:rFonts w:ascii="宋体" w:hAnsi="宋体" w:cs="MS Mincho" w:hint="eastAsia"/>
                <w:sz w:val="24"/>
              </w:rPr>
              <w:t>、</w:t>
            </w:r>
            <w:r w:rsidR="00374567" w:rsidRPr="00374567">
              <w:rPr>
                <w:rFonts w:ascii="宋体" w:hAnsi="宋体" w:cs="MS Mincho"/>
                <w:sz w:val="24"/>
              </w:rPr>
              <w:t>上海证券</w:t>
            </w:r>
            <w:r w:rsidR="00374567">
              <w:rPr>
                <w:rFonts w:ascii="宋体" w:hAnsi="宋体" w:cs="MS Mincho" w:hint="eastAsia"/>
                <w:sz w:val="24"/>
              </w:rPr>
              <w:t>、</w:t>
            </w:r>
            <w:r w:rsidR="00374567" w:rsidRPr="00374567">
              <w:rPr>
                <w:rFonts w:ascii="宋体" w:hAnsi="宋体" w:cs="MS Mincho"/>
                <w:sz w:val="24"/>
              </w:rPr>
              <w:t>金石金控</w:t>
            </w:r>
            <w:r w:rsidR="00374567">
              <w:rPr>
                <w:rFonts w:ascii="宋体" w:hAnsi="宋体" w:cs="MS Mincho" w:hint="eastAsia"/>
                <w:sz w:val="24"/>
              </w:rPr>
              <w:t>、</w:t>
            </w:r>
            <w:r w:rsidR="00374567" w:rsidRPr="00374567">
              <w:rPr>
                <w:rFonts w:ascii="宋体" w:hAnsi="宋体" w:cs="MS Mincho"/>
                <w:sz w:val="24"/>
              </w:rPr>
              <w:t>三和宏信投资</w:t>
            </w:r>
            <w:r w:rsidR="00374567">
              <w:rPr>
                <w:rFonts w:ascii="宋体" w:hAnsi="宋体" w:cs="MS Mincho" w:hint="eastAsia"/>
                <w:sz w:val="24"/>
              </w:rPr>
              <w:t>、</w:t>
            </w:r>
            <w:r w:rsidR="00374567" w:rsidRPr="00374567">
              <w:rPr>
                <w:rFonts w:ascii="宋体" w:hAnsi="宋体" w:cs="MS Mincho"/>
                <w:sz w:val="24"/>
              </w:rPr>
              <w:t>国泽基金</w:t>
            </w:r>
            <w:r w:rsidR="00374567">
              <w:rPr>
                <w:rFonts w:ascii="宋体" w:hAnsi="宋体" w:cs="MS Mincho" w:hint="eastAsia"/>
                <w:sz w:val="24"/>
              </w:rPr>
              <w:t>、</w:t>
            </w:r>
            <w:r w:rsidR="00374567" w:rsidRPr="00374567">
              <w:rPr>
                <w:rFonts w:ascii="宋体" w:hAnsi="宋体" w:cs="MS Mincho"/>
                <w:sz w:val="24"/>
              </w:rPr>
              <w:t>中财融商</w:t>
            </w:r>
            <w:r w:rsidR="00374567">
              <w:rPr>
                <w:rFonts w:ascii="宋体" w:hAnsi="宋体" w:cs="MS Mincho" w:hint="eastAsia"/>
                <w:sz w:val="24"/>
              </w:rPr>
              <w:t>资管、</w:t>
            </w:r>
            <w:r w:rsidR="00374567" w:rsidRPr="00374567">
              <w:rPr>
                <w:rFonts w:ascii="宋体" w:hAnsi="宋体" w:cs="MS Mincho"/>
                <w:sz w:val="24"/>
              </w:rPr>
              <w:t>诚通证券</w:t>
            </w:r>
            <w:r w:rsidR="00374567">
              <w:rPr>
                <w:rFonts w:ascii="宋体" w:hAnsi="宋体" w:cs="MS Mincho" w:hint="eastAsia"/>
                <w:sz w:val="24"/>
              </w:rPr>
              <w:t>、</w:t>
            </w:r>
            <w:r w:rsidR="00374567" w:rsidRPr="00374567">
              <w:rPr>
                <w:rFonts w:ascii="宋体" w:hAnsi="宋体" w:cs="MS Mincho"/>
                <w:sz w:val="24"/>
              </w:rPr>
              <w:t>前海国金</w:t>
            </w:r>
            <w:r w:rsidR="007A0E2C">
              <w:rPr>
                <w:rFonts w:ascii="宋体" w:hAnsi="宋体" w:cs="MS Mincho" w:hint="eastAsia"/>
                <w:sz w:val="24"/>
              </w:rPr>
              <w:t>资管</w:t>
            </w:r>
            <w:r w:rsidR="00374567">
              <w:rPr>
                <w:rFonts w:ascii="宋体" w:hAnsi="宋体" w:cs="MS Mincho" w:hint="eastAsia"/>
                <w:sz w:val="24"/>
              </w:rPr>
              <w:t>、</w:t>
            </w:r>
            <w:r w:rsidR="0067350B" w:rsidRPr="0067350B">
              <w:rPr>
                <w:rFonts w:ascii="宋体" w:hAnsi="宋体" w:cs="MS Mincho"/>
                <w:sz w:val="24"/>
              </w:rPr>
              <w:t>万和证券</w:t>
            </w:r>
            <w:r w:rsidR="0067350B">
              <w:rPr>
                <w:rFonts w:ascii="宋体" w:hAnsi="宋体" w:cs="MS Mincho" w:hint="eastAsia"/>
                <w:sz w:val="24"/>
              </w:rPr>
              <w:t>、</w:t>
            </w:r>
            <w:r w:rsidR="0067350B" w:rsidRPr="0067350B">
              <w:rPr>
                <w:rFonts w:ascii="宋体" w:hAnsi="宋体" w:cs="MS Mincho"/>
                <w:sz w:val="24"/>
              </w:rPr>
              <w:t>偕沣资管</w:t>
            </w:r>
            <w:r w:rsidR="0067350B">
              <w:rPr>
                <w:rFonts w:ascii="宋体" w:hAnsi="宋体" w:cs="MS Mincho" w:hint="eastAsia"/>
                <w:sz w:val="24"/>
              </w:rPr>
              <w:t>、</w:t>
            </w:r>
            <w:r w:rsidR="00BD4CA3" w:rsidRPr="00BD4CA3">
              <w:rPr>
                <w:rFonts w:ascii="宋体" w:hAnsi="宋体" w:cs="MS Mincho"/>
                <w:sz w:val="24"/>
              </w:rPr>
              <w:t>金塔投资</w:t>
            </w:r>
          </w:p>
        </w:tc>
      </w:tr>
      <w:tr w:rsidR="003775AB" w:rsidRPr="0030260F" w14:paraId="3D9D3E91" w14:textId="77777777" w:rsidTr="00133438">
        <w:trPr>
          <w:jc w:val="center"/>
        </w:trPr>
        <w:tc>
          <w:tcPr>
            <w:tcW w:w="1814" w:type="dxa"/>
            <w:vAlign w:val="center"/>
          </w:tcPr>
          <w:p w14:paraId="1837BDE8" w14:textId="77777777" w:rsidR="003775AB" w:rsidRPr="00D47273" w:rsidRDefault="003775AB" w:rsidP="00F13C9A">
            <w:pPr>
              <w:spacing w:line="440" w:lineRule="exact"/>
              <w:rPr>
                <w:rFonts w:ascii="宋体" w:hAnsi="宋体" w:cs="方正黑体_GBK"/>
                <w:bCs/>
                <w:iCs/>
                <w:color w:val="000000"/>
                <w:sz w:val="24"/>
              </w:rPr>
            </w:pPr>
            <w:r w:rsidRPr="00D47273">
              <w:rPr>
                <w:rFonts w:ascii="宋体" w:hAnsi="宋体" w:cs="方正黑体_GBK" w:hint="eastAsia"/>
                <w:bCs/>
                <w:iCs/>
                <w:color w:val="000000"/>
                <w:sz w:val="24"/>
              </w:rPr>
              <w:t>主要内容</w:t>
            </w:r>
          </w:p>
        </w:tc>
        <w:tc>
          <w:tcPr>
            <w:tcW w:w="8363" w:type="dxa"/>
          </w:tcPr>
          <w:p w14:paraId="2D7D282D" w14:textId="77777777" w:rsidR="00F13724" w:rsidRPr="00D47273" w:rsidRDefault="00F13724" w:rsidP="00F13724">
            <w:pPr>
              <w:autoSpaceDE w:val="0"/>
              <w:autoSpaceDN w:val="0"/>
              <w:adjustRightInd w:val="0"/>
              <w:snapToGrid w:val="0"/>
              <w:spacing w:beforeLines="50" w:before="156" w:line="360" w:lineRule="auto"/>
              <w:rPr>
                <w:rFonts w:ascii="宋体" w:hAnsi="宋体" w:cs="Arial"/>
                <w:b/>
                <w:sz w:val="24"/>
              </w:rPr>
            </w:pPr>
            <w:r w:rsidRPr="00D47273">
              <w:rPr>
                <w:rFonts w:ascii="宋体" w:hAnsi="宋体" w:cs="Arial" w:hint="eastAsia"/>
                <w:b/>
                <w:sz w:val="24"/>
              </w:rPr>
              <w:t>一、介绍公司2</w:t>
            </w:r>
            <w:r w:rsidRPr="00D47273">
              <w:rPr>
                <w:rFonts w:ascii="宋体" w:hAnsi="宋体" w:cs="Arial"/>
                <w:b/>
                <w:sz w:val="24"/>
              </w:rPr>
              <w:t>02</w:t>
            </w:r>
            <w:r w:rsidRPr="00D47273">
              <w:rPr>
                <w:rFonts w:ascii="宋体" w:hAnsi="宋体" w:cs="Arial" w:hint="eastAsia"/>
                <w:b/>
                <w:sz w:val="24"/>
              </w:rPr>
              <w:t>4年</w:t>
            </w:r>
            <w:r w:rsidR="00862533">
              <w:rPr>
                <w:rFonts w:ascii="宋体" w:hAnsi="宋体" w:cs="Arial" w:hint="eastAsia"/>
                <w:b/>
                <w:sz w:val="24"/>
              </w:rPr>
              <w:t>全年</w:t>
            </w:r>
            <w:r w:rsidRPr="00D47273">
              <w:rPr>
                <w:rFonts w:ascii="宋体" w:hAnsi="宋体" w:cs="Arial" w:hint="eastAsia"/>
                <w:b/>
                <w:sz w:val="24"/>
              </w:rPr>
              <w:t>经营</w:t>
            </w:r>
            <w:r w:rsidR="00B83AB3" w:rsidRPr="00D47273">
              <w:rPr>
                <w:rFonts w:ascii="宋体" w:hAnsi="宋体" w:cs="Arial" w:hint="eastAsia"/>
                <w:b/>
                <w:sz w:val="24"/>
              </w:rPr>
              <w:t>情况</w:t>
            </w:r>
          </w:p>
          <w:p w14:paraId="357B1759" w14:textId="77777777" w:rsidR="00F13724" w:rsidRPr="00D47273" w:rsidRDefault="00F13724" w:rsidP="00F13724">
            <w:pPr>
              <w:autoSpaceDE w:val="0"/>
              <w:autoSpaceDN w:val="0"/>
              <w:adjustRightInd w:val="0"/>
              <w:snapToGrid w:val="0"/>
              <w:spacing w:line="360" w:lineRule="auto"/>
              <w:ind w:firstLineChars="200" w:firstLine="480"/>
              <w:rPr>
                <w:rFonts w:ascii="宋体" w:hAnsi="宋体" w:cs="Arial"/>
                <w:sz w:val="24"/>
              </w:rPr>
            </w:pPr>
            <w:r w:rsidRPr="00D47273">
              <w:rPr>
                <w:rFonts w:ascii="宋体" w:hAnsi="宋体" w:cs="Arial"/>
                <w:sz w:val="24"/>
              </w:rPr>
              <w:t>1.</w:t>
            </w:r>
            <w:r w:rsidR="00640F33">
              <w:rPr>
                <w:rFonts w:ascii="宋体" w:hAnsi="宋体" w:cs="Arial" w:hint="eastAsia"/>
                <w:sz w:val="24"/>
              </w:rPr>
              <w:t xml:space="preserve"> </w:t>
            </w:r>
            <w:r w:rsidR="00AE4F83" w:rsidRPr="00D47273">
              <w:rPr>
                <w:rFonts w:ascii="宋体" w:hAnsi="宋体" w:cs="Arial" w:hint="eastAsia"/>
                <w:sz w:val="24"/>
              </w:rPr>
              <w:t>2024年，</w:t>
            </w:r>
            <w:r w:rsidR="00640F33">
              <w:rPr>
                <w:rFonts w:ascii="宋体" w:hAnsi="宋体" w:cs="Arial" w:hint="eastAsia"/>
                <w:sz w:val="24"/>
              </w:rPr>
              <w:t>公司</w:t>
            </w:r>
            <w:r w:rsidR="00AE4F83" w:rsidRPr="00D47273">
              <w:rPr>
                <w:rFonts w:ascii="宋体" w:hAnsi="宋体" w:cs="Arial" w:hint="eastAsia"/>
                <w:sz w:val="24"/>
              </w:rPr>
              <w:t>实现营业收入</w:t>
            </w:r>
            <w:r w:rsidR="00AB62F6" w:rsidRPr="00AB62F6">
              <w:rPr>
                <w:rFonts w:ascii="宋体" w:hAnsi="宋体" w:cs="Arial" w:hint="eastAsia"/>
                <w:sz w:val="24"/>
              </w:rPr>
              <w:t>461.27亿元，同比增长0.72%</w:t>
            </w:r>
            <w:r w:rsidR="00AB62F6">
              <w:rPr>
                <w:rFonts w:ascii="宋体" w:hAnsi="宋体" w:cs="Arial" w:hint="eastAsia"/>
                <w:sz w:val="24"/>
              </w:rPr>
              <w:t>，</w:t>
            </w:r>
            <w:r w:rsidR="00AB62F6" w:rsidRPr="00AB62F6">
              <w:rPr>
                <w:rFonts w:ascii="宋体" w:hAnsi="宋体" w:cs="Arial" w:hint="eastAsia"/>
                <w:sz w:val="24"/>
              </w:rPr>
              <w:t>其中：境外收入222.68亿元，同比增长10.85%</w:t>
            </w:r>
            <w:r w:rsidR="00E967BB" w:rsidRPr="00D47273">
              <w:rPr>
                <w:rFonts w:ascii="宋体" w:hAnsi="宋体" w:cs="Arial" w:hint="eastAsia"/>
                <w:sz w:val="24"/>
              </w:rPr>
              <w:t>；</w:t>
            </w:r>
            <w:r w:rsidR="00AE4F83" w:rsidRPr="00D47273">
              <w:rPr>
                <w:rFonts w:ascii="宋体" w:hAnsi="宋体" w:cs="Arial" w:hint="eastAsia"/>
                <w:sz w:val="24"/>
              </w:rPr>
              <w:t>实现归母净利润</w:t>
            </w:r>
            <w:r w:rsidR="00AB62F6" w:rsidRPr="00AB62F6">
              <w:rPr>
                <w:rFonts w:ascii="宋体" w:hAnsi="宋体" w:cs="Arial" w:hint="eastAsia"/>
                <w:sz w:val="24"/>
              </w:rPr>
              <w:t>29.83亿元，同比增长2.31%</w:t>
            </w:r>
            <w:r w:rsidR="00AE4F83" w:rsidRPr="00D47273">
              <w:rPr>
                <w:rFonts w:ascii="宋体" w:hAnsi="宋体" w:cs="Arial" w:hint="eastAsia"/>
                <w:sz w:val="24"/>
              </w:rPr>
              <w:t>，实现扣非后归母净利润</w:t>
            </w:r>
            <w:r w:rsidR="00AB62F6" w:rsidRPr="00AB62F6">
              <w:rPr>
                <w:rFonts w:ascii="宋体" w:hAnsi="宋体" w:cs="Arial" w:hint="eastAsia"/>
                <w:sz w:val="24"/>
              </w:rPr>
              <w:t>27.16亿元，同比增长1.64%</w:t>
            </w:r>
            <w:r w:rsidR="00AE4F83" w:rsidRPr="00D47273">
              <w:rPr>
                <w:rFonts w:ascii="宋体" w:hAnsi="宋体" w:cs="Arial" w:hint="eastAsia"/>
                <w:sz w:val="24"/>
              </w:rPr>
              <w:t>；综合毛利率</w:t>
            </w:r>
            <w:r w:rsidR="00640F33" w:rsidRPr="00640F33">
              <w:rPr>
                <w:rFonts w:ascii="宋体" w:hAnsi="宋体" w:cs="Arial" w:hint="eastAsia"/>
                <w:sz w:val="24"/>
              </w:rPr>
              <w:t>19.63%，同比增长0.2个百分点</w:t>
            </w:r>
            <w:r w:rsidR="00640F33">
              <w:rPr>
                <w:rFonts w:ascii="宋体" w:hAnsi="宋体" w:cs="Arial" w:hint="eastAsia"/>
                <w:sz w:val="24"/>
              </w:rPr>
              <w:t>，</w:t>
            </w:r>
            <w:r w:rsidR="00640F33" w:rsidRPr="00640F33">
              <w:rPr>
                <w:rFonts w:ascii="宋体" w:hAnsi="宋体" w:cs="Arial" w:hint="eastAsia"/>
                <w:sz w:val="24"/>
              </w:rPr>
              <w:t>其中：境外业务综合毛利率为23.07%，同比增长1.87个百分点</w:t>
            </w:r>
            <w:r w:rsidR="00AE4F83" w:rsidRPr="00D47273">
              <w:rPr>
                <w:rFonts w:ascii="宋体" w:hAnsi="宋体" w:cs="Arial" w:hint="eastAsia"/>
                <w:sz w:val="24"/>
              </w:rPr>
              <w:t>。</w:t>
            </w:r>
          </w:p>
          <w:p w14:paraId="4E3B725F" w14:textId="77777777" w:rsidR="00B83AB3" w:rsidRPr="00D47273" w:rsidRDefault="00B83AB3" w:rsidP="002B23AA">
            <w:pPr>
              <w:autoSpaceDE w:val="0"/>
              <w:autoSpaceDN w:val="0"/>
              <w:adjustRightInd w:val="0"/>
              <w:snapToGrid w:val="0"/>
              <w:spacing w:line="360" w:lineRule="auto"/>
              <w:ind w:firstLineChars="200" w:firstLine="480"/>
              <w:rPr>
                <w:rFonts w:ascii="宋体" w:hAnsi="宋体" w:cs="Arial" w:hint="eastAsia"/>
                <w:sz w:val="24"/>
              </w:rPr>
            </w:pPr>
            <w:r w:rsidRPr="00D47273">
              <w:rPr>
                <w:rFonts w:ascii="宋体" w:hAnsi="宋体" w:cs="Arial" w:hint="eastAsia"/>
                <w:sz w:val="24"/>
              </w:rPr>
              <w:t>2.</w:t>
            </w:r>
            <w:r w:rsidR="00640F33">
              <w:rPr>
                <w:rFonts w:ascii="宋体" w:hAnsi="宋体" w:cs="Arial" w:hint="eastAsia"/>
                <w:sz w:val="24"/>
              </w:rPr>
              <w:t xml:space="preserve"> </w:t>
            </w:r>
            <w:r w:rsidRPr="00D47273">
              <w:rPr>
                <w:rFonts w:ascii="宋体" w:hAnsi="宋体" w:cs="Arial" w:hint="eastAsia"/>
                <w:sz w:val="24"/>
              </w:rPr>
              <w:t>2024年</w:t>
            </w:r>
            <w:r w:rsidR="00640F33">
              <w:rPr>
                <w:rFonts w:ascii="宋体" w:hAnsi="宋体" w:cs="Arial" w:hint="eastAsia"/>
                <w:sz w:val="24"/>
              </w:rPr>
              <w:t>，公司实现</w:t>
            </w:r>
            <w:r w:rsidRPr="00D47273">
              <w:rPr>
                <w:rFonts w:ascii="宋体" w:hAnsi="宋体" w:cs="Arial" w:hint="eastAsia"/>
                <w:sz w:val="24"/>
              </w:rPr>
              <w:t>新签合同额</w:t>
            </w:r>
            <w:r w:rsidR="00640F33" w:rsidRPr="00640F33">
              <w:rPr>
                <w:rFonts w:ascii="宋体" w:hAnsi="宋体" w:cs="Arial" w:hint="eastAsia"/>
                <w:sz w:val="24"/>
              </w:rPr>
              <w:t>634.44亿元，同比增长3%</w:t>
            </w:r>
            <w:r w:rsidRPr="00D47273">
              <w:rPr>
                <w:rFonts w:ascii="宋体" w:hAnsi="宋体" w:cs="Arial" w:hint="eastAsia"/>
                <w:sz w:val="24"/>
              </w:rPr>
              <w:t>，其中：</w:t>
            </w:r>
            <w:r w:rsidR="002B23AA" w:rsidRPr="002B23AA">
              <w:rPr>
                <w:rFonts w:ascii="宋体" w:hAnsi="宋体" w:cs="Arial" w:hint="eastAsia"/>
                <w:sz w:val="24"/>
              </w:rPr>
              <w:t>境外新签合同额362.01亿元，同比增长9%</w:t>
            </w:r>
            <w:r w:rsidR="002B23AA">
              <w:rPr>
                <w:rFonts w:ascii="宋体" w:hAnsi="宋体" w:cs="Arial" w:hint="eastAsia"/>
                <w:sz w:val="24"/>
              </w:rPr>
              <w:t>，</w:t>
            </w:r>
            <w:r w:rsidR="002B23AA" w:rsidRPr="002B23AA">
              <w:rPr>
                <w:rFonts w:ascii="宋体" w:hAnsi="宋体" w:cs="Arial" w:hint="eastAsia"/>
                <w:sz w:val="24"/>
              </w:rPr>
              <w:t>境内新签合同额272.43亿元，同比</w:t>
            </w:r>
            <w:r w:rsidR="002B23AA">
              <w:rPr>
                <w:rFonts w:ascii="宋体" w:hAnsi="宋体" w:cs="Arial" w:hint="eastAsia"/>
                <w:sz w:val="24"/>
              </w:rPr>
              <w:t>减少</w:t>
            </w:r>
            <w:r w:rsidR="002B23AA" w:rsidRPr="002B23AA">
              <w:rPr>
                <w:rFonts w:ascii="宋体" w:hAnsi="宋体" w:cs="Arial" w:hint="eastAsia"/>
                <w:sz w:val="24"/>
              </w:rPr>
              <w:t>4%</w:t>
            </w:r>
            <w:r w:rsidRPr="00D47273">
              <w:rPr>
                <w:rFonts w:ascii="宋体" w:hAnsi="宋体" w:cs="Arial" w:hint="eastAsia"/>
                <w:sz w:val="24"/>
              </w:rPr>
              <w:t>。截至</w:t>
            </w:r>
            <w:r w:rsidR="002B23AA">
              <w:rPr>
                <w:rFonts w:ascii="宋体" w:hAnsi="宋体" w:cs="Arial" w:hint="eastAsia"/>
                <w:sz w:val="24"/>
              </w:rPr>
              <w:t>12</w:t>
            </w:r>
            <w:r w:rsidRPr="00D47273">
              <w:rPr>
                <w:rFonts w:ascii="宋体" w:hAnsi="宋体" w:cs="Arial" w:hint="eastAsia"/>
                <w:sz w:val="24"/>
              </w:rPr>
              <w:t>月末，公司有效结转合同额</w:t>
            </w:r>
            <w:r w:rsidR="002B23AA">
              <w:rPr>
                <w:rFonts w:ascii="宋体" w:hAnsi="宋体" w:cs="Arial" w:hint="eastAsia"/>
                <w:sz w:val="24"/>
              </w:rPr>
              <w:t>597.18</w:t>
            </w:r>
            <w:r w:rsidRPr="00D47273">
              <w:rPr>
                <w:rFonts w:ascii="宋体" w:hAnsi="宋体" w:cs="Arial" w:hint="eastAsia"/>
                <w:sz w:val="24"/>
              </w:rPr>
              <w:t>亿</w:t>
            </w:r>
            <w:r w:rsidR="002B23AA">
              <w:rPr>
                <w:rFonts w:ascii="宋体" w:hAnsi="宋体" w:cs="Arial" w:hint="eastAsia"/>
                <w:sz w:val="24"/>
              </w:rPr>
              <w:t>元</w:t>
            </w:r>
            <w:r w:rsidRPr="00D47273">
              <w:rPr>
                <w:rFonts w:ascii="宋体" w:hAnsi="宋体" w:cs="Arial" w:hint="eastAsia"/>
                <w:sz w:val="24"/>
              </w:rPr>
              <w:t>，为未来公司发展奠定了坚实的基础。</w:t>
            </w:r>
          </w:p>
          <w:p w14:paraId="599F7376" w14:textId="77777777" w:rsidR="00F13724" w:rsidRPr="00D47273" w:rsidRDefault="00F13724" w:rsidP="00F13724">
            <w:pPr>
              <w:autoSpaceDE w:val="0"/>
              <w:autoSpaceDN w:val="0"/>
              <w:adjustRightInd w:val="0"/>
              <w:snapToGrid w:val="0"/>
              <w:spacing w:line="360" w:lineRule="auto"/>
              <w:rPr>
                <w:rFonts w:ascii="宋体" w:hAnsi="宋体" w:cs="Arial"/>
                <w:b/>
                <w:sz w:val="24"/>
              </w:rPr>
            </w:pPr>
            <w:r w:rsidRPr="00D47273">
              <w:rPr>
                <w:rFonts w:ascii="宋体" w:hAnsi="宋体" w:cs="Arial" w:hint="eastAsia"/>
                <w:b/>
                <w:sz w:val="24"/>
              </w:rPr>
              <w:t>二、互动交流</w:t>
            </w:r>
          </w:p>
          <w:p w14:paraId="551D649C" w14:textId="77777777" w:rsidR="00BB2883" w:rsidRPr="00D47273" w:rsidRDefault="00BB2883" w:rsidP="00890700">
            <w:pPr>
              <w:autoSpaceDE w:val="0"/>
              <w:autoSpaceDN w:val="0"/>
              <w:adjustRightInd w:val="0"/>
              <w:snapToGrid w:val="0"/>
              <w:spacing w:line="360" w:lineRule="auto"/>
              <w:ind w:firstLineChars="200" w:firstLine="482"/>
              <w:rPr>
                <w:rFonts w:ascii="宋体" w:hAnsi="宋体"/>
                <w:b/>
                <w:bCs/>
                <w:sz w:val="24"/>
              </w:rPr>
            </w:pPr>
            <w:r w:rsidRPr="00D47273">
              <w:rPr>
                <w:rFonts w:ascii="宋体" w:hAnsi="宋体" w:hint="eastAsia"/>
                <w:b/>
                <w:bCs/>
                <w:sz w:val="24"/>
              </w:rPr>
              <w:t>1.</w:t>
            </w:r>
            <w:r w:rsidR="00A37D5C" w:rsidRPr="00D47273">
              <w:rPr>
                <w:rFonts w:ascii="宋体" w:hAnsi="宋体" w:hint="eastAsia"/>
                <w:b/>
                <w:bCs/>
                <w:sz w:val="24"/>
              </w:rPr>
              <w:t xml:space="preserve"> </w:t>
            </w:r>
            <w:r w:rsidR="0021400E" w:rsidRPr="0021400E">
              <w:rPr>
                <w:rFonts w:ascii="宋体" w:hAnsi="宋体" w:hint="eastAsia"/>
                <w:b/>
                <w:bCs/>
                <w:sz w:val="24"/>
              </w:rPr>
              <w:t>公司对2025年境外市场及境外业务发展展望如何？</w:t>
            </w:r>
          </w:p>
          <w:p w14:paraId="63A9A058" w14:textId="77777777" w:rsidR="0021400E" w:rsidRPr="0021400E" w:rsidRDefault="005734D1" w:rsidP="0021400E">
            <w:pPr>
              <w:autoSpaceDE w:val="0"/>
              <w:autoSpaceDN w:val="0"/>
              <w:adjustRightInd w:val="0"/>
              <w:snapToGrid w:val="0"/>
              <w:spacing w:line="360" w:lineRule="auto"/>
              <w:ind w:firstLineChars="200" w:firstLine="480"/>
              <w:rPr>
                <w:rFonts w:ascii="宋体" w:hAnsi="宋体" w:cs="Arial" w:hint="eastAsia"/>
                <w:sz w:val="24"/>
              </w:rPr>
            </w:pPr>
            <w:r w:rsidRPr="00D47273">
              <w:rPr>
                <w:rFonts w:ascii="宋体" w:hAnsi="宋体" w:cs="Arial" w:hint="eastAsia"/>
                <w:sz w:val="24"/>
              </w:rPr>
              <w:lastRenderedPageBreak/>
              <w:t>答：</w:t>
            </w:r>
            <w:r w:rsidR="0021400E" w:rsidRPr="0021400E">
              <w:rPr>
                <w:rFonts w:ascii="宋体" w:hAnsi="宋体" w:cs="Arial" w:hint="eastAsia"/>
                <w:sz w:val="24"/>
              </w:rPr>
              <w:t>2024年，公司锚定全球市场，巩固技术装备优势，强化业务协同及内部资源共享，拓增量、优存量、抓变量、强质量，大力推进全球市场拓展和商业模式创新，成功获取沙特、菲律宾、伊拉克、捷克、加拿大等15个国家19条境外水泥整线项目，以及伊拉克MASS光伏发电等新能源项目，在中东、非洲、南亚、东南亚、欧洲五大区域新签合同额占境外总额比例近90%。实现新签境外合同额362亿，同比增长9%；境外收入223亿，同比增长近11%；境外业务毛利率23.07%，同比增长1.87个百分点，公司国际化指数44.83%，同比增长2.79个百分点。境外业务规模与效益实现双增长，这得益于公司全球品牌影响力、全产业链服务能力及“两外一服”战略的深化实施。</w:t>
            </w:r>
          </w:p>
          <w:p w14:paraId="7D792A7B" w14:textId="77777777" w:rsidR="0021400E" w:rsidRPr="0021400E" w:rsidRDefault="0021400E" w:rsidP="0021400E">
            <w:pPr>
              <w:autoSpaceDE w:val="0"/>
              <w:autoSpaceDN w:val="0"/>
              <w:adjustRightInd w:val="0"/>
              <w:snapToGrid w:val="0"/>
              <w:spacing w:line="360" w:lineRule="auto"/>
              <w:ind w:firstLineChars="200" w:firstLine="480"/>
              <w:rPr>
                <w:rFonts w:ascii="宋体" w:hAnsi="宋体" w:cs="Arial" w:hint="eastAsia"/>
                <w:sz w:val="24"/>
              </w:rPr>
            </w:pPr>
            <w:r w:rsidRPr="0021400E">
              <w:rPr>
                <w:rFonts w:ascii="宋体" w:hAnsi="宋体" w:cs="Arial" w:hint="eastAsia"/>
                <w:sz w:val="24"/>
              </w:rPr>
              <w:t>展望2025年，公司将紧抓结构转型新机遇，持续深化全球市场布局。依托“一带一路”新兴市场城镇化发展及工业化需求，紧抓中东、非洲、东南亚等核心经营区域的新建产线及运维业务，带动高端装备；基于欧洲市场对绿色低碳、数字智能等方面需求，依托高端装备和数字智能双轮驱动，加大成熟市场开拓力度；推动双向循环、立体多元的产业布局，大力拓展国际替代燃料市场，在全球范围内构建优势区域网，打造有口皆碑的绿能工程标杆项目。</w:t>
            </w:r>
          </w:p>
          <w:p w14:paraId="2C5F9AB5" w14:textId="77777777" w:rsidR="000B4496" w:rsidRPr="0021400E" w:rsidRDefault="0021400E" w:rsidP="0021400E">
            <w:pPr>
              <w:autoSpaceDE w:val="0"/>
              <w:autoSpaceDN w:val="0"/>
              <w:adjustRightInd w:val="0"/>
              <w:snapToGrid w:val="0"/>
              <w:spacing w:line="360" w:lineRule="auto"/>
              <w:ind w:firstLineChars="200" w:firstLine="480"/>
              <w:rPr>
                <w:rFonts w:ascii="宋体" w:hAnsi="宋体" w:cs="Arial"/>
                <w:sz w:val="24"/>
              </w:rPr>
            </w:pPr>
            <w:r w:rsidRPr="0021400E">
              <w:rPr>
                <w:rFonts w:ascii="宋体" w:hAnsi="宋体" w:cs="Arial" w:hint="eastAsia"/>
                <w:sz w:val="24"/>
              </w:rPr>
              <w:t>中材国际深耕境外市场二十余年，“SINOMA”品牌在国际市场上享有盛誉，技术实力领先，为公司在激烈的市场竞争中赢得先机。未来，公司将持续践行国际化、属地化经营战略，完善境外服务网络，提升市场响应速度和服务质量，强化客户全生命周期合作关系，推动公司实现从“走出去”到“走进去”再到“走上去”的价值跃迁。</w:t>
            </w:r>
          </w:p>
          <w:p w14:paraId="6ABEEC7D" w14:textId="77777777" w:rsidR="00A37D5C" w:rsidRPr="00D47273" w:rsidRDefault="000B4496" w:rsidP="00A37D5C">
            <w:pPr>
              <w:autoSpaceDE w:val="0"/>
              <w:autoSpaceDN w:val="0"/>
              <w:adjustRightInd w:val="0"/>
              <w:snapToGrid w:val="0"/>
              <w:spacing w:line="360" w:lineRule="auto"/>
              <w:ind w:firstLineChars="200" w:firstLine="482"/>
              <w:rPr>
                <w:rFonts w:ascii="宋体" w:hAnsi="宋体" w:cs="Arial"/>
                <w:b/>
                <w:bCs/>
                <w:sz w:val="24"/>
              </w:rPr>
            </w:pPr>
            <w:r w:rsidRPr="00D47273">
              <w:rPr>
                <w:rFonts w:ascii="宋体" w:hAnsi="宋体" w:cs="Arial" w:hint="eastAsia"/>
                <w:b/>
                <w:bCs/>
                <w:sz w:val="24"/>
              </w:rPr>
              <w:t xml:space="preserve">2. </w:t>
            </w:r>
            <w:r w:rsidR="0021400E" w:rsidRPr="0021400E">
              <w:rPr>
                <w:rFonts w:ascii="宋体" w:hAnsi="宋体" w:cs="Arial" w:hint="eastAsia"/>
                <w:b/>
                <w:bCs/>
                <w:sz w:val="24"/>
              </w:rPr>
              <w:t>2024年公司装备业务表现不及预期的主要原因有哪些？2025年装备业务的增长点有哪些？</w:t>
            </w:r>
          </w:p>
          <w:p w14:paraId="39837657" w14:textId="77777777" w:rsidR="0021400E" w:rsidRPr="0021400E" w:rsidRDefault="000B4496" w:rsidP="0021400E">
            <w:pPr>
              <w:autoSpaceDE w:val="0"/>
              <w:autoSpaceDN w:val="0"/>
              <w:adjustRightInd w:val="0"/>
              <w:snapToGrid w:val="0"/>
              <w:spacing w:line="360" w:lineRule="auto"/>
              <w:ind w:firstLineChars="200" w:firstLine="480"/>
              <w:rPr>
                <w:rFonts w:ascii="宋体" w:hAnsi="宋体" w:cs="Arial" w:hint="eastAsia"/>
                <w:sz w:val="24"/>
              </w:rPr>
            </w:pPr>
            <w:r w:rsidRPr="00D47273">
              <w:rPr>
                <w:rFonts w:ascii="宋体" w:hAnsi="宋体" w:cs="Arial" w:hint="eastAsia"/>
                <w:sz w:val="24"/>
              </w:rPr>
              <w:t>答：</w:t>
            </w:r>
            <w:r w:rsidR="0021400E" w:rsidRPr="0021400E">
              <w:rPr>
                <w:rFonts w:ascii="宋体" w:hAnsi="宋体" w:cs="Arial" w:hint="eastAsia"/>
                <w:sz w:val="24"/>
              </w:rPr>
              <w:t>2024年，国内水泥市场需求延续近两年总体走势，继续受下游地产投资缩减和基建工程项目放缓影响，全国及各主要消费区域水泥需求均大幅下滑，产能利用率显著降低。根据国家统计局数据，2024年全国规模以上企业的累计水泥产量18.25亿吨，同比下降9.5%，水泥产量创下十五年的最低值。根据数字水泥网预计，2024年水泥行业利润在250亿元左右，同比下降约20%。尽管公司在加大装备业务“两外一服”拓展力度，但相关拓展需要时间和经验积</w:t>
            </w:r>
            <w:r w:rsidR="0021400E" w:rsidRPr="0021400E">
              <w:rPr>
                <w:rFonts w:ascii="宋体" w:hAnsi="宋体" w:cs="Arial" w:hint="eastAsia"/>
                <w:sz w:val="24"/>
              </w:rPr>
              <w:lastRenderedPageBreak/>
              <w:t>累，2024年，装备业务新签合同及营业收入，来自国内的分别为56%和64%，在当前国内水泥业务占装备业务新签和收入来源较大情况下，受国内水泥行业形势影响，全年装备业务新签合同和收入同比下降。</w:t>
            </w:r>
          </w:p>
          <w:p w14:paraId="035FB5E9" w14:textId="77777777" w:rsidR="0021400E" w:rsidRPr="0021400E" w:rsidRDefault="0021400E" w:rsidP="0021400E">
            <w:pPr>
              <w:autoSpaceDE w:val="0"/>
              <w:autoSpaceDN w:val="0"/>
              <w:adjustRightInd w:val="0"/>
              <w:snapToGrid w:val="0"/>
              <w:spacing w:line="360" w:lineRule="auto"/>
              <w:ind w:firstLineChars="200" w:firstLine="480"/>
              <w:rPr>
                <w:rFonts w:ascii="宋体" w:hAnsi="宋体" w:cs="Arial" w:hint="eastAsia"/>
                <w:sz w:val="24"/>
              </w:rPr>
            </w:pPr>
            <w:r w:rsidRPr="0021400E">
              <w:rPr>
                <w:rFonts w:ascii="宋体" w:hAnsi="宋体" w:cs="Arial" w:hint="eastAsia"/>
                <w:sz w:val="24"/>
              </w:rPr>
              <w:t>2025年，公司将深入落实装备业务“两外一服”战略，推动工程、装备双向协同、相互促进。</w:t>
            </w:r>
          </w:p>
          <w:p w14:paraId="09D25801" w14:textId="77777777" w:rsidR="0021400E" w:rsidRPr="0021400E" w:rsidRDefault="0021400E" w:rsidP="0021400E">
            <w:pPr>
              <w:autoSpaceDE w:val="0"/>
              <w:autoSpaceDN w:val="0"/>
              <w:adjustRightInd w:val="0"/>
              <w:snapToGrid w:val="0"/>
              <w:spacing w:line="360" w:lineRule="auto"/>
              <w:ind w:firstLineChars="200" w:firstLine="480"/>
              <w:rPr>
                <w:rFonts w:ascii="宋体" w:hAnsi="宋体" w:cs="Arial" w:hint="eastAsia"/>
                <w:sz w:val="24"/>
              </w:rPr>
            </w:pPr>
            <w:r w:rsidRPr="0021400E">
              <w:rPr>
                <w:rFonts w:ascii="宋体" w:hAnsi="宋体" w:cs="Arial" w:hint="eastAsia"/>
                <w:sz w:val="24"/>
              </w:rPr>
              <w:t>1.水泥装备迭代更新。国内水泥行业供给侧改革不断深化，目前行业已处于提质增效、绿色智能的结构化转型时期，来自存量市场的节能降耗改造、低碳设备更新迭代将占据更大的需求比例。3月26日，生态环境部最新发布《全国碳排放权交易市场覆盖钢铁、水泥、铝冶炼行业工作方案》，水泥纳入全国碳排放权交易市场正式进入实施阶段，预计将催化一定的水泥装备焕新需求。</w:t>
            </w:r>
          </w:p>
          <w:p w14:paraId="6586E638" w14:textId="77777777" w:rsidR="0021400E" w:rsidRPr="0021400E" w:rsidRDefault="0021400E" w:rsidP="0021400E">
            <w:pPr>
              <w:autoSpaceDE w:val="0"/>
              <w:autoSpaceDN w:val="0"/>
              <w:adjustRightInd w:val="0"/>
              <w:snapToGrid w:val="0"/>
              <w:spacing w:line="360" w:lineRule="auto"/>
              <w:ind w:firstLineChars="200" w:firstLine="480"/>
              <w:rPr>
                <w:rFonts w:ascii="宋体" w:hAnsi="宋体" w:cs="Arial" w:hint="eastAsia"/>
                <w:sz w:val="24"/>
              </w:rPr>
            </w:pPr>
            <w:r w:rsidRPr="0021400E">
              <w:rPr>
                <w:rFonts w:ascii="宋体" w:hAnsi="宋体" w:cs="Arial" w:hint="eastAsia"/>
                <w:sz w:val="24"/>
              </w:rPr>
              <w:t>2.境外市场持续开拓。一是以境外市场为主的整线EPC增量市场需求，带动中材国际装备持续走出去；二是全球水泥行业绿色智能转型升级不断催生以环保、节能、高效为特点的装备需求。</w:t>
            </w:r>
          </w:p>
          <w:p w14:paraId="033AD39B" w14:textId="77777777" w:rsidR="0021400E" w:rsidRPr="0021400E" w:rsidRDefault="0021400E" w:rsidP="0021400E">
            <w:pPr>
              <w:autoSpaceDE w:val="0"/>
              <w:autoSpaceDN w:val="0"/>
              <w:adjustRightInd w:val="0"/>
              <w:snapToGrid w:val="0"/>
              <w:spacing w:line="360" w:lineRule="auto"/>
              <w:ind w:firstLineChars="200" w:firstLine="480"/>
              <w:rPr>
                <w:rFonts w:ascii="宋体" w:hAnsi="宋体" w:cs="Arial" w:hint="eastAsia"/>
                <w:sz w:val="24"/>
              </w:rPr>
            </w:pPr>
            <w:r w:rsidRPr="0021400E">
              <w:rPr>
                <w:rFonts w:ascii="宋体" w:hAnsi="宋体" w:cs="Arial" w:hint="eastAsia"/>
                <w:sz w:val="24"/>
              </w:rPr>
              <w:t>3.水泥外行业拓展。由于设备使用场景和制造工艺原理的相通性，水泥行业相关装备技术经过改进后能够应用于固废处置、新能源、冶金等其他行业。公司现有核心装备已成功向水泥外行业拓展，重点向矿业装备、低碳环保和新材料装备延伸。目前粉磨装备、环保装备、输送与计量装置等装备已进入冶金、化工、电力、钢铁、煤炭等行业。</w:t>
            </w:r>
          </w:p>
          <w:p w14:paraId="02D48BF2" w14:textId="77777777" w:rsidR="0021400E" w:rsidRPr="0021400E" w:rsidRDefault="0021400E" w:rsidP="0021400E">
            <w:pPr>
              <w:autoSpaceDE w:val="0"/>
              <w:autoSpaceDN w:val="0"/>
              <w:adjustRightInd w:val="0"/>
              <w:snapToGrid w:val="0"/>
              <w:spacing w:line="360" w:lineRule="auto"/>
              <w:ind w:firstLineChars="200" w:firstLine="480"/>
              <w:rPr>
                <w:rFonts w:ascii="宋体" w:hAnsi="宋体" w:cs="Arial" w:hint="eastAsia"/>
                <w:sz w:val="24"/>
              </w:rPr>
            </w:pPr>
            <w:r w:rsidRPr="0021400E">
              <w:rPr>
                <w:rFonts w:ascii="宋体" w:hAnsi="宋体" w:cs="Arial" w:hint="eastAsia"/>
                <w:sz w:val="24"/>
              </w:rPr>
              <w:t>4.市场渠道持续完善。围绕重点大客户、重点区域市场，加强宣传推介，向全球客户展示装备集团的新技术、新装备、新成果。加大国际市场技术、服务人员投入，加快推进境外服务中心建设，构建更加完善的全球服务网络。</w:t>
            </w:r>
          </w:p>
          <w:p w14:paraId="2F0983F5" w14:textId="77777777" w:rsidR="000B4496" w:rsidRDefault="0021400E" w:rsidP="0021400E">
            <w:pPr>
              <w:autoSpaceDE w:val="0"/>
              <w:autoSpaceDN w:val="0"/>
              <w:adjustRightInd w:val="0"/>
              <w:snapToGrid w:val="0"/>
              <w:spacing w:line="360" w:lineRule="auto"/>
              <w:ind w:firstLineChars="200" w:firstLine="480"/>
              <w:rPr>
                <w:rFonts w:ascii="宋体" w:hAnsi="宋体" w:cs="Arial"/>
                <w:sz w:val="24"/>
              </w:rPr>
            </w:pPr>
            <w:r w:rsidRPr="0021400E">
              <w:rPr>
                <w:rFonts w:ascii="宋体" w:hAnsi="宋体" w:cs="Arial" w:hint="eastAsia"/>
                <w:sz w:val="24"/>
              </w:rPr>
              <w:t>5.备品备件及技改等存量市场较大。截至2024年底，国内有约1500条水泥熟料生产线，公司在国外累计承接了300余条水泥产线，给公司在技改、装备、备件、运维等方面提供扎实的市场空间。</w:t>
            </w:r>
          </w:p>
          <w:p w14:paraId="1B180B98" w14:textId="77777777" w:rsidR="003D30C1" w:rsidRPr="0021400E" w:rsidRDefault="003D30C1" w:rsidP="003D30C1">
            <w:pPr>
              <w:autoSpaceDE w:val="0"/>
              <w:autoSpaceDN w:val="0"/>
              <w:adjustRightInd w:val="0"/>
              <w:snapToGrid w:val="0"/>
              <w:spacing w:line="360" w:lineRule="auto"/>
              <w:ind w:firstLineChars="200" w:firstLine="482"/>
              <w:rPr>
                <w:rFonts w:ascii="宋体" w:hAnsi="宋体" w:cs="Arial"/>
                <w:b/>
                <w:bCs/>
                <w:sz w:val="24"/>
              </w:rPr>
            </w:pPr>
            <w:r w:rsidRPr="003D30C1">
              <w:rPr>
                <w:rFonts w:ascii="宋体" w:hAnsi="宋体" w:cs="Arial" w:hint="eastAsia"/>
                <w:b/>
                <w:bCs/>
                <w:sz w:val="24"/>
              </w:rPr>
              <w:t>3.</w:t>
            </w:r>
            <w:r w:rsidR="0021400E">
              <w:rPr>
                <w:rFonts w:hint="eastAsia"/>
              </w:rPr>
              <w:t xml:space="preserve"> </w:t>
            </w:r>
            <w:r w:rsidR="0021400E" w:rsidRPr="0021400E">
              <w:rPr>
                <w:rFonts w:ascii="宋体" w:hAnsi="宋体" w:cs="Arial" w:hint="eastAsia"/>
                <w:b/>
                <w:bCs/>
                <w:sz w:val="24"/>
              </w:rPr>
              <w:t>请公司介绍目前小币种汇率管理经验以及未来在小币种汇率风险管理方面有何新举措？</w:t>
            </w:r>
          </w:p>
          <w:p w14:paraId="04817DE5" w14:textId="77777777" w:rsidR="0021400E" w:rsidRPr="0021400E" w:rsidRDefault="0021400E" w:rsidP="0021400E">
            <w:pPr>
              <w:autoSpaceDE w:val="0"/>
              <w:autoSpaceDN w:val="0"/>
              <w:adjustRightInd w:val="0"/>
              <w:snapToGrid w:val="0"/>
              <w:spacing w:line="360" w:lineRule="auto"/>
              <w:ind w:firstLineChars="200" w:firstLine="480"/>
              <w:rPr>
                <w:rFonts w:ascii="宋体" w:hAnsi="宋体" w:cs="Arial" w:hint="eastAsia"/>
                <w:sz w:val="24"/>
              </w:rPr>
            </w:pPr>
            <w:r w:rsidRPr="0021400E">
              <w:rPr>
                <w:rFonts w:ascii="宋体" w:hAnsi="宋体" w:cs="Arial" w:hint="eastAsia"/>
                <w:sz w:val="24"/>
              </w:rPr>
              <w:t>公司海外市场主要在非洲、中东以及东南亚，受经济结构、政治环境以及国际资本流动等影响，货币汇率波动较大，对公司财务报表产生不同程度的影</w:t>
            </w:r>
            <w:r w:rsidRPr="0021400E">
              <w:rPr>
                <w:rFonts w:ascii="宋体" w:hAnsi="宋体" w:cs="Arial" w:hint="eastAsia"/>
                <w:sz w:val="24"/>
              </w:rPr>
              <w:lastRenderedPageBreak/>
              <w:t>响，这是公司国际化业务面临的客观现实。</w:t>
            </w:r>
          </w:p>
          <w:p w14:paraId="76C76C17" w14:textId="77777777" w:rsidR="0021400E" w:rsidRPr="0021400E" w:rsidRDefault="0021400E" w:rsidP="0021400E">
            <w:pPr>
              <w:autoSpaceDE w:val="0"/>
              <w:autoSpaceDN w:val="0"/>
              <w:adjustRightInd w:val="0"/>
              <w:snapToGrid w:val="0"/>
              <w:spacing w:line="360" w:lineRule="auto"/>
              <w:ind w:firstLineChars="200" w:firstLine="480"/>
              <w:rPr>
                <w:rFonts w:ascii="宋体" w:hAnsi="宋体" w:cs="Arial" w:hint="eastAsia"/>
                <w:sz w:val="24"/>
              </w:rPr>
            </w:pPr>
            <w:r w:rsidRPr="0021400E">
              <w:rPr>
                <w:rFonts w:ascii="宋体" w:hAnsi="宋体" w:cs="Arial" w:hint="eastAsia"/>
                <w:sz w:val="24"/>
              </w:rPr>
              <w:t>从境外业务整体视角来看，汇率因素就如同原材料价格、设备成本、分包成本、人工成本以及其他期间费用一样，共同影响境外业务的经营成果。近三年，公司境外业务占总收入比重逐年升高，三年平均收入约200亿，平均毛利率20.42%，平均毛利41亿。财务费用下平均汇兑损失1亿元，对境外业务整体影响为0.5%，即使2024年汇兑损失为三年中最高，其影响也仅为1.13%，埃及镑、奈拉等公司重点小币种汇兑损失2.57亿元，其影响为1.15%。</w:t>
            </w:r>
          </w:p>
          <w:p w14:paraId="5B8AAD82" w14:textId="77777777" w:rsidR="0021400E" w:rsidRPr="0021400E" w:rsidRDefault="0021400E" w:rsidP="0021400E">
            <w:pPr>
              <w:autoSpaceDE w:val="0"/>
              <w:autoSpaceDN w:val="0"/>
              <w:adjustRightInd w:val="0"/>
              <w:snapToGrid w:val="0"/>
              <w:spacing w:line="360" w:lineRule="auto"/>
              <w:ind w:firstLineChars="200" w:firstLine="480"/>
              <w:rPr>
                <w:rFonts w:ascii="宋体" w:hAnsi="宋体" w:cs="Arial" w:hint="eastAsia"/>
                <w:sz w:val="24"/>
              </w:rPr>
            </w:pPr>
            <w:r w:rsidRPr="0021400E">
              <w:rPr>
                <w:rFonts w:ascii="宋体" w:hAnsi="宋体" w:cs="Arial" w:hint="eastAsia"/>
                <w:sz w:val="24"/>
              </w:rPr>
              <w:t>针对小币种汇率风险管理，公司目前主要有以下五大举措：</w:t>
            </w:r>
          </w:p>
          <w:p w14:paraId="722F3781" w14:textId="77777777" w:rsidR="0021400E" w:rsidRPr="0021400E" w:rsidRDefault="0021400E" w:rsidP="0021400E">
            <w:pPr>
              <w:autoSpaceDE w:val="0"/>
              <w:autoSpaceDN w:val="0"/>
              <w:adjustRightInd w:val="0"/>
              <w:snapToGrid w:val="0"/>
              <w:spacing w:line="360" w:lineRule="auto"/>
              <w:ind w:firstLineChars="200" w:firstLine="480"/>
              <w:rPr>
                <w:rFonts w:ascii="宋体" w:hAnsi="宋体" w:cs="Arial" w:hint="eastAsia"/>
                <w:sz w:val="24"/>
              </w:rPr>
            </w:pPr>
            <w:r w:rsidRPr="0021400E">
              <w:rPr>
                <w:rFonts w:ascii="宋体" w:hAnsi="宋体" w:cs="Arial" w:hint="eastAsia"/>
                <w:sz w:val="24"/>
              </w:rPr>
              <w:t>1.业务合同谈判阶段，加强源头管理，主要是优化合同签约币种设计，合同币种优先选择美元、欧元、人民币结算，如选择当地货币，应以当地成本费用支出作为基础，减少留存；选择有利的结算机制，如在收取当地币时，采用与美元或欧元汇率挂钩的机制，以收款时点的汇率作为折算汇率；在合同中设置汇率贬值补偿机制，避免汇率贬值由我方单边承担。</w:t>
            </w:r>
          </w:p>
          <w:p w14:paraId="1871438E" w14:textId="77777777" w:rsidR="0021400E" w:rsidRPr="0021400E" w:rsidRDefault="0021400E" w:rsidP="0021400E">
            <w:pPr>
              <w:autoSpaceDE w:val="0"/>
              <w:autoSpaceDN w:val="0"/>
              <w:adjustRightInd w:val="0"/>
              <w:snapToGrid w:val="0"/>
              <w:spacing w:line="360" w:lineRule="auto"/>
              <w:ind w:firstLineChars="200" w:firstLine="480"/>
              <w:rPr>
                <w:rFonts w:ascii="宋体" w:hAnsi="宋体" w:cs="Arial" w:hint="eastAsia"/>
                <w:sz w:val="24"/>
              </w:rPr>
            </w:pPr>
            <w:r w:rsidRPr="0021400E">
              <w:rPr>
                <w:rFonts w:ascii="宋体" w:hAnsi="宋体" w:cs="Arial" w:hint="eastAsia"/>
                <w:sz w:val="24"/>
              </w:rPr>
              <w:t>2.在业务合同执行阶段，主要通过扩大本土化经营、投资、用工以及材料机具采购等方式，减少小币种资金留存；通过加强与跨国金融机构合作，选择恰当的外汇产品锁定外汇风险。</w:t>
            </w:r>
          </w:p>
          <w:p w14:paraId="4C396372" w14:textId="77777777" w:rsidR="0021400E" w:rsidRPr="0021400E" w:rsidRDefault="0021400E" w:rsidP="0021400E">
            <w:pPr>
              <w:autoSpaceDE w:val="0"/>
              <w:autoSpaceDN w:val="0"/>
              <w:adjustRightInd w:val="0"/>
              <w:snapToGrid w:val="0"/>
              <w:spacing w:line="360" w:lineRule="auto"/>
              <w:ind w:firstLineChars="200" w:firstLine="480"/>
              <w:rPr>
                <w:rFonts w:ascii="宋体" w:hAnsi="宋体" w:cs="Arial" w:hint="eastAsia"/>
                <w:sz w:val="24"/>
              </w:rPr>
            </w:pPr>
            <w:r w:rsidRPr="0021400E">
              <w:rPr>
                <w:rFonts w:ascii="宋体" w:hAnsi="宋体" w:cs="Arial" w:hint="eastAsia"/>
                <w:sz w:val="24"/>
              </w:rPr>
              <w:t>3.在业务合同关闭后，留存资金可以通过分红、货物贸易以及再投资等方式进行管理，减少外币资金的风险敞口。</w:t>
            </w:r>
          </w:p>
          <w:p w14:paraId="50A8E37B" w14:textId="77777777" w:rsidR="0021400E" w:rsidRPr="0021400E" w:rsidRDefault="0021400E" w:rsidP="0021400E">
            <w:pPr>
              <w:autoSpaceDE w:val="0"/>
              <w:autoSpaceDN w:val="0"/>
              <w:adjustRightInd w:val="0"/>
              <w:snapToGrid w:val="0"/>
              <w:spacing w:line="360" w:lineRule="auto"/>
              <w:ind w:firstLineChars="200" w:firstLine="480"/>
              <w:rPr>
                <w:rFonts w:ascii="宋体" w:hAnsi="宋体" w:cs="Arial" w:hint="eastAsia"/>
                <w:sz w:val="24"/>
              </w:rPr>
            </w:pPr>
            <w:r w:rsidRPr="0021400E">
              <w:rPr>
                <w:rFonts w:ascii="宋体" w:hAnsi="宋体" w:cs="Arial" w:hint="eastAsia"/>
                <w:sz w:val="24"/>
              </w:rPr>
              <w:t>4.加快项目公司向属地化经营性公司的转型步伐。从财务核算角度，汇率折算损益计入净资产下其他综合收益，进一步降低汇率波动对期间损益的影响。</w:t>
            </w:r>
          </w:p>
          <w:p w14:paraId="7A2BC211" w14:textId="77777777" w:rsidR="003D30C1" w:rsidRPr="003D30C1" w:rsidRDefault="0021400E" w:rsidP="0021400E">
            <w:pPr>
              <w:autoSpaceDE w:val="0"/>
              <w:autoSpaceDN w:val="0"/>
              <w:adjustRightInd w:val="0"/>
              <w:snapToGrid w:val="0"/>
              <w:spacing w:line="360" w:lineRule="auto"/>
              <w:ind w:firstLineChars="200" w:firstLine="480"/>
              <w:rPr>
                <w:rFonts w:ascii="宋体" w:hAnsi="宋体" w:cs="Arial"/>
                <w:sz w:val="24"/>
              </w:rPr>
            </w:pPr>
            <w:r w:rsidRPr="0021400E">
              <w:rPr>
                <w:rFonts w:ascii="宋体" w:hAnsi="宋体" w:cs="Arial" w:hint="eastAsia"/>
                <w:sz w:val="24"/>
              </w:rPr>
              <w:t>5.在日常的经营管理中，将汇率风险作为战略风险的一个组成部分，列入公司前五大风险指标，持续监控；境外小币种资金汇率及规模变动，已纳入公司月度经营分析会，逐月开展审视分析、动态监控，控制增速，降低敞口</w:t>
            </w:r>
            <w:r w:rsidR="003D30C1" w:rsidRPr="003D30C1">
              <w:rPr>
                <w:rFonts w:ascii="宋体" w:hAnsi="宋体" w:cs="Arial" w:hint="eastAsia"/>
                <w:sz w:val="24"/>
              </w:rPr>
              <w:t>。</w:t>
            </w:r>
          </w:p>
          <w:p w14:paraId="7BC104F3" w14:textId="77777777" w:rsidR="00EC501C" w:rsidRPr="00D47273" w:rsidRDefault="00EC501C" w:rsidP="000B4496">
            <w:pPr>
              <w:autoSpaceDE w:val="0"/>
              <w:autoSpaceDN w:val="0"/>
              <w:adjustRightInd w:val="0"/>
              <w:snapToGrid w:val="0"/>
              <w:spacing w:line="360" w:lineRule="auto"/>
              <w:ind w:firstLineChars="200" w:firstLine="482"/>
              <w:rPr>
                <w:rFonts w:ascii="宋体" w:hAnsi="宋体"/>
                <w:b/>
                <w:bCs/>
                <w:sz w:val="24"/>
              </w:rPr>
            </w:pPr>
            <w:r w:rsidRPr="00D47273">
              <w:rPr>
                <w:rFonts w:ascii="宋体" w:hAnsi="宋体" w:hint="eastAsia"/>
                <w:b/>
                <w:bCs/>
                <w:sz w:val="24"/>
              </w:rPr>
              <w:t xml:space="preserve">4. </w:t>
            </w:r>
            <w:r w:rsidR="00F350F4" w:rsidRPr="00F350F4">
              <w:rPr>
                <w:rFonts w:ascii="宋体" w:hAnsi="宋体" w:hint="eastAsia"/>
                <w:b/>
                <w:bCs/>
                <w:sz w:val="24"/>
              </w:rPr>
              <w:t>请介绍公司绿能环保业务的开展情况及未来规划。</w:t>
            </w:r>
          </w:p>
          <w:p w14:paraId="36E7EB5E" w14:textId="77777777" w:rsidR="00F350F4" w:rsidRPr="00F350F4" w:rsidRDefault="00F350F4" w:rsidP="00F350F4">
            <w:pPr>
              <w:autoSpaceDE w:val="0"/>
              <w:autoSpaceDN w:val="0"/>
              <w:adjustRightInd w:val="0"/>
              <w:snapToGrid w:val="0"/>
              <w:spacing w:line="360" w:lineRule="auto"/>
              <w:ind w:firstLineChars="200" w:firstLine="480"/>
              <w:rPr>
                <w:rFonts w:ascii="宋体" w:hAnsi="宋体" w:hint="eastAsia"/>
                <w:sz w:val="24"/>
              </w:rPr>
            </w:pPr>
            <w:r w:rsidRPr="00F350F4">
              <w:rPr>
                <w:rFonts w:ascii="宋体" w:hAnsi="宋体" w:hint="eastAsia"/>
                <w:sz w:val="24"/>
              </w:rPr>
              <w:t>目前，公司绿能环保业务主要围绕绿电项目和替代燃料解决方案两大核心板块展开。</w:t>
            </w:r>
          </w:p>
          <w:p w14:paraId="7A3D502F" w14:textId="77777777" w:rsidR="00F350F4" w:rsidRPr="00F350F4" w:rsidRDefault="00F350F4" w:rsidP="00F350F4">
            <w:pPr>
              <w:autoSpaceDE w:val="0"/>
              <w:autoSpaceDN w:val="0"/>
              <w:adjustRightInd w:val="0"/>
              <w:snapToGrid w:val="0"/>
              <w:spacing w:line="360" w:lineRule="auto"/>
              <w:ind w:firstLineChars="200" w:firstLine="480"/>
              <w:rPr>
                <w:rFonts w:ascii="宋体" w:hAnsi="宋体" w:hint="eastAsia"/>
                <w:sz w:val="24"/>
              </w:rPr>
            </w:pPr>
            <w:r w:rsidRPr="00F350F4">
              <w:rPr>
                <w:rFonts w:ascii="宋体" w:hAnsi="宋体" w:hint="eastAsia"/>
                <w:sz w:val="24"/>
              </w:rPr>
              <w:t>1.绿电项目。公司依托在国际工程领域的深厚技术积累与资源优势，构建</w:t>
            </w:r>
            <w:r w:rsidRPr="00F350F4">
              <w:rPr>
                <w:rFonts w:ascii="宋体" w:hAnsi="宋体" w:hint="eastAsia"/>
                <w:sz w:val="24"/>
              </w:rPr>
              <w:lastRenderedPageBreak/>
              <w:t>了涵盖风电光伏EPC、风电混塔、智能微电网、新能源开发、新型储能的五大业务体系，为客户提供一站式综合解决方案。境内，公司将充分利用天山材料等兄弟公司的巨大应用场景，推进零碳、“光伏+”、“风电+”工厂和矿山建设，助力传统业务绿色转型；境外，公司将聚焦“一带一路”沿线国家和地区，为水泥行业及其他工商业提供能源结构转型与低碳发展的系统性解决方案，进一步巩固公司在国际市场的领先地位。</w:t>
            </w:r>
          </w:p>
          <w:p w14:paraId="1D3A0F84" w14:textId="77777777" w:rsidR="00F350F4" w:rsidRPr="00F350F4" w:rsidRDefault="00F350F4" w:rsidP="00F350F4">
            <w:pPr>
              <w:autoSpaceDE w:val="0"/>
              <w:autoSpaceDN w:val="0"/>
              <w:adjustRightInd w:val="0"/>
              <w:snapToGrid w:val="0"/>
              <w:spacing w:line="360" w:lineRule="auto"/>
              <w:ind w:firstLineChars="200" w:firstLine="480"/>
              <w:rPr>
                <w:rFonts w:ascii="宋体" w:hAnsi="宋体" w:hint="eastAsia"/>
                <w:sz w:val="24"/>
              </w:rPr>
            </w:pPr>
            <w:r w:rsidRPr="00F350F4">
              <w:rPr>
                <w:rFonts w:ascii="宋体" w:hAnsi="宋体" w:hint="eastAsia"/>
                <w:sz w:val="24"/>
              </w:rPr>
              <w:t>2.替代燃料。公司通过子公司中材环境等平台，依托在水泥行业的技术优势，为客户提供高效、环保的替代燃料解决方案，助力企业降低能耗、减少碳排放。</w:t>
            </w:r>
          </w:p>
          <w:p w14:paraId="5771F8EB" w14:textId="77777777" w:rsidR="00F350F4" w:rsidRPr="00F350F4" w:rsidRDefault="00F350F4" w:rsidP="00F350F4">
            <w:pPr>
              <w:autoSpaceDE w:val="0"/>
              <w:autoSpaceDN w:val="0"/>
              <w:adjustRightInd w:val="0"/>
              <w:snapToGrid w:val="0"/>
              <w:spacing w:line="360" w:lineRule="auto"/>
              <w:ind w:firstLineChars="200" w:firstLine="480"/>
              <w:rPr>
                <w:rFonts w:ascii="宋体" w:hAnsi="宋体" w:hint="eastAsia"/>
                <w:sz w:val="24"/>
              </w:rPr>
            </w:pPr>
            <w:r w:rsidRPr="00F350F4">
              <w:rPr>
                <w:rFonts w:ascii="宋体" w:hAnsi="宋体" w:hint="eastAsia"/>
                <w:sz w:val="24"/>
              </w:rPr>
              <w:t>未来将定制化提供基础建材、新材料工厂替代燃料覆盖系统解决方案，加快打造集团替代燃料产业链平台，构建替代燃料“收、储、制、运、用”一体化业务体系，将危险废弃物、生活垃圾、废纺织品等资源化加工为替代燃料，为水泥及其他行业提供减碳支持，实现资源循环利用与绿色低碳发展。</w:t>
            </w:r>
          </w:p>
          <w:p w14:paraId="4A673187" w14:textId="77777777" w:rsidR="00F350F4" w:rsidRPr="00F350F4" w:rsidRDefault="00F350F4" w:rsidP="00F350F4">
            <w:pPr>
              <w:autoSpaceDE w:val="0"/>
              <w:autoSpaceDN w:val="0"/>
              <w:adjustRightInd w:val="0"/>
              <w:snapToGrid w:val="0"/>
              <w:spacing w:line="360" w:lineRule="auto"/>
              <w:ind w:firstLineChars="200" w:firstLine="480"/>
              <w:rPr>
                <w:rFonts w:ascii="宋体" w:hAnsi="宋体" w:hint="eastAsia"/>
                <w:sz w:val="24"/>
              </w:rPr>
            </w:pPr>
            <w:r w:rsidRPr="00F350F4">
              <w:rPr>
                <w:rFonts w:ascii="宋体" w:hAnsi="宋体" w:hint="eastAsia"/>
                <w:sz w:val="24"/>
              </w:rPr>
              <w:t>绿能环保业务与公司传统主业的协同发展效应显著，主要体现在以下两个方面：</w:t>
            </w:r>
          </w:p>
          <w:p w14:paraId="73E3DFEE" w14:textId="77777777" w:rsidR="00F350F4" w:rsidRPr="00F350F4" w:rsidRDefault="00F350F4" w:rsidP="00F350F4">
            <w:pPr>
              <w:autoSpaceDE w:val="0"/>
              <w:autoSpaceDN w:val="0"/>
              <w:adjustRightInd w:val="0"/>
              <w:snapToGrid w:val="0"/>
              <w:spacing w:line="360" w:lineRule="auto"/>
              <w:ind w:firstLineChars="200" w:firstLine="480"/>
              <w:rPr>
                <w:rFonts w:ascii="宋体" w:hAnsi="宋体" w:hint="eastAsia"/>
                <w:sz w:val="24"/>
              </w:rPr>
            </w:pPr>
            <w:r w:rsidRPr="00F350F4">
              <w:rPr>
                <w:rFonts w:ascii="宋体" w:hAnsi="宋体" w:hint="eastAsia"/>
                <w:sz w:val="24"/>
              </w:rPr>
              <w:t>1.技术协同：公司在绿电项目中积累的储能技术和智能电网技术，能够赋能传统水泥生产线的节能改造，提升传统业务的技术水平与运营效率，推动绿色技术与传统产业的深度融合；</w:t>
            </w:r>
          </w:p>
          <w:p w14:paraId="0812B024" w14:textId="77777777" w:rsidR="00F350F4" w:rsidRPr="00F350F4" w:rsidRDefault="00F350F4" w:rsidP="00F350F4">
            <w:pPr>
              <w:autoSpaceDE w:val="0"/>
              <w:autoSpaceDN w:val="0"/>
              <w:adjustRightInd w:val="0"/>
              <w:snapToGrid w:val="0"/>
              <w:spacing w:line="360" w:lineRule="auto"/>
              <w:ind w:firstLineChars="200" w:firstLine="480"/>
              <w:rPr>
                <w:rFonts w:ascii="宋体" w:hAnsi="宋体" w:hint="eastAsia"/>
                <w:sz w:val="24"/>
              </w:rPr>
            </w:pPr>
            <w:r w:rsidRPr="00F350F4">
              <w:rPr>
                <w:rFonts w:ascii="宋体" w:hAnsi="宋体" w:hint="eastAsia"/>
                <w:sz w:val="24"/>
              </w:rPr>
              <w:t>2.市场协同：公司在海外绿色电力项目中积累的优质客户资源与市场经验，能够反哺传统主业，为其开辟新的业务增长点，拓展国际市场边界，强化公司全球影响力。</w:t>
            </w:r>
          </w:p>
          <w:p w14:paraId="4FFC0029" w14:textId="77777777" w:rsidR="00F350F4" w:rsidRPr="00F350F4" w:rsidRDefault="00F350F4" w:rsidP="00F350F4">
            <w:pPr>
              <w:autoSpaceDE w:val="0"/>
              <w:autoSpaceDN w:val="0"/>
              <w:adjustRightInd w:val="0"/>
              <w:snapToGrid w:val="0"/>
              <w:spacing w:line="360" w:lineRule="auto"/>
              <w:ind w:firstLineChars="200" w:firstLine="480"/>
              <w:rPr>
                <w:rFonts w:ascii="宋体" w:hAnsi="宋体" w:hint="eastAsia"/>
                <w:sz w:val="24"/>
              </w:rPr>
            </w:pPr>
            <w:r w:rsidRPr="00F350F4">
              <w:rPr>
                <w:rFonts w:ascii="宋体" w:hAnsi="宋体" w:hint="eastAsia"/>
                <w:sz w:val="24"/>
              </w:rPr>
              <w:t>此外，中国建材集团在光伏、风电等领域的优势资源，也为公司绿能业务发展提供有力支撑。</w:t>
            </w:r>
          </w:p>
          <w:p w14:paraId="119F0FBF" w14:textId="77777777" w:rsidR="00EC501C" w:rsidRPr="00D47273" w:rsidRDefault="00F350F4" w:rsidP="00F350F4">
            <w:pPr>
              <w:autoSpaceDE w:val="0"/>
              <w:autoSpaceDN w:val="0"/>
              <w:adjustRightInd w:val="0"/>
              <w:snapToGrid w:val="0"/>
              <w:spacing w:line="360" w:lineRule="auto"/>
              <w:ind w:firstLineChars="200" w:firstLine="480"/>
              <w:rPr>
                <w:rFonts w:ascii="宋体" w:hAnsi="宋体" w:hint="eastAsia"/>
                <w:sz w:val="24"/>
              </w:rPr>
            </w:pPr>
            <w:r w:rsidRPr="00F350F4">
              <w:rPr>
                <w:rFonts w:ascii="宋体" w:hAnsi="宋体" w:hint="eastAsia"/>
                <w:sz w:val="24"/>
              </w:rPr>
              <w:t>展望未来，中材国际将坚持以“材料创造美好世界”为使命，通过技术迭代与全球化布局，打造水泥工业绿色转型的新标杆。绿能环保业务将成为公司业绩增长的新引擎，助力实现“从工程承包商到产业生态构建者”转型，为实现“双碳”目标贡献核心力量。</w:t>
            </w:r>
          </w:p>
          <w:p w14:paraId="1E2BC69D" w14:textId="77777777" w:rsidR="00EC501C" w:rsidRPr="00D47273" w:rsidRDefault="00EC501C" w:rsidP="000B4496">
            <w:pPr>
              <w:autoSpaceDE w:val="0"/>
              <w:autoSpaceDN w:val="0"/>
              <w:adjustRightInd w:val="0"/>
              <w:snapToGrid w:val="0"/>
              <w:spacing w:line="360" w:lineRule="auto"/>
              <w:ind w:firstLineChars="200" w:firstLine="482"/>
              <w:rPr>
                <w:rFonts w:ascii="宋体" w:hAnsi="宋体"/>
                <w:b/>
                <w:bCs/>
                <w:sz w:val="24"/>
              </w:rPr>
            </w:pPr>
            <w:r w:rsidRPr="00D47273">
              <w:rPr>
                <w:rFonts w:ascii="宋体" w:hAnsi="宋体" w:hint="eastAsia"/>
                <w:b/>
                <w:bCs/>
                <w:sz w:val="24"/>
              </w:rPr>
              <w:t>5.</w:t>
            </w:r>
            <w:r w:rsidR="00FC1B39" w:rsidRPr="00D47273">
              <w:rPr>
                <w:rFonts w:ascii="宋体" w:hAnsi="宋体" w:hint="eastAsia"/>
                <w:b/>
                <w:bCs/>
                <w:sz w:val="24"/>
              </w:rPr>
              <w:t xml:space="preserve"> </w:t>
            </w:r>
            <w:r w:rsidR="00F350F4" w:rsidRPr="00F350F4">
              <w:rPr>
                <w:rFonts w:hint="eastAsia"/>
                <w:b/>
                <w:bCs/>
                <w:sz w:val="24"/>
              </w:rPr>
              <w:t>请公司对生产运营服务业务未来发展前景进行展望。</w:t>
            </w:r>
          </w:p>
          <w:p w14:paraId="106F3FAB" w14:textId="77777777" w:rsidR="00F350F4" w:rsidRPr="00F350F4" w:rsidRDefault="00EC501C" w:rsidP="00F350F4">
            <w:pPr>
              <w:autoSpaceDE w:val="0"/>
              <w:autoSpaceDN w:val="0"/>
              <w:adjustRightInd w:val="0"/>
              <w:snapToGrid w:val="0"/>
              <w:spacing w:line="360" w:lineRule="auto"/>
              <w:ind w:firstLineChars="200" w:firstLine="480"/>
              <w:rPr>
                <w:rFonts w:cs="Arial" w:hint="eastAsia"/>
                <w:sz w:val="24"/>
              </w:rPr>
            </w:pPr>
            <w:r w:rsidRPr="00D47273">
              <w:rPr>
                <w:rFonts w:ascii="宋体" w:hAnsi="宋体" w:hint="eastAsia"/>
                <w:sz w:val="24"/>
              </w:rPr>
              <w:lastRenderedPageBreak/>
              <w:t>答：</w:t>
            </w:r>
            <w:r w:rsidR="00F350F4" w:rsidRPr="00F350F4">
              <w:rPr>
                <w:rFonts w:cs="Arial" w:hint="eastAsia"/>
                <w:sz w:val="24"/>
              </w:rPr>
              <w:t>近年来，公司全面对接客户全生命周期生产需求，大力推动生产运营服务发展，加快向技改、运维、备品备件一体化服务转型。目前，公司运维业务主要涵盖水泥运维服务和矿山运维服务等。</w:t>
            </w:r>
          </w:p>
          <w:p w14:paraId="16EA334E" w14:textId="77777777" w:rsidR="00F350F4" w:rsidRPr="00F350F4" w:rsidRDefault="00F350F4" w:rsidP="00F350F4">
            <w:pPr>
              <w:autoSpaceDE w:val="0"/>
              <w:autoSpaceDN w:val="0"/>
              <w:adjustRightInd w:val="0"/>
              <w:snapToGrid w:val="0"/>
              <w:spacing w:line="360" w:lineRule="auto"/>
              <w:ind w:firstLineChars="200" w:firstLine="480"/>
              <w:rPr>
                <w:rFonts w:cs="Arial" w:hint="eastAsia"/>
                <w:sz w:val="24"/>
              </w:rPr>
            </w:pPr>
            <w:r w:rsidRPr="00F350F4">
              <w:rPr>
                <w:rFonts w:cs="Arial" w:hint="eastAsia"/>
                <w:sz w:val="24"/>
              </w:rPr>
              <w:t>水泥运维服务主要包括生产线运维和备品备件。目前公司水泥整线运维业务主要在境外，非洲、中东、东南亚等“一带一路”沿线国家，特别是一些经济快速发展、水泥生产线快速增加的国家，由于缺乏先进管理经验与技术工人，对水泥生产线运维服务的需求也在持续扩大。公司正在积极推动数字化战略梳理和核心能力再造：一是加快开发智能运维服务平台，通过智能运维平台运用赋能运维业务，推进运维业务的降本增效提质，增加运维服务的含金量；二是拓展数字智能工厂的建设，大力推进智能工厂改造升级业务带动运维业务的市场拓展。在备品备件领域，装备集团下属各专业装备子公司均有备品备件业务，产品矩阵丰富。全球水泥熟料生产线存量规模较大，考虑到设备使用寿命限制和替换材料升级需求，售后和备品备件市场规模非常可观。下一步，中材国际将加快打造全球服务中心，加快营销网络全球布局，推动水泥运维、备品备件业务快速发展。</w:t>
            </w:r>
          </w:p>
          <w:p w14:paraId="31BEE2F2" w14:textId="77777777" w:rsidR="00F350F4" w:rsidRPr="00F350F4" w:rsidRDefault="00F350F4" w:rsidP="00F350F4">
            <w:pPr>
              <w:autoSpaceDE w:val="0"/>
              <w:autoSpaceDN w:val="0"/>
              <w:adjustRightInd w:val="0"/>
              <w:snapToGrid w:val="0"/>
              <w:spacing w:line="360" w:lineRule="auto"/>
              <w:ind w:firstLineChars="200" w:firstLine="480"/>
              <w:rPr>
                <w:rFonts w:cs="Arial" w:hint="eastAsia"/>
                <w:sz w:val="24"/>
              </w:rPr>
            </w:pPr>
            <w:r w:rsidRPr="00F350F4">
              <w:rPr>
                <w:rFonts w:cs="Arial" w:hint="eastAsia"/>
                <w:sz w:val="24"/>
              </w:rPr>
              <w:t>矿山运维服务方面，目前公司基于“两外”战略大力推动矿山运维业务的发展：随着国内矿山环保及安全监管政策趋严，各地政府出台了相应政策，数字化矿山服务能力也会为公司拓展市场带来空间。公司拥有开采其他露天矿的技术储备，依托现有技术可向其他露天矿品种扩展，同时结合相关矿种的特点择机拓展选矿服务；同时，依托公司海外属地化优势和工程业务带动，积极拓展境外矿山运维业务，</w:t>
            </w:r>
            <w:r w:rsidRPr="00F350F4">
              <w:rPr>
                <w:rFonts w:cs="Arial" w:hint="eastAsia"/>
                <w:sz w:val="24"/>
              </w:rPr>
              <w:t>24</w:t>
            </w:r>
            <w:r w:rsidRPr="00F350F4">
              <w:rPr>
                <w:rFonts w:cs="Arial" w:hint="eastAsia"/>
                <w:sz w:val="24"/>
              </w:rPr>
              <w:t>年已实现</w:t>
            </w:r>
            <w:r w:rsidRPr="00F350F4">
              <w:rPr>
                <w:rFonts w:cs="Arial" w:hint="eastAsia"/>
                <w:sz w:val="24"/>
              </w:rPr>
              <w:t>9</w:t>
            </w:r>
            <w:r w:rsidRPr="00F350F4">
              <w:rPr>
                <w:rFonts w:cs="Arial" w:hint="eastAsia"/>
                <w:sz w:val="24"/>
              </w:rPr>
              <w:t>个境外矿山运维服务项目，并在锂矿运维等方面取得突破，接下来会继续加大力度开拓海外项目，积极打造境外战略性矿产资源业务优势。</w:t>
            </w:r>
          </w:p>
          <w:p w14:paraId="03152CD1" w14:textId="77777777" w:rsidR="00E03118" w:rsidRDefault="00F350F4" w:rsidP="00F350F4">
            <w:pPr>
              <w:autoSpaceDE w:val="0"/>
              <w:autoSpaceDN w:val="0"/>
              <w:adjustRightInd w:val="0"/>
              <w:snapToGrid w:val="0"/>
              <w:spacing w:line="360" w:lineRule="auto"/>
              <w:ind w:firstLineChars="200" w:firstLine="480"/>
              <w:rPr>
                <w:rFonts w:ascii="宋体" w:hAnsi="宋体"/>
                <w:sz w:val="24"/>
              </w:rPr>
            </w:pPr>
            <w:r w:rsidRPr="00F350F4">
              <w:rPr>
                <w:rFonts w:cs="Arial" w:hint="eastAsia"/>
                <w:sz w:val="24"/>
              </w:rPr>
              <w:t>公司将推动“大运维”服务的模式，构建覆盖水泥、矿山、绿能、环保的大运维服务体系，提供全产业链一站式服务，推动全球水泥运维服务资源整合，配齐配强矿山运维海外基地和人才队伍，搭建“全贯通”数字运维服务框架，以“产品</w:t>
            </w:r>
            <w:r w:rsidRPr="00F350F4">
              <w:rPr>
                <w:rFonts w:cs="Arial" w:hint="eastAsia"/>
                <w:sz w:val="24"/>
              </w:rPr>
              <w:t>+</w:t>
            </w:r>
            <w:r w:rsidRPr="00F350F4">
              <w:rPr>
                <w:rFonts w:cs="Arial" w:hint="eastAsia"/>
                <w:sz w:val="24"/>
              </w:rPr>
              <w:t>服务”创新重塑行业生态。</w:t>
            </w:r>
          </w:p>
          <w:p w14:paraId="5E650BAA" w14:textId="77777777" w:rsidR="00C47AF9" w:rsidRPr="00F350F4" w:rsidRDefault="00C47AF9" w:rsidP="00C47AF9">
            <w:pPr>
              <w:autoSpaceDE w:val="0"/>
              <w:autoSpaceDN w:val="0"/>
              <w:adjustRightInd w:val="0"/>
              <w:snapToGrid w:val="0"/>
              <w:spacing w:line="360" w:lineRule="auto"/>
              <w:ind w:firstLineChars="200" w:firstLine="482"/>
              <w:rPr>
                <w:rFonts w:hint="eastAsia"/>
                <w:b/>
                <w:bCs/>
                <w:sz w:val="24"/>
              </w:rPr>
            </w:pPr>
            <w:r>
              <w:rPr>
                <w:rFonts w:hint="eastAsia"/>
                <w:b/>
                <w:bCs/>
                <w:sz w:val="24"/>
              </w:rPr>
              <w:t>6</w:t>
            </w:r>
            <w:r>
              <w:rPr>
                <w:b/>
                <w:bCs/>
                <w:sz w:val="24"/>
              </w:rPr>
              <w:t>.</w:t>
            </w:r>
            <w:r>
              <w:rPr>
                <w:rFonts w:hint="eastAsia"/>
                <w:b/>
                <w:bCs/>
                <w:sz w:val="24"/>
              </w:rPr>
              <w:t xml:space="preserve"> </w:t>
            </w:r>
            <w:r w:rsidR="00F350F4" w:rsidRPr="00F350F4">
              <w:rPr>
                <w:rFonts w:hint="eastAsia"/>
                <w:b/>
                <w:bCs/>
                <w:sz w:val="24"/>
              </w:rPr>
              <w:t>公司在水泥行业低碳绿色化转型过程中具备哪些核心技术能力？</w:t>
            </w:r>
            <w:r>
              <w:rPr>
                <w:rFonts w:hint="eastAsia"/>
                <w:b/>
                <w:bCs/>
                <w:sz w:val="24"/>
              </w:rPr>
              <w:t xml:space="preserve"> </w:t>
            </w:r>
          </w:p>
          <w:p w14:paraId="657D6C5F" w14:textId="77777777" w:rsidR="00F350F4" w:rsidRPr="00F350F4" w:rsidRDefault="00C47AF9" w:rsidP="00F350F4">
            <w:pPr>
              <w:autoSpaceDE w:val="0"/>
              <w:autoSpaceDN w:val="0"/>
              <w:adjustRightInd w:val="0"/>
              <w:snapToGrid w:val="0"/>
              <w:spacing w:line="360" w:lineRule="auto"/>
              <w:ind w:firstLineChars="200" w:firstLine="480"/>
              <w:rPr>
                <w:rFonts w:ascii="宋体" w:hAnsi="宋体" w:hint="eastAsia"/>
                <w:sz w:val="24"/>
              </w:rPr>
            </w:pPr>
            <w:r>
              <w:rPr>
                <w:rFonts w:ascii="宋体" w:hAnsi="宋体" w:hint="eastAsia"/>
                <w:sz w:val="24"/>
              </w:rPr>
              <w:lastRenderedPageBreak/>
              <w:t>答：</w:t>
            </w:r>
            <w:r w:rsidR="00F350F4" w:rsidRPr="00F350F4">
              <w:rPr>
                <w:rFonts w:ascii="宋体" w:hAnsi="宋体" w:hint="eastAsia"/>
                <w:sz w:val="24"/>
              </w:rPr>
              <w:t>从国内背景出发，2024年，国家发改委等部门联合印发《水泥行业节能降碳专项行动计划》。2025年3月26日，生态环保部发布《全国碳排放权交易市场覆盖钢铁、水泥、铝冶炼行业工作方案》，水泥纳入全国碳排放权交易市场正式进入实施阶段。</w:t>
            </w:r>
          </w:p>
          <w:p w14:paraId="17B373C6" w14:textId="77777777" w:rsidR="00F350F4" w:rsidRPr="00F350F4" w:rsidRDefault="00F350F4" w:rsidP="00F350F4">
            <w:pPr>
              <w:autoSpaceDE w:val="0"/>
              <w:autoSpaceDN w:val="0"/>
              <w:adjustRightInd w:val="0"/>
              <w:snapToGrid w:val="0"/>
              <w:spacing w:line="360" w:lineRule="auto"/>
              <w:ind w:firstLineChars="200" w:firstLine="480"/>
              <w:rPr>
                <w:rFonts w:ascii="宋体" w:hAnsi="宋体" w:hint="eastAsia"/>
                <w:sz w:val="24"/>
              </w:rPr>
            </w:pPr>
            <w:r w:rsidRPr="00F350F4">
              <w:rPr>
                <w:rFonts w:ascii="宋体" w:hAnsi="宋体" w:hint="eastAsia"/>
                <w:sz w:val="24"/>
              </w:rPr>
              <w:t>从国际背景出发，国际水泥领域已有全球水泥降碳技术路线图，成为目前全球水泥行业要力争实现的减碳脱碳净零排放的综合目标。</w:t>
            </w:r>
          </w:p>
          <w:p w14:paraId="5A6D1EB0" w14:textId="77777777" w:rsidR="00F350F4" w:rsidRPr="00F350F4" w:rsidRDefault="00F350F4" w:rsidP="00F350F4">
            <w:pPr>
              <w:autoSpaceDE w:val="0"/>
              <w:autoSpaceDN w:val="0"/>
              <w:adjustRightInd w:val="0"/>
              <w:snapToGrid w:val="0"/>
              <w:spacing w:line="360" w:lineRule="auto"/>
              <w:ind w:firstLineChars="200" w:firstLine="480"/>
              <w:rPr>
                <w:rFonts w:ascii="宋体" w:hAnsi="宋体" w:hint="eastAsia"/>
                <w:sz w:val="24"/>
              </w:rPr>
            </w:pPr>
            <w:r w:rsidRPr="00F350F4">
              <w:rPr>
                <w:rFonts w:ascii="宋体" w:hAnsi="宋体" w:hint="eastAsia"/>
                <w:sz w:val="24"/>
              </w:rPr>
              <w:t>中材国际作为全球水泥行业赋能水泥行业绿色低碳发展的系统的基础服务商，积极顺应全球发展趋势，响应国家战略的要求，依托科技创新，形成了从源头到末端全系统的减碳脱碳，赋能全球水泥行业最终实现近零排放的技术路线。</w:t>
            </w:r>
          </w:p>
          <w:p w14:paraId="273F22C7" w14:textId="77777777" w:rsidR="00F350F4" w:rsidRPr="00F350F4" w:rsidRDefault="00F350F4" w:rsidP="00F350F4">
            <w:pPr>
              <w:autoSpaceDE w:val="0"/>
              <w:autoSpaceDN w:val="0"/>
              <w:adjustRightInd w:val="0"/>
              <w:snapToGrid w:val="0"/>
              <w:spacing w:line="360" w:lineRule="auto"/>
              <w:ind w:firstLineChars="200" w:firstLine="480"/>
              <w:rPr>
                <w:rFonts w:ascii="宋体" w:hAnsi="宋体" w:hint="eastAsia"/>
                <w:sz w:val="24"/>
              </w:rPr>
            </w:pPr>
            <w:r w:rsidRPr="00F350F4">
              <w:rPr>
                <w:rFonts w:ascii="宋体" w:hAnsi="宋体" w:hint="eastAsia"/>
                <w:sz w:val="24"/>
              </w:rPr>
              <w:t>1.能源效率提升方面。一直以来，中材国际始终在积极推进低能耗水泥生产技术研发及应用，从减少水泥产线化石能源消耗、降低系统高碳电力电耗、提高系统余热利用效率和全流程数字化智能化等方面，进一步提升和优化行业能源效率应用。以承建的合肥南方水泥有限公司6000t/d熟料水泥生产线项目为例，该项目是公司近年来集科研、设计、装备等具有自主知识产权的最新成果创新示范线，在性能指标、低碳环保、智能智造、美丽工厂等方面已成为行业标杆，达到国内水泥熟料生产线最先进水平。同时公司也在悬浮煅烧、沸腾煅烧等开展积极布局，核心技术装备领域取得了突破，悬浮煅烧可降低热耗20%以上，在制备辅助胶凝材料以及生产活性土、陶瓷和氧化铝等高值化产品，具有显著减碳效果。</w:t>
            </w:r>
          </w:p>
          <w:p w14:paraId="3C25E1CB" w14:textId="77777777" w:rsidR="00F350F4" w:rsidRPr="00F350F4" w:rsidRDefault="00F350F4" w:rsidP="00F350F4">
            <w:pPr>
              <w:autoSpaceDE w:val="0"/>
              <w:autoSpaceDN w:val="0"/>
              <w:adjustRightInd w:val="0"/>
              <w:snapToGrid w:val="0"/>
              <w:spacing w:line="360" w:lineRule="auto"/>
              <w:ind w:firstLineChars="200" w:firstLine="480"/>
              <w:rPr>
                <w:rFonts w:ascii="宋体" w:hAnsi="宋体" w:hint="eastAsia"/>
                <w:sz w:val="24"/>
              </w:rPr>
            </w:pPr>
            <w:r w:rsidRPr="00F350F4">
              <w:rPr>
                <w:rFonts w:ascii="宋体" w:hAnsi="宋体" w:hint="eastAsia"/>
                <w:sz w:val="24"/>
              </w:rPr>
              <w:t>2.替代原燃料技术方面。一方面积极布局替代燃料的产业平台，另外一方面不断通过技术创新开发新的技术和装备，适应各种多元替代燃料的在水泥工厂的应用。中材国际已经实现了90%以上的替代燃料的替代工艺，比如说波兰拉豪MAL01的项目替代燃料比例达到了90%以上，法国的MK替代燃料项目达到85%，另外还有在法国煅烧黏土的项目，基本上实现了替代燃料的100%的利用。</w:t>
            </w:r>
          </w:p>
          <w:p w14:paraId="1453F6C0" w14:textId="77777777" w:rsidR="00F350F4" w:rsidRPr="00F350F4" w:rsidRDefault="00F350F4" w:rsidP="00F350F4">
            <w:pPr>
              <w:autoSpaceDE w:val="0"/>
              <w:autoSpaceDN w:val="0"/>
              <w:adjustRightInd w:val="0"/>
              <w:snapToGrid w:val="0"/>
              <w:spacing w:line="360" w:lineRule="auto"/>
              <w:ind w:firstLineChars="200" w:firstLine="480"/>
              <w:rPr>
                <w:rFonts w:ascii="宋体" w:hAnsi="宋体" w:hint="eastAsia"/>
                <w:sz w:val="24"/>
              </w:rPr>
            </w:pPr>
            <w:r w:rsidRPr="00F350F4">
              <w:rPr>
                <w:rFonts w:ascii="宋体" w:hAnsi="宋体" w:hint="eastAsia"/>
                <w:sz w:val="24"/>
              </w:rPr>
              <w:t>3.熟料替代与新型低碳熟料水泥技术。这是目前单位水泥排放强度降低的最直接有效的方案，中材国际通过自身开发的煅烧技术和优化水泥粉磨工艺，降低单位水泥熟料系数，推动水泥行业采用熟料替代的方案实现低碳的制备。</w:t>
            </w:r>
          </w:p>
          <w:p w14:paraId="742DDA98" w14:textId="77777777" w:rsidR="00F350F4" w:rsidRPr="00F350F4" w:rsidRDefault="00F350F4" w:rsidP="00F350F4">
            <w:pPr>
              <w:autoSpaceDE w:val="0"/>
              <w:autoSpaceDN w:val="0"/>
              <w:adjustRightInd w:val="0"/>
              <w:snapToGrid w:val="0"/>
              <w:spacing w:line="360" w:lineRule="auto"/>
              <w:ind w:firstLineChars="200" w:firstLine="480"/>
              <w:rPr>
                <w:rFonts w:ascii="宋体" w:hAnsi="宋体"/>
                <w:sz w:val="24"/>
              </w:rPr>
            </w:pPr>
            <w:r w:rsidRPr="00F350F4">
              <w:rPr>
                <w:rFonts w:ascii="宋体" w:hAnsi="宋体"/>
                <w:sz w:val="24"/>
              </w:rPr>
              <w:lastRenderedPageBreak/>
              <w:t>4.</w:t>
            </w:r>
            <w:r w:rsidRPr="00F350F4">
              <w:rPr>
                <w:rFonts w:ascii="宋体" w:hAnsi="宋体" w:hint="eastAsia"/>
                <w:sz w:val="24"/>
              </w:rPr>
              <w:t>碳捕集与资源化利用技术。碳交易市场扩容后，碳捕获和封存（</w:t>
            </w:r>
            <w:r w:rsidRPr="00F350F4">
              <w:rPr>
                <w:rFonts w:ascii="宋体" w:hAnsi="宋体"/>
                <w:sz w:val="24"/>
              </w:rPr>
              <w:t>CCUS</w:t>
            </w:r>
            <w:r w:rsidRPr="00F350F4">
              <w:rPr>
                <w:rFonts w:ascii="宋体" w:hAnsi="宋体" w:hint="eastAsia"/>
                <w:sz w:val="24"/>
              </w:rPr>
              <w:t>）将成为水泥行业碳配额抵消关键路径。作为一项能够实现二氧化碳深度减排并资源化利用的关键技术，中材国际通过源头提升</w:t>
            </w:r>
            <w:r w:rsidRPr="00F350F4">
              <w:rPr>
                <w:rFonts w:ascii="宋体" w:hAnsi="宋体"/>
                <w:sz w:val="24"/>
              </w:rPr>
              <w:t>CO</w:t>
            </w:r>
            <w:r w:rsidRPr="00F350F4">
              <w:rPr>
                <w:rFonts w:ascii="Cambria Math" w:hAnsi="Cambria Math" w:cs="Cambria Math"/>
                <w:sz w:val="24"/>
              </w:rPr>
              <w:t>₂</w:t>
            </w:r>
            <w:r w:rsidRPr="00F350F4">
              <w:rPr>
                <w:rFonts w:ascii="宋体" w:hAnsi="宋体" w:hint="eastAsia"/>
                <w:sz w:val="24"/>
              </w:rPr>
              <w:t>浓度降低碳捕集提纯成本的技术攻关，自主研发了水泥全氧燃烧耦合碳捕集技术，填补了多项国内外技术空白，实现了“世界领跑”。中材国际承建的青州中联年产</w:t>
            </w:r>
            <w:r w:rsidRPr="00F350F4">
              <w:rPr>
                <w:rFonts w:ascii="宋体" w:hAnsi="宋体"/>
                <w:sz w:val="24"/>
              </w:rPr>
              <w:t>20</w:t>
            </w:r>
            <w:r w:rsidRPr="00F350F4">
              <w:rPr>
                <w:rFonts w:ascii="宋体" w:hAnsi="宋体" w:hint="eastAsia"/>
                <w:sz w:val="24"/>
              </w:rPr>
              <w:t>万吨二氧化碳全氧燃烧富集提纯示范项目，该项目获得世界水泥协会（</w:t>
            </w:r>
            <w:r w:rsidRPr="00F350F4">
              <w:rPr>
                <w:rFonts w:ascii="宋体" w:hAnsi="宋体"/>
                <w:sz w:val="24"/>
              </w:rPr>
              <w:t>WCA</w:t>
            </w:r>
            <w:r w:rsidRPr="00F350F4">
              <w:rPr>
                <w:rFonts w:ascii="宋体" w:hAnsi="宋体" w:hint="eastAsia"/>
                <w:sz w:val="24"/>
              </w:rPr>
              <w:t>）气候行动奖。</w:t>
            </w:r>
          </w:p>
          <w:p w14:paraId="1E27F7ED" w14:textId="77777777" w:rsidR="003D30C1" w:rsidRDefault="00F350F4" w:rsidP="00F350F4">
            <w:pPr>
              <w:autoSpaceDE w:val="0"/>
              <w:autoSpaceDN w:val="0"/>
              <w:adjustRightInd w:val="0"/>
              <w:snapToGrid w:val="0"/>
              <w:spacing w:line="360" w:lineRule="auto"/>
              <w:ind w:firstLineChars="200" w:firstLine="480"/>
              <w:rPr>
                <w:rFonts w:ascii="宋体" w:hAnsi="宋体"/>
                <w:sz w:val="24"/>
              </w:rPr>
            </w:pPr>
            <w:r w:rsidRPr="00F350F4">
              <w:rPr>
                <w:rFonts w:ascii="宋体" w:hAnsi="宋体" w:hint="eastAsia"/>
                <w:sz w:val="24"/>
              </w:rPr>
              <w:t>总体来说，中材国际紧抓高端化、智能化、绿色化发展机遇，加大对重大共性关键技术和应用示范投入，从全产业链角度进行整体攻关和技术应用，拥有为水泥行业绿色低碳转型完整的、系统的解决方案，能够助力水泥产业迭代升级，促进水泥行业碳达峰、碳中和的落地实现。</w:t>
            </w:r>
          </w:p>
          <w:p w14:paraId="7E5EF890" w14:textId="77777777" w:rsidR="006E6F72" w:rsidRPr="00F350F4" w:rsidRDefault="006E6F72" w:rsidP="006E6F72">
            <w:pPr>
              <w:autoSpaceDE w:val="0"/>
              <w:autoSpaceDN w:val="0"/>
              <w:adjustRightInd w:val="0"/>
              <w:snapToGrid w:val="0"/>
              <w:spacing w:line="360" w:lineRule="auto"/>
              <w:ind w:firstLineChars="200" w:firstLine="482"/>
              <w:rPr>
                <w:rFonts w:hint="eastAsia"/>
                <w:b/>
                <w:bCs/>
                <w:sz w:val="24"/>
              </w:rPr>
            </w:pPr>
            <w:r>
              <w:rPr>
                <w:rFonts w:hint="eastAsia"/>
                <w:b/>
                <w:bCs/>
                <w:sz w:val="24"/>
              </w:rPr>
              <w:t>7</w:t>
            </w:r>
            <w:r>
              <w:rPr>
                <w:b/>
                <w:bCs/>
                <w:sz w:val="24"/>
              </w:rPr>
              <w:t>.</w:t>
            </w:r>
            <w:r>
              <w:rPr>
                <w:rFonts w:hint="eastAsia"/>
                <w:b/>
                <w:bCs/>
                <w:sz w:val="24"/>
              </w:rPr>
              <w:t xml:space="preserve"> </w:t>
            </w:r>
            <w:r w:rsidRPr="006E6F72">
              <w:rPr>
                <w:rFonts w:hint="eastAsia"/>
                <w:b/>
                <w:bCs/>
                <w:sz w:val="24"/>
              </w:rPr>
              <w:t>请问公司对于人工智能、大模型的应用有何种布局和规划？</w:t>
            </w:r>
            <w:r>
              <w:rPr>
                <w:rFonts w:hint="eastAsia"/>
                <w:b/>
                <w:bCs/>
                <w:sz w:val="24"/>
              </w:rPr>
              <w:t xml:space="preserve"> </w:t>
            </w:r>
          </w:p>
          <w:p w14:paraId="1C72B8BB" w14:textId="77777777" w:rsidR="006E6F72" w:rsidRPr="006E6F72" w:rsidRDefault="006E6F72" w:rsidP="006E6F72">
            <w:pPr>
              <w:autoSpaceDE w:val="0"/>
              <w:autoSpaceDN w:val="0"/>
              <w:adjustRightInd w:val="0"/>
              <w:snapToGrid w:val="0"/>
              <w:spacing w:line="360" w:lineRule="auto"/>
              <w:ind w:firstLineChars="200" w:firstLine="480"/>
              <w:rPr>
                <w:rFonts w:cs="宋体" w:hint="eastAsia"/>
                <w:sz w:val="24"/>
              </w:rPr>
            </w:pPr>
            <w:r w:rsidRPr="006E6F72">
              <w:rPr>
                <w:rFonts w:cs="宋体" w:hint="eastAsia"/>
                <w:sz w:val="24"/>
              </w:rPr>
              <w:t>大模型、具身智能等前沿科技的发展为各行业带来了变革机遇，公司作为高新技术服务企业，作为水泥行业的科技领军企业，公司始终高度关注前沿科技动态，并一直致力于推动数字化、智能化技术在研发设计、工程建造服务、装备制造、工业运维等领域的深度融合</w:t>
            </w:r>
            <w:r w:rsidR="00945A8D">
              <w:rPr>
                <w:rFonts w:cs="宋体" w:hint="eastAsia"/>
                <w:sz w:val="24"/>
              </w:rPr>
              <w:t>。</w:t>
            </w:r>
          </w:p>
          <w:p w14:paraId="7825A0B1" w14:textId="77777777" w:rsidR="006E6F72" w:rsidRPr="006E6F72" w:rsidRDefault="006E6F72" w:rsidP="006E6F72">
            <w:pPr>
              <w:autoSpaceDE w:val="0"/>
              <w:autoSpaceDN w:val="0"/>
              <w:adjustRightInd w:val="0"/>
              <w:snapToGrid w:val="0"/>
              <w:spacing w:line="360" w:lineRule="auto"/>
              <w:ind w:firstLineChars="200" w:firstLine="480"/>
              <w:rPr>
                <w:rFonts w:cs="宋体" w:hint="eastAsia"/>
                <w:sz w:val="24"/>
              </w:rPr>
            </w:pPr>
            <w:r w:rsidRPr="006E6F72">
              <w:rPr>
                <w:rFonts w:cs="宋体" w:hint="eastAsia"/>
                <w:sz w:val="24"/>
              </w:rPr>
              <w:t>1</w:t>
            </w:r>
            <w:r w:rsidRPr="006E6F72">
              <w:rPr>
                <w:rFonts w:cs="宋体" w:hint="eastAsia"/>
                <w:sz w:val="24"/>
              </w:rPr>
              <w:t>、</w:t>
            </w:r>
            <w:r w:rsidR="00945A8D">
              <w:rPr>
                <w:rFonts w:cs="宋体" w:hint="eastAsia"/>
                <w:sz w:val="24"/>
              </w:rPr>
              <w:t>平台建设方面：</w:t>
            </w:r>
            <w:r w:rsidRPr="006E6F72">
              <w:rPr>
                <w:rFonts w:cs="宋体" w:hint="eastAsia"/>
                <w:sz w:val="24"/>
              </w:rPr>
              <w:t>公司搭建了数字智能专业化平台中材智科，赋能公司“数转智改”，聚焦数字化研发设计、工程智能建造、新一代智能工厂、智能矿山、智能运维等领域的技术研究和落地。在装备集团，围绕高端装备制造，布局了高端装备智造园，以智能化技术赋能装备的研发设计和制造，以及全生命周期的预测性维护和诊断。</w:t>
            </w:r>
          </w:p>
          <w:p w14:paraId="5692A06F" w14:textId="77777777" w:rsidR="006E6F72" w:rsidRPr="006E6F72" w:rsidRDefault="006E6F72" w:rsidP="006E6F72">
            <w:pPr>
              <w:autoSpaceDE w:val="0"/>
              <w:autoSpaceDN w:val="0"/>
              <w:adjustRightInd w:val="0"/>
              <w:snapToGrid w:val="0"/>
              <w:spacing w:line="360" w:lineRule="auto"/>
              <w:ind w:firstLineChars="200" w:firstLine="480"/>
              <w:rPr>
                <w:rFonts w:cs="宋体" w:hint="eastAsia"/>
                <w:sz w:val="24"/>
              </w:rPr>
            </w:pPr>
            <w:r w:rsidRPr="006E6F72">
              <w:rPr>
                <w:rFonts w:cs="宋体" w:hint="eastAsia"/>
                <w:sz w:val="24"/>
              </w:rPr>
              <w:t>2</w:t>
            </w:r>
            <w:r w:rsidRPr="006E6F72">
              <w:rPr>
                <w:rFonts w:cs="宋体" w:hint="eastAsia"/>
                <w:sz w:val="24"/>
              </w:rPr>
              <w:t>、</w:t>
            </w:r>
            <w:r w:rsidR="00945A8D">
              <w:rPr>
                <w:rFonts w:cs="宋体" w:hint="eastAsia"/>
                <w:sz w:val="24"/>
              </w:rPr>
              <w:t>场景开发方面：</w:t>
            </w:r>
            <w:r w:rsidRPr="006E6F72">
              <w:rPr>
                <w:rFonts w:cs="宋体" w:hint="eastAsia"/>
                <w:sz w:val="24"/>
              </w:rPr>
              <w:t>中材国际在水泥行业拥有全球范围及全产业链最优秀的产业场景，我们致力于挖掘高价值场景，让人工智能和大模型实现场景化应用。多年来，我们深耕业务场景能力开发：</w:t>
            </w:r>
          </w:p>
          <w:p w14:paraId="52219F29" w14:textId="77777777" w:rsidR="006E6F72" w:rsidRPr="006E6F72" w:rsidRDefault="006E6F72" w:rsidP="006E6F72">
            <w:pPr>
              <w:autoSpaceDE w:val="0"/>
              <w:autoSpaceDN w:val="0"/>
              <w:adjustRightInd w:val="0"/>
              <w:snapToGrid w:val="0"/>
              <w:spacing w:line="360" w:lineRule="auto"/>
              <w:ind w:firstLineChars="200" w:firstLine="480"/>
              <w:rPr>
                <w:rFonts w:cs="宋体" w:hint="eastAsia"/>
                <w:sz w:val="24"/>
              </w:rPr>
            </w:pPr>
            <w:r w:rsidRPr="006E6F72">
              <w:rPr>
                <w:rFonts w:cs="宋体" w:hint="eastAsia"/>
                <w:sz w:val="24"/>
              </w:rPr>
              <w:t>在工程领域：使用图神经网络算法模型建设</w:t>
            </w:r>
            <w:r w:rsidRPr="006E6F72">
              <w:rPr>
                <w:rFonts w:cs="宋体" w:hint="eastAsia"/>
                <w:sz w:val="24"/>
              </w:rPr>
              <w:t>AI</w:t>
            </w:r>
            <w:r w:rsidRPr="006E6F72">
              <w:rPr>
                <w:rFonts w:cs="宋体" w:hint="eastAsia"/>
                <w:sz w:val="24"/>
              </w:rPr>
              <w:t>识图和自动标注，逐步实现智能化设计，实现一键出图；打造小智能体“施工员助手”，辅助工程建造全过程，通过识别施工场景，实现自动计量和自动核算，能大幅提高施工效率、降低管理成本；智能安全管理平台的开发应用，能提高安全管理效率并为施工安全管理提供强有力的保障。</w:t>
            </w:r>
          </w:p>
          <w:p w14:paraId="6EE3C3C1" w14:textId="77777777" w:rsidR="006E6F72" w:rsidRPr="006E6F72" w:rsidRDefault="006E6F72" w:rsidP="006E6F72">
            <w:pPr>
              <w:autoSpaceDE w:val="0"/>
              <w:autoSpaceDN w:val="0"/>
              <w:adjustRightInd w:val="0"/>
              <w:snapToGrid w:val="0"/>
              <w:spacing w:line="360" w:lineRule="auto"/>
              <w:ind w:firstLineChars="200" w:firstLine="480"/>
              <w:rPr>
                <w:rFonts w:cs="宋体" w:hint="eastAsia"/>
                <w:sz w:val="24"/>
              </w:rPr>
            </w:pPr>
            <w:r w:rsidRPr="006E6F72">
              <w:rPr>
                <w:rFonts w:cs="宋体" w:hint="eastAsia"/>
                <w:sz w:val="24"/>
              </w:rPr>
              <w:lastRenderedPageBreak/>
              <w:t>在装备智能制造领域：运用数字孪生对装备离散制造工厂赋能；用算法和模型对设备运行和工艺过程仿真，对装备全生命周期进行感知、诊断、和知识支撑，对装备高端化起到了强有力的支撑作用。</w:t>
            </w:r>
          </w:p>
          <w:p w14:paraId="32D9B77A" w14:textId="77777777" w:rsidR="006E6F72" w:rsidRPr="006E6F72" w:rsidRDefault="006E6F72" w:rsidP="006E6F72">
            <w:pPr>
              <w:autoSpaceDE w:val="0"/>
              <w:autoSpaceDN w:val="0"/>
              <w:adjustRightInd w:val="0"/>
              <w:snapToGrid w:val="0"/>
              <w:spacing w:line="360" w:lineRule="auto"/>
              <w:ind w:firstLineChars="200" w:firstLine="480"/>
              <w:rPr>
                <w:rFonts w:cs="宋体" w:hint="eastAsia"/>
                <w:sz w:val="24"/>
              </w:rPr>
            </w:pPr>
            <w:r w:rsidRPr="006E6F72">
              <w:rPr>
                <w:rFonts w:cs="宋体" w:hint="eastAsia"/>
                <w:sz w:val="24"/>
              </w:rPr>
              <w:t>在智能工厂与智能运维领域：“零员工”智能工厂相关产品已经进入应用阶段，融合智能巡检、</w:t>
            </w:r>
            <w:r w:rsidRPr="006E6F72">
              <w:rPr>
                <w:rFonts w:cs="宋体" w:hint="eastAsia"/>
                <w:sz w:val="24"/>
              </w:rPr>
              <w:t>AI</w:t>
            </w:r>
            <w:r w:rsidRPr="006E6F72">
              <w:rPr>
                <w:rFonts w:cs="宋体" w:hint="eastAsia"/>
                <w:sz w:val="24"/>
              </w:rPr>
              <w:t>摄像头、信号传感器和自动化实验室实现了大部分车间的无人巡检；自行开发的智能熟料称重仪和二氧化碳在线监测仪，结合碳管理平台系统，可以对水泥工厂碳排放进行实时检测与控制；自行研发的生产智能控制系统，打造一体化窑磨自动驾驶；自行研发的无人驾驶矿车和数字化矿山产品应用于矿山开采服务，等等。随着这些技术的成熟与应用，将大幅度提高我们交付的智能工厂产品的水平，尤其会给我们的智能运维业务拓展带来显著成效。</w:t>
            </w:r>
          </w:p>
          <w:p w14:paraId="6560A09B" w14:textId="77777777" w:rsidR="006E6F72" w:rsidRPr="006E6F72" w:rsidRDefault="006E6F72" w:rsidP="006E6F72">
            <w:pPr>
              <w:autoSpaceDE w:val="0"/>
              <w:autoSpaceDN w:val="0"/>
              <w:adjustRightInd w:val="0"/>
              <w:snapToGrid w:val="0"/>
              <w:spacing w:line="360" w:lineRule="auto"/>
              <w:ind w:firstLineChars="200" w:firstLine="480"/>
              <w:rPr>
                <w:rFonts w:cs="宋体" w:hint="eastAsia"/>
                <w:sz w:val="24"/>
              </w:rPr>
            </w:pPr>
            <w:r w:rsidRPr="006E6F72">
              <w:rPr>
                <w:rFonts w:cs="宋体" w:hint="eastAsia"/>
                <w:sz w:val="24"/>
              </w:rPr>
              <w:t>展望未来，随着大模型技术的发展和应用，尤其</w:t>
            </w:r>
            <w:proofErr w:type="spellStart"/>
            <w:r w:rsidRPr="006E6F72">
              <w:rPr>
                <w:rFonts w:cs="宋体" w:hint="eastAsia"/>
                <w:sz w:val="24"/>
              </w:rPr>
              <w:t>DeepSeek</w:t>
            </w:r>
            <w:proofErr w:type="spellEnd"/>
            <w:r w:rsidRPr="006E6F72">
              <w:rPr>
                <w:rFonts w:cs="宋体" w:hint="eastAsia"/>
                <w:sz w:val="24"/>
              </w:rPr>
              <w:t>开源以来，中材国际正在积极拥抱大模型带来的变革，不断深化技术创新，特别是在多模态融合与行业定制化应用方面深化研究和探索。我们在探索通过大模型的实时数据分析能力，赋能生产线预测性维护，降低运维成本并提升效率；结合大模型的认知决策能力，探索工程场景的智能解决方案，探索高端制造向“智能体协同”模式升级；结合大模型的环境感知与决策能力，探索智能浇筑等先进工艺；基于视觉识别与多模态数据分析的智能检测技术，对生产线缺陷识别、安全巡检自动化做场景结合的研究。大模型的到来，给我们很多场景的技术深化带来了新的思路。</w:t>
            </w:r>
          </w:p>
          <w:p w14:paraId="46FE399E" w14:textId="77777777" w:rsidR="006E6F72" w:rsidRPr="006E6F72" w:rsidRDefault="006E6F72" w:rsidP="006E6F72">
            <w:pPr>
              <w:autoSpaceDE w:val="0"/>
              <w:autoSpaceDN w:val="0"/>
              <w:adjustRightInd w:val="0"/>
              <w:snapToGrid w:val="0"/>
              <w:spacing w:line="360" w:lineRule="auto"/>
              <w:ind w:firstLineChars="200" w:firstLine="480"/>
              <w:rPr>
                <w:rFonts w:cs="宋体" w:hint="eastAsia"/>
                <w:sz w:val="24"/>
              </w:rPr>
            </w:pPr>
            <w:r w:rsidRPr="006E6F72">
              <w:rPr>
                <w:rFonts w:cs="宋体" w:hint="eastAsia"/>
                <w:sz w:val="24"/>
              </w:rPr>
              <w:t>3</w:t>
            </w:r>
            <w:r w:rsidRPr="006E6F72">
              <w:rPr>
                <w:rFonts w:cs="宋体" w:hint="eastAsia"/>
                <w:sz w:val="24"/>
              </w:rPr>
              <w:t>、</w:t>
            </w:r>
            <w:r w:rsidR="00945A8D">
              <w:rPr>
                <w:rFonts w:cs="宋体" w:hint="eastAsia"/>
                <w:sz w:val="24"/>
              </w:rPr>
              <w:t>人才团队方面：</w:t>
            </w:r>
            <w:r w:rsidRPr="006E6F72">
              <w:rPr>
                <w:rFonts w:cs="宋体" w:hint="eastAsia"/>
                <w:sz w:val="24"/>
              </w:rPr>
              <w:t>我们将继续加大在数据分析、人工智能算法等前沿领域的研究。技术创新与研发，人才是核心。中材国际有</w:t>
            </w:r>
            <w:r w:rsidRPr="006E6F72">
              <w:rPr>
                <w:rFonts w:cs="宋体" w:hint="eastAsia"/>
                <w:sz w:val="24"/>
              </w:rPr>
              <w:t>3000</w:t>
            </w:r>
            <w:r w:rsidRPr="006E6F72">
              <w:rPr>
                <w:rFonts w:cs="宋体" w:hint="eastAsia"/>
                <w:sz w:val="24"/>
              </w:rPr>
              <w:t>多名技术研发人员，其中不乏人工智能领域的专业人才。接下来，公司也将致力于构建一支对业务场景有深刻理解力、专业过硬、具有国际视野的专业人才队伍，为公司在人工智能领域创新发展提供支撑。</w:t>
            </w:r>
          </w:p>
          <w:p w14:paraId="21F53E0A" w14:textId="77777777" w:rsidR="006E6F72" w:rsidRPr="006E6F72" w:rsidRDefault="006E6F72" w:rsidP="006E6F72">
            <w:pPr>
              <w:autoSpaceDE w:val="0"/>
              <w:autoSpaceDN w:val="0"/>
              <w:adjustRightInd w:val="0"/>
              <w:snapToGrid w:val="0"/>
              <w:spacing w:line="360" w:lineRule="auto"/>
              <w:ind w:firstLineChars="200" w:firstLine="480"/>
              <w:rPr>
                <w:rFonts w:cs="宋体" w:hint="eastAsia"/>
                <w:sz w:val="24"/>
              </w:rPr>
            </w:pPr>
            <w:r w:rsidRPr="006E6F72">
              <w:rPr>
                <w:rFonts w:cs="宋体" w:hint="eastAsia"/>
                <w:sz w:val="24"/>
              </w:rPr>
              <w:t>公司将以“提升客户价值、强化核心能力”为目标，持续关注前沿技术趋势，结合自身优势，努力实现公司业务全面数字化与智能化升级，继续推动公司向高端化、绿色化、智能化方向发展。</w:t>
            </w:r>
          </w:p>
          <w:p w14:paraId="5859BEBA" w14:textId="77777777" w:rsidR="006E6F72" w:rsidRDefault="006E6F72" w:rsidP="006E6F72">
            <w:pPr>
              <w:autoSpaceDE w:val="0"/>
              <w:autoSpaceDN w:val="0"/>
              <w:adjustRightInd w:val="0"/>
              <w:snapToGrid w:val="0"/>
              <w:spacing w:line="360" w:lineRule="auto"/>
              <w:ind w:firstLineChars="200" w:firstLine="480"/>
              <w:rPr>
                <w:rFonts w:cs="宋体"/>
                <w:sz w:val="24"/>
              </w:rPr>
            </w:pPr>
            <w:r w:rsidRPr="006E6F72">
              <w:rPr>
                <w:rFonts w:cs="宋体" w:hint="eastAsia"/>
                <w:sz w:val="24"/>
              </w:rPr>
              <w:lastRenderedPageBreak/>
              <w:t>大模型应用尚处技术验证与场景开发阶段，短期内未对经营业绩产生重大影响，提请投资者关注公司长期价值，理性决策。</w:t>
            </w:r>
          </w:p>
          <w:p w14:paraId="05F6CF26" w14:textId="77777777" w:rsidR="00EF43DE" w:rsidRDefault="00EF43DE" w:rsidP="00EF43DE">
            <w:pPr>
              <w:autoSpaceDE w:val="0"/>
              <w:autoSpaceDN w:val="0"/>
              <w:adjustRightInd w:val="0"/>
              <w:snapToGrid w:val="0"/>
              <w:spacing w:line="360" w:lineRule="auto"/>
              <w:ind w:firstLineChars="200" w:firstLine="482"/>
              <w:rPr>
                <w:b/>
                <w:bCs/>
                <w:sz w:val="24"/>
              </w:rPr>
            </w:pPr>
            <w:r>
              <w:rPr>
                <w:rFonts w:hint="eastAsia"/>
                <w:b/>
                <w:bCs/>
                <w:sz w:val="24"/>
              </w:rPr>
              <w:t>8</w:t>
            </w:r>
            <w:r>
              <w:rPr>
                <w:b/>
                <w:bCs/>
                <w:sz w:val="24"/>
              </w:rPr>
              <w:t>.</w:t>
            </w:r>
            <w:r>
              <w:rPr>
                <w:rFonts w:hint="eastAsia"/>
                <w:b/>
                <w:bCs/>
                <w:sz w:val="24"/>
              </w:rPr>
              <w:t xml:space="preserve"> </w:t>
            </w:r>
            <w:r w:rsidRPr="006E6F72">
              <w:rPr>
                <w:rFonts w:hint="eastAsia"/>
                <w:b/>
                <w:bCs/>
                <w:sz w:val="24"/>
              </w:rPr>
              <w:t>请</w:t>
            </w:r>
            <w:r>
              <w:rPr>
                <w:rFonts w:hint="eastAsia"/>
                <w:b/>
                <w:bCs/>
                <w:sz w:val="24"/>
              </w:rPr>
              <w:t>介绍公司《市值管理制度》主要内容。</w:t>
            </w:r>
          </w:p>
          <w:p w14:paraId="687595A8" w14:textId="77777777" w:rsidR="00EF43DE" w:rsidRPr="00EF43DE" w:rsidRDefault="00EF43DE" w:rsidP="00EF43DE">
            <w:pPr>
              <w:autoSpaceDE w:val="0"/>
              <w:autoSpaceDN w:val="0"/>
              <w:adjustRightInd w:val="0"/>
              <w:snapToGrid w:val="0"/>
              <w:spacing w:line="360" w:lineRule="auto"/>
              <w:ind w:firstLineChars="200" w:firstLine="480"/>
              <w:rPr>
                <w:rFonts w:cs="宋体" w:hint="eastAsia"/>
                <w:sz w:val="24"/>
              </w:rPr>
            </w:pPr>
            <w:r w:rsidRPr="00EF43DE">
              <w:rPr>
                <w:rFonts w:cs="宋体" w:hint="eastAsia"/>
                <w:sz w:val="24"/>
              </w:rPr>
              <w:t>为加强公司市值管理，切实推动公司投资价值提升，公司已制定《中国中材国际工程股份有限公司市值管理制度》并经第八届董事会第十四次会议审议通过。公司《市值管理制度》对市值管理的原则、管理机构、方式等进行了明确。公司将结合自身情况，聚焦主业，持续提升经营效率和盈利能力，综合通过经营提升、并购重组、股权激励、现金分红、信息披露等合法合规方式提升公司投资价值。</w:t>
            </w:r>
            <w:r w:rsidRPr="00EF43DE">
              <w:rPr>
                <w:rFonts w:cs="宋体" w:hint="eastAsia"/>
                <w:sz w:val="24"/>
              </w:rPr>
              <w:t xml:space="preserve"> </w:t>
            </w:r>
          </w:p>
          <w:p w14:paraId="01FB385C" w14:textId="77777777" w:rsidR="00EF43DE" w:rsidRPr="003D6730" w:rsidRDefault="00327882" w:rsidP="003D6730">
            <w:pPr>
              <w:autoSpaceDE w:val="0"/>
              <w:autoSpaceDN w:val="0"/>
              <w:adjustRightInd w:val="0"/>
              <w:snapToGrid w:val="0"/>
              <w:spacing w:line="360" w:lineRule="auto"/>
              <w:ind w:firstLineChars="200" w:firstLine="482"/>
              <w:rPr>
                <w:b/>
                <w:bCs/>
                <w:sz w:val="24"/>
              </w:rPr>
            </w:pPr>
            <w:r w:rsidRPr="003D6730">
              <w:rPr>
                <w:rFonts w:hint="eastAsia"/>
                <w:b/>
                <w:bCs/>
                <w:sz w:val="24"/>
              </w:rPr>
              <w:t xml:space="preserve">9. </w:t>
            </w:r>
            <w:r w:rsidRPr="003D6730">
              <w:rPr>
                <w:rFonts w:hint="eastAsia"/>
                <w:b/>
                <w:bCs/>
                <w:sz w:val="24"/>
              </w:rPr>
              <w:t>公司如何看待俄乌战后重建带来的机遇和挑战？</w:t>
            </w:r>
          </w:p>
          <w:p w14:paraId="1DADCB3C" w14:textId="77777777" w:rsidR="00327882" w:rsidRPr="00327882" w:rsidRDefault="00327882" w:rsidP="00327882">
            <w:pPr>
              <w:autoSpaceDE w:val="0"/>
              <w:autoSpaceDN w:val="0"/>
              <w:adjustRightInd w:val="0"/>
              <w:snapToGrid w:val="0"/>
              <w:spacing w:line="360" w:lineRule="auto"/>
              <w:ind w:firstLineChars="200" w:firstLine="480"/>
              <w:rPr>
                <w:rFonts w:cs="宋体" w:hint="eastAsia"/>
                <w:sz w:val="24"/>
              </w:rPr>
            </w:pPr>
            <w:r>
              <w:rPr>
                <w:rFonts w:cs="宋体" w:hint="eastAsia"/>
                <w:sz w:val="24"/>
              </w:rPr>
              <w:t>2024</w:t>
            </w:r>
            <w:r>
              <w:rPr>
                <w:rFonts w:cs="宋体" w:hint="eastAsia"/>
                <w:sz w:val="24"/>
              </w:rPr>
              <w:t>年</w:t>
            </w:r>
            <w:r w:rsidRPr="00327882">
              <w:rPr>
                <w:rFonts w:cs="宋体" w:hint="eastAsia"/>
                <w:sz w:val="24"/>
              </w:rPr>
              <w:t>公司境外市场需求总体向好，成功获取沙特、菲律宾、伊拉克、捷克、加拿大等</w:t>
            </w:r>
            <w:r w:rsidRPr="00327882">
              <w:rPr>
                <w:rFonts w:cs="宋体" w:hint="eastAsia"/>
                <w:sz w:val="24"/>
              </w:rPr>
              <w:t>15</w:t>
            </w:r>
            <w:r w:rsidRPr="00327882">
              <w:rPr>
                <w:rFonts w:cs="宋体" w:hint="eastAsia"/>
                <w:sz w:val="24"/>
              </w:rPr>
              <w:t>个国家</w:t>
            </w:r>
            <w:r w:rsidRPr="00327882">
              <w:rPr>
                <w:rFonts w:cs="宋体" w:hint="eastAsia"/>
                <w:sz w:val="24"/>
              </w:rPr>
              <w:t>19</w:t>
            </w:r>
            <w:r w:rsidRPr="00327882">
              <w:rPr>
                <w:rFonts w:cs="宋体" w:hint="eastAsia"/>
                <w:sz w:val="24"/>
              </w:rPr>
              <w:t>条境外水泥整线项目，实现新签境外合同额</w:t>
            </w:r>
            <w:r w:rsidRPr="00327882">
              <w:rPr>
                <w:rFonts w:cs="宋体" w:hint="eastAsia"/>
                <w:sz w:val="24"/>
              </w:rPr>
              <w:t>362</w:t>
            </w:r>
            <w:r w:rsidRPr="00327882">
              <w:rPr>
                <w:rFonts w:cs="宋体" w:hint="eastAsia"/>
                <w:sz w:val="24"/>
              </w:rPr>
              <w:t>亿，同比增长</w:t>
            </w:r>
            <w:r w:rsidRPr="00327882">
              <w:rPr>
                <w:rFonts w:cs="宋体" w:hint="eastAsia"/>
                <w:sz w:val="24"/>
              </w:rPr>
              <w:t>9%</w:t>
            </w:r>
            <w:r w:rsidRPr="00327882">
              <w:rPr>
                <w:rFonts w:cs="宋体" w:hint="eastAsia"/>
                <w:sz w:val="24"/>
              </w:rPr>
              <w:t>；在中东、非洲、南亚、东南亚、欧洲五大区域新签合同额占境外总额比例近</w:t>
            </w:r>
            <w:r w:rsidRPr="00327882">
              <w:rPr>
                <w:rFonts w:cs="宋体" w:hint="eastAsia"/>
                <w:sz w:val="24"/>
              </w:rPr>
              <w:t>90%</w:t>
            </w:r>
            <w:r w:rsidRPr="00327882">
              <w:rPr>
                <w:rFonts w:cs="宋体" w:hint="eastAsia"/>
                <w:sz w:val="24"/>
              </w:rPr>
              <w:t>。</w:t>
            </w:r>
          </w:p>
          <w:p w14:paraId="2F5A7DEA" w14:textId="77777777" w:rsidR="00327882" w:rsidRPr="00EF43DE" w:rsidRDefault="00327882" w:rsidP="00327882">
            <w:pPr>
              <w:autoSpaceDE w:val="0"/>
              <w:autoSpaceDN w:val="0"/>
              <w:adjustRightInd w:val="0"/>
              <w:snapToGrid w:val="0"/>
              <w:spacing w:line="360" w:lineRule="auto"/>
              <w:ind w:firstLineChars="200" w:firstLine="480"/>
              <w:rPr>
                <w:rFonts w:cs="宋体" w:hint="eastAsia"/>
                <w:sz w:val="24"/>
              </w:rPr>
            </w:pPr>
            <w:r w:rsidRPr="00327882">
              <w:rPr>
                <w:rFonts w:cs="宋体" w:hint="eastAsia"/>
                <w:sz w:val="24"/>
              </w:rPr>
              <w:t>中材国际深耕境外市场二十余年</w:t>
            </w:r>
            <w:r w:rsidR="00727720">
              <w:rPr>
                <w:rFonts w:cs="宋体" w:hint="eastAsia"/>
                <w:sz w:val="24"/>
              </w:rPr>
              <w:t>，</w:t>
            </w:r>
            <w:r w:rsidR="00727720" w:rsidRPr="00327882">
              <w:rPr>
                <w:rFonts w:cs="宋体" w:hint="eastAsia"/>
                <w:sz w:val="24"/>
              </w:rPr>
              <w:t>SINOMA</w:t>
            </w:r>
            <w:r w:rsidRPr="00327882">
              <w:rPr>
                <w:rFonts w:cs="宋体" w:hint="eastAsia"/>
                <w:sz w:val="24"/>
              </w:rPr>
              <w:t>品牌在国际市场上享有盛誉，技术实力领先，为公司在激烈的市场竞争中赢得先机。未来，公司将持续践行国际化、属地化经营战略，完善境外服务网络，提升市场响应速度和服务质量，强化客户全生命周期合作关系。公司会密切关注俄乌战后重建带来的市场机遇</w:t>
            </w:r>
            <w:r>
              <w:rPr>
                <w:rFonts w:cs="宋体" w:hint="eastAsia"/>
                <w:sz w:val="24"/>
              </w:rPr>
              <w:t>。</w:t>
            </w:r>
          </w:p>
        </w:tc>
      </w:tr>
    </w:tbl>
    <w:p w14:paraId="5476223B" w14:textId="77777777" w:rsidR="008510C8" w:rsidRPr="003775AB" w:rsidRDefault="008510C8" w:rsidP="001E52ED">
      <w:pPr>
        <w:rPr>
          <w:rFonts w:hint="eastAsia"/>
        </w:rPr>
      </w:pPr>
    </w:p>
    <w:sectPr w:rsidR="008510C8" w:rsidRPr="003775AB" w:rsidSect="002671AE">
      <w:footerReference w:type="default" r:id="rId6"/>
      <w:pgSz w:w="11906" w:h="16838"/>
      <w:pgMar w:top="1758" w:right="1701" w:bottom="1758"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1445B" w14:textId="77777777" w:rsidR="00557669" w:rsidRDefault="00557669" w:rsidP="00514E66">
      <w:r>
        <w:separator/>
      </w:r>
    </w:p>
  </w:endnote>
  <w:endnote w:type="continuationSeparator" w:id="0">
    <w:p w14:paraId="7C7B8EB1" w14:textId="77777777" w:rsidR="00557669" w:rsidRDefault="00557669" w:rsidP="00514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_GBK">
    <w:altName w:val="Microsoft YaHei UI"/>
    <w:charset w:val="86"/>
    <w:family w:val="script"/>
    <w:pitch w:val="fixed"/>
    <w:sig w:usb0="00000001" w:usb1="080E0000" w:usb2="00000010" w:usb3="00000000" w:csb0="00040000" w:csb1="00000000"/>
  </w:font>
  <w:font w:name="方正黑体_GBK">
    <w:charset w:val="86"/>
    <w:family w:val="script"/>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469B" w14:textId="77777777" w:rsidR="00A973D5" w:rsidRPr="00A973D5" w:rsidRDefault="00A973D5" w:rsidP="00A973D5">
    <w:pPr>
      <w:pStyle w:val="a5"/>
      <w:jc w:val="center"/>
      <w:rPr>
        <w:rFonts w:hint="eastAsia"/>
      </w:rPr>
    </w:pPr>
    <w:r w:rsidRPr="00A973D5">
      <w:rPr>
        <w:lang w:val="zh-CN"/>
      </w:rPr>
      <w:t xml:space="preserve"> </w:t>
    </w:r>
    <w:r w:rsidRPr="00A973D5">
      <w:rPr>
        <w:sz w:val="24"/>
        <w:szCs w:val="24"/>
      </w:rPr>
      <w:fldChar w:fldCharType="begin"/>
    </w:r>
    <w:r w:rsidRPr="00A973D5">
      <w:instrText>PAGE</w:instrText>
    </w:r>
    <w:r w:rsidRPr="00A973D5">
      <w:rPr>
        <w:sz w:val="24"/>
        <w:szCs w:val="24"/>
      </w:rPr>
      <w:fldChar w:fldCharType="separate"/>
    </w:r>
    <w:r w:rsidRPr="00A973D5">
      <w:rPr>
        <w:lang w:val="zh-CN"/>
      </w:rPr>
      <w:t>2</w:t>
    </w:r>
    <w:r w:rsidRPr="00A973D5">
      <w:rPr>
        <w:sz w:val="24"/>
        <w:szCs w:val="24"/>
      </w:rPr>
      <w:fldChar w:fldCharType="end"/>
    </w:r>
    <w:r w:rsidRPr="00A973D5">
      <w:rPr>
        <w:lang w:val="zh-CN"/>
      </w:rPr>
      <w:t xml:space="preserve"> / </w:t>
    </w:r>
    <w:r w:rsidRPr="00A973D5">
      <w:rPr>
        <w:sz w:val="24"/>
        <w:szCs w:val="24"/>
      </w:rPr>
      <w:fldChar w:fldCharType="begin"/>
    </w:r>
    <w:r w:rsidRPr="00A973D5">
      <w:instrText>NUMPAGES</w:instrText>
    </w:r>
    <w:r w:rsidRPr="00A973D5">
      <w:rPr>
        <w:sz w:val="24"/>
        <w:szCs w:val="24"/>
      </w:rPr>
      <w:fldChar w:fldCharType="separate"/>
    </w:r>
    <w:r w:rsidRPr="00A973D5">
      <w:rPr>
        <w:lang w:val="zh-CN"/>
      </w:rPr>
      <w:t>2</w:t>
    </w:r>
    <w:r w:rsidRPr="00A973D5">
      <w:rPr>
        <w:sz w:val="24"/>
        <w:szCs w:val="24"/>
      </w:rPr>
      <w:fldChar w:fldCharType="end"/>
    </w:r>
  </w:p>
  <w:p w14:paraId="7BC9AC1B" w14:textId="77777777" w:rsidR="00A973D5" w:rsidRDefault="00A973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82A20" w14:textId="77777777" w:rsidR="00557669" w:rsidRDefault="00557669" w:rsidP="00514E66">
      <w:r>
        <w:separator/>
      </w:r>
    </w:p>
  </w:footnote>
  <w:footnote w:type="continuationSeparator" w:id="0">
    <w:p w14:paraId="7CE18AA8" w14:textId="77777777" w:rsidR="00557669" w:rsidRDefault="00557669" w:rsidP="00514E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F0"/>
    <w:rsid w:val="00002802"/>
    <w:rsid w:val="00002B34"/>
    <w:rsid w:val="000171D8"/>
    <w:rsid w:val="000202D2"/>
    <w:rsid w:val="000249B8"/>
    <w:rsid w:val="00030675"/>
    <w:rsid w:val="00033235"/>
    <w:rsid w:val="00033C3B"/>
    <w:rsid w:val="00042EB9"/>
    <w:rsid w:val="000439F0"/>
    <w:rsid w:val="000449D9"/>
    <w:rsid w:val="000450F8"/>
    <w:rsid w:val="00050320"/>
    <w:rsid w:val="00050AB4"/>
    <w:rsid w:val="00051294"/>
    <w:rsid w:val="00053205"/>
    <w:rsid w:val="00054525"/>
    <w:rsid w:val="0006603F"/>
    <w:rsid w:val="000677D1"/>
    <w:rsid w:val="000704E5"/>
    <w:rsid w:val="00077B27"/>
    <w:rsid w:val="00081816"/>
    <w:rsid w:val="000852AE"/>
    <w:rsid w:val="0009357A"/>
    <w:rsid w:val="0009369E"/>
    <w:rsid w:val="000A340E"/>
    <w:rsid w:val="000B4496"/>
    <w:rsid w:val="000B44EA"/>
    <w:rsid w:val="000B6016"/>
    <w:rsid w:val="000C3B04"/>
    <w:rsid w:val="000C56EA"/>
    <w:rsid w:val="000C6DA3"/>
    <w:rsid w:val="000D049A"/>
    <w:rsid w:val="000D4A48"/>
    <w:rsid w:val="000D5F17"/>
    <w:rsid w:val="000D618E"/>
    <w:rsid w:val="000D6D81"/>
    <w:rsid w:val="000E18BE"/>
    <w:rsid w:val="000E3D9C"/>
    <w:rsid w:val="000E4B96"/>
    <w:rsid w:val="000E5F86"/>
    <w:rsid w:val="000F41A3"/>
    <w:rsid w:val="000F4FF1"/>
    <w:rsid w:val="00100CBC"/>
    <w:rsid w:val="00102BAA"/>
    <w:rsid w:val="001035A8"/>
    <w:rsid w:val="00107518"/>
    <w:rsid w:val="0011782C"/>
    <w:rsid w:val="00117ACA"/>
    <w:rsid w:val="0012287B"/>
    <w:rsid w:val="00122BB5"/>
    <w:rsid w:val="00124774"/>
    <w:rsid w:val="00133438"/>
    <w:rsid w:val="0013395B"/>
    <w:rsid w:val="00135ABC"/>
    <w:rsid w:val="00147FE2"/>
    <w:rsid w:val="0015217D"/>
    <w:rsid w:val="00153724"/>
    <w:rsid w:val="0015750F"/>
    <w:rsid w:val="0016015D"/>
    <w:rsid w:val="00161B34"/>
    <w:rsid w:val="0016626E"/>
    <w:rsid w:val="00167EB5"/>
    <w:rsid w:val="001814DF"/>
    <w:rsid w:val="0018673B"/>
    <w:rsid w:val="0019287F"/>
    <w:rsid w:val="00197C1A"/>
    <w:rsid w:val="001A1767"/>
    <w:rsid w:val="001A75ED"/>
    <w:rsid w:val="001B0B7B"/>
    <w:rsid w:val="001B0ED8"/>
    <w:rsid w:val="001B1490"/>
    <w:rsid w:val="001C17E5"/>
    <w:rsid w:val="001E52ED"/>
    <w:rsid w:val="001E71B8"/>
    <w:rsid w:val="001F55DE"/>
    <w:rsid w:val="002027C3"/>
    <w:rsid w:val="00203D04"/>
    <w:rsid w:val="00210E3E"/>
    <w:rsid w:val="002129AA"/>
    <w:rsid w:val="00213A48"/>
    <w:rsid w:val="0021400E"/>
    <w:rsid w:val="002168A6"/>
    <w:rsid w:val="002169D4"/>
    <w:rsid w:val="002219F8"/>
    <w:rsid w:val="00225743"/>
    <w:rsid w:val="0022622A"/>
    <w:rsid w:val="002270E7"/>
    <w:rsid w:val="002416A8"/>
    <w:rsid w:val="00244F89"/>
    <w:rsid w:val="002467DD"/>
    <w:rsid w:val="00254747"/>
    <w:rsid w:val="002571BC"/>
    <w:rsid w:val="002573D7"/>
    <w:rsid w:val="0026156D"/>
    <w:rsid w:val="002671AE"/>
    <w:rsid w:val="00271024"/>
    <w:rsid w:val="00271A48"/>
    <w:rsid w:val="00272B64"/>
    <w:rsid w:val="002911C9"/>
    <w:rsid w:val="0029340B"/>
    <w:rsid w:val="002A20C0"/>
    <w:rsid w:val="002A461B"/>
    <w:rsid w:val="002B23AA"/>
    <w:rsid w:val="002B718C"/>
    <w:rsid w:val="002B75EC"/>
    <w:rsid w:val="002C20AE"/>
    <w:rsid w:val="002C2E76"/>
    <w:rsid w:val="002C35A2"/>
    <w:rsid w:val="002C76B5"/>
    <w:rsid w:val="002E617E"/>
    <w:rsid w:val="002F06D8"/>
    <w:rsid w:val="002F484C"/>
    <w:rsid w:val="002F6496"/>
    <w:rsid w:val="002F71D2"/>
    <w:rsid w:val="00300F5D"/>
    <w:rsid w:val="003026A8"/>
    <w:rsid w:val="00302779"/>
    <w:rsid w:val="00303A18"/>
    <w:rsid w:val="00307FC8"/>
    <w:rsid w:val="003112C8"/>
    <w:rsid w:val="003210C9"/>
    <w:rsid w:val="00327882"/>
    <w:rsid w:val="00336DF4"/>
    <w:rsid w:val="00341873"/>
    <w:rsid w:val="00342634"/>
    <w:rsid w:val="00343BC0"/>
    <w:rsid w:val="00361EA9"/>
    <w:rsid w:val="00362FA4"/>
    <w:rsid w:val="00365AFE"/>
    <w:rsid w:val="0036697E"/>
    <w:rsid w:val="00370E06"/>
    <w:rsid w:val="00373511"/>
    <w:rsid w:val="00374567"/>
    <w:rsid w:val="003753E5"/>
    <w:rsid w:val="003775AB"/>
    <w:rsid w:val="003811D6"/>
    <w:rsid w:val="003B0EF8"/>
    <w:rsid w:val="003B2B67"/>
    <w:rsid w:val="003C0ACE"/>
    <w:rsid w:val="003C42B3"/>
    <w:rsid w:val="003C6D3F"/>
    <w:rsid w:val="003D0634"/>
    <w:rsid w:val="003D30C1"/>
    <w:rsid w:val="003D6730"/>
    <w:rsid w:val="003E1099"/>
    <w:rsid w:val="003E2423"/>
    <w:rsid w:val="003E5A05"/>
    <w:rsid w:val="003E64ED"/>
    <w:rsid w:val="003F51A3"/>
    <w:rsid w:val="0040578D"/>
    <w:rsid w:val="00405DF7"/>
    <w:rsid w:val="004065D6"/>
    <w:rsid w:val="004110EB"/>
    <w:rsid w:val="00412C41"/>
    <w:rsid w:val="0043149F"/>
    <w:rsid w:val="004325DC"/>
    <w:rsid w:val="0043614C"/>
    <w:rsid w:val="0044028B"/>
    <w:rsid w:val="00443C00"/>
    <w:rsid w:val="00463325"/>
    <w:rsid w:val="004702A9"/>
    <w:rsid w:val="00473D4F"/>
    <w:rsid w:val="004748F7"/>
    <w:rsid w:val="0048395B"/>
    <w:rsid w:val="00485C07"/>
    <w:rsid w:val="00485E2B"/>
    <w:rsid w:val="00487558"/>
    <w:rsid w:val="00491157"/>
    <w:rsid w:val="00497C5F"/>
    <w:rsid w:val="004A236B"/>
    <w:rsid w:val="004C3069"/>
    <w:rsid w:val="004C6AC6"/>
    <w:rsid w:val="004D4236"/>
    <w:rsid w:val="004D621A"/>
    <w:rsid w:val="004E43A6"/>
    <w:rsid w:val="004F44C7"/>
    <w:rsid w:val="004F4753"/>
    <w:rsid w:val="004F78F7"/>
    <w:rsid w:val="00501678"/>
    <w:rsid w:val="00506CB9"/>
    <w:rsid w:val="00514E66"/>
    <w:rsid w:val="005205A9"/>
    <w:rsid w:val="00520762"/>
    <w:rsid w:val="005249A6"/>
    <w:rsid w:val="0052539B"/>
    <w:rsid w:val="005274C9"/>
    <w:rsid w:val="00530072"/>
    <w:rsid w:val="00530EB7"/>
    <w:rsid w:val="00536A0A"/>
    <w:rsid w:val="005403B3"/>
    <w:rsid w:val="00544786"/>
    <w:rsid w:val="00550D60"/>
    <w:rsid w:val="0055234D"/>
    <w:rsid w:val="005527C0"/>
    <w:rsid w:val="00555BD1"/>
    <w:rsid w:val="00555E6E"/>
    <w:rsid w:val="00557669"/>
    <w:rsid w:val="005602B9"/>
    <w:rsid w:val="00560B66"/>
    <w:rsid w:val="005640CB"/>
    <w:rsid w:val="00567444"/>
    <w:rsid w:val="00567D29"/>
    <w:rsid w:val="00570402"/>
    <w:rsid w:val="00573055"/>
    <w:rsid w:val="005734D1"/>
    <w:rsid w:val="00574AE4"/>
    <w:rsid w:val="00575306"/>
    <w:rsid w:val="0057678F"/>
    <w:rsid w:val="005802E1"/>
    <w:rsid w:val="00585431"/>
    <w:rsid w:val="005B1027"/>
    <w:rsid w:val="005B12D8"/>
    <w:rsid w:val="005B4542"/>
    <w:rsid w:val="005B4CCE"/>
    <w:rsid w:val="005B65DC"/>
    <w:rsid w:val="005C3901"/>
    <w:rsid w:val="005D3C46"/>
    <w:rsid w:val="005D7F04"/>
    <w:rsid w:val="005E210C"/>
    <w:rsid w:val="005E6946"/>
    <w:rsid w:val="005F322D"/>
    <w:rsid w:val="006029E1"/>
    <w:rsid w:val="00603CE5"/>
    <w:rsid w:val="00606B20"/>
    <w:rsid w:val="00610EC8"/>
    <w:rsid w:val="006110A5"/>
    <w:rsid w:val="00614E45"/>
    <w:rsid w:val="00617911"/>
    <w:rsid w:val="00624393"/>
    <w:rsid w:val="0062772B"/>
    <w:rsid w:val="00630762"/>
    <w:rsid w:val="006319A0"/>
    <w:rsid w:val="0063342A"/>
    <w:rsid w:val="00634475"/>
    <w:rsid w:val="00640F33"/>
    <w:rsid w:val="00647A49"/>
    <w:rsid w:val="006601AF"/>
    <w:rsid w:val="00665EDC"/>
    <w:rsid w:val="00673370"/>
    <w:rsid w:val="0067350B"/>
    <w:rsid w:val="00675304"/>
    <w:rsid w:val="00680A4A"/>
    <w:rsid w:val="006920E0"/>
    <w:rsid w:val="00692563"/>
    <w:rsid w:val="0069468D"/>
    <w:rsid w:val="006A2660"/>
    <w:rsid w:val="006A2A57"/>
    <w:rsid w:val="006A3F48"/>
    <w:rsid w:val="006A6D63"/>
    <w:rsid w:val="006C2130"/>
    <w:rsid w:val="006C219D"/>
    <w:rsid w:val="006C3D11"/>
    <w:rsid w:val="006D2084"/>
    <w:rsid w:val="006D26CD"/>
    <w:rsid w:val="006E6F72"/>
    <w:rsid w:val="006F04EC"/>
    <w:rsid w:val="006F454F"/>
    <w:rsid w:val="006F57BB"/>
    <w:rsid w:val="006F71AB"/>
    <w:rsid w:val="00700405"/>
    <w:rsid w:val="00704E88"/>
    <w:rsid w:val="00717CA1"/>
    <w:rsid w:val="007242A0"/>
    <w:rsid w:val="007275AE"/>
    <w:rsid w:val="00727720"/>
    <w:rsid w:val="007312C6"/>
    <w:rsid w:val="00736CAC"/>
    <w:rsid w:val="00745301"/>
    <w:rsid w:val="007552C8"/>
    <w:rsid w:val="007555B4"/>
    <w:rsid w:val="00774BE6"/>
    <w:rsid w:val="00785724"/>
    <w:rsid w:val="007909DB"/>
    <w:rsid w:val="007A0E2C"/>
    <w:rsid w:val="007A4830"/>
    <w:rsid w:val="007A6B79"/>
    <w:rsid w:val="007A7A13"/>
    <w:rsid w:val="007B0B23"/>
    <w:rsid w:val="007B4868"/>
    <w:rsid w:val="007B78BE"/>
    <w:rsid w:val="007C1360"/>
    <w:rsid w:val="007C1A0B"/>
    <w:rsid w:val="007C1F48"/>
    <w:rsid w:val="007C753D"/>
    <w:rsid w:val="007D17B0"/>
    <w:rsid w:val="007D3A8E"/>
    <w:rsid w:val="007D4FBF"/>
    <w:rsid w:val="007E4FDF"/>
    <w:rsid w:val="007F6C65"/>
    <w:rsid w:val="007F70E5"/>
    <w:rsid w:val="00803494"/>
    <w:rsid w:val="00804D7C"/>
    <w:rsid w:val="00815A9D"/>
    <w:rsid w:val="008162B0"/>
    <w:rsid w:val="00843301"/>
    <w:rsid w:val="00847D6F"/>
    <w:rsid w:val="008510C8"/>
    <w:rsid w:val="00862533"/>
    <w:rsid w:val="00871835"/>
    <w:rsid w:val="008721BB"/>
    <w:rsid w:val="0088298C"/>
    <w:rsid w:val="00883320"/>
    <w:rsid w:val="00883928"/>
    <w:rsid w:val="00883DD1"/>
    <w:rsid w:val="00890700"/>
    <w:rsid w:val="008920CF"/>
    <w:rsid w:val="00895BB7"/>
    <w:rsid w:val="00897EED"/>
    <w:rsid w:val="008A25A2"/>
    <w:rsid w:val="008A2A23"/>
    <w:rsid w:val="008A7B0B"/>
    <w:rsid w:val="008C0332"/>
    <w:rsid w:val="008D7C0E"/>
    <w:rsid w:val="008E15EC"/>
    <w:rsid w:val="008E39C5"/>
    <w:rsid w:val="008F3A4B"/>
    <w:rsid w:val="008F799B"/>
    <w:rsid w:val="0090260F"/>
    <w:rsid w:val="009059DC"/>
    <w:rsid w:val="00911F57"/>
    <w:rsid w:val="00913B0F"/>
    <w:rsid w:val="00921BD3"/>
    <w:rsid w:val="00926422"/>
    <w:rsid w:val="009350E7"/>
    <w:rsid w:val="009352FA"/>
    <w:rsid w:val="009370B1"/>
    <w:rsid w:val="00945A8D"/>
    <w:rsid w:val="00951CE0"/>
    <w:rsid w:val="009570D7"/>
    <w:rsid w:val="009572C3"/>
    <w:rsid w:val="00957331"/>
    <w:rsid w:val="00961563"/>
    <w:rsid w:val="00965A08"/>
    <w:rsid w:val="009978A2"/>
    <w:rsid w:val="009A1DEE"/>
    <w:rsid w:val="009A5CF7"/>
    <w:rsid w:val="009B0812"/>
    <w:rsid w:val="009B232B"/>
    <w:rsid w:val="009B333F"/>
    <w:rsid w:val="009C1F1E"/>
    <w:rsid w:val="009C4CEF"/>
    <w:rsid w:val="009D3F1D"/>
    <w:rsid w:val="009D45D1"/>
    <w:rsid w:val="009D5C7E"/>
    <w:rsid w:val="009E583D"/>
    <w:rsid w:val="009F030C"/>
    <w:rsid w:val="00A02ECB"/>
    <w:rsid w:val="00A22FAA"/>
    <w:rsid w:val="00A35458"/>
    <w:rsid w:val="00A37D5C"/>
    <w:rsid w:val="00A43805"/>
    <w:rsid w:val="00A54485"/>
    <w:rsid w:val="00A60C11"/>
    <w:rsid w:val="00A62CB5"/>
    <w:rsid w:val="00A6494F"/>
    <w:rsid w:val="00A67F1C"/>
    <w:rsid w:val="00A83F8E"/>
    <w:rsid w:val="00A85740"/>
    <w:rsid w:val="00A870DA"/>
    <w:rsid w:val="00A877A9"/>
    <w:rsid w:val="00A90D5F"/>
    <w:rsid w:val="00A973D5"/>
    <w:rsid w:val="00AA7DE3"/>
    <w:rsid w:val="00AB54FB"/>
    <w:rsid w:val="00AB557C"/>
    <w:rsid w:val="00AB62F6"/>
    <w:rsid w:val="00AC1816"/>
    <w:rsid w:val="00AC5D80"/>
    <w:rsid w:val="00AC71F9"/>
    <w:rsid w:val="00AD016A"/>
    <w:rsid w:val="00AD72EB"/>
    <w:rsid w:val="00AE08C5"/>
    <w:rsid w:val="00AE4F83"/>
    <w:rsid w:val="00AE76FD"/>
    <w:rsid w:val="00AF1AE4"/>
    <w:rsid w:val="00AF1F4A"/>
    <w:rsid w:val="00AF6C20"/>
    <w:rsid w:val="00AF793E"/>
    <w:rsid w:val="00B04380"/>
    <w:rsid w:val="00B0555C"/>
    <w:rsid w:val="00B16398"/>
    <w:rsid w:val="00B24378"/>
    <w:rsid w:val="00B2730C"/>
    <w:rsid w:val="00B309CB"/>
    <w:rsid w:val="00B30C0B"/>
    <w:rsid w:val="00B3404D"/>
    <w:rsid w:val="00B42428"/>
    <w:rsid w:val="00B57A64"/>
    <w:rsid w:val="00B76BDF"/>
    <w:rsid w:val="00B77D50"/>
    <w:rsid w:val="00B83AB3"/>
    <w:rsid w:val="00B8417A"/>
    <w:rsid w:val="00B905A6"/>
    <w:rsid w:val="00B90A72"/>
    <w:rsid w:val="00B9778E"/>
    <w:rsid w:val="00BA58E8"/>
    <w:rsid w:val="00BB26D4"/>
    <w:rsid w:val="00BB2883"/>
    <w:rsid w:val="00BB28D1"/>
    <w:rsid w:val="00BB33C2"/>
    <w:rsid w:val="00BB7E01"/>
    <w:rsid w:val="00BC245C"/>
    <w:rsid w:val="00BD13B5"/>
    <w:rsid w:val="00BD16FC"/>
    <w:rsid w:val="00BD2154"/>
    <w:rsid w:val="00BD3C9B"/>
    <w:rsid w:val="00BD4CA3"/>
    <w:rsid w:val="00BD4D35"/>
    <w:rsid w:val="00BE1BFE"/>
    <w:rsid w:val="00BE41CB"/>
    <w:rsid w:val="00BF46AC"/>
    <w:rsid w:val="00BF52D2"/>
    <w:rsid w:val="00BF56A6"/>
    <w:rsid w:val="00BF6B08"/>
    <w:rsid w:val="00C04427"/>
    <w:rsid w:val="00C1026C"/>
    <w:rsid w:val="00C14126"/>
    <w:rsid w:val="00C16CE4"/>
    <w:rsid w:val="00C17C5F"/>
    <w:rsid w:val="00C241D5"/>
    <w:rsid w:val="00C26ED8"/>
    <w:rsid w:val="00C3192B"/>
    <w:rsid w:val="00C352A4"/>
    <w:rsid w:val="00C4507D"/>
    <w:rsid w:val="00C47AF9"/>
    <w:rsid w:val="00C5082B"/>
    <w:rsid w:val="00C548CD"/>
    <w:rsid w:val="00C65951"/>
    <w:rsid w:val="00C66567"/>
    <w:rsid w:val="00C71368"/>
    <w:rsid w:val="00C7572A"/>
    <w:rsid w:val="00C771D9"/>
    <w:rsid w:val="00C932B8"/>
    <w:rsid w:val="00CA1A9B"/>
    <w:rsid w:val="00CA377B"/>
    <w:rsid w:val="00CA3E0C"/>
    <w:rsid w:val="00CB2AA2"/>
    <w:rsid w:val="00CB6095"/>
    <w:rsid w:val="00CB790C"/>
    <w:rsid w:val="00CC5DB0"/>
    <w:rsid w:val="00CD3CF9"/>
    <w:rsid w:val="00CE1889"/>
    <w:rsid w:val="00CF08EC"/>
    <w:rsid w:val="00CF7BC4"/>
    <w:rsid w:val="00D01A94"/>
    <w:rsid w:val="00D04F1E"/>
    <w:rsid w:val="00D07396"/>
    <w:rsid w:val="00D078A9"/>
    <w:rsid w:val="00D15888"/>
    <w:rsid w:val="00D24082"/>
    <w:rsid w:val="00D26242"/>
    <w:rsid w:val="00D30A79"/>
    <w:rsid w:val="00D34015"/>
    <w:rsid w:val="00D360DD"/>
    <w:rsid w:val="00D41710"/>
    <w:rsid w:val="00D419D3"/>
    <w:rsid w:val="00D46810"/>
    <w:rsid w:val="00D47273"/>
    <w:rsid w:val="00D51D8A"/>
    <w:rsid w:val="00D5358B"/>
    <w:rsid w:val="00D54620"/>
    <w:rsid w:val="00D54923"/>
    <w:rsid w:val="00D60582"/>
    <w:rsid w:val="00D61A4D"/>
    <w:rsid w:val="00D812CC"/>
    <w:rsid w:val="00D84632"/>
    <w:rsid w:val="00D86238"/>
    <w:rsid w:val="00D95D8D"/>
    <w:rsid w:val="00D97980"/>
    <w:rsid w:val="00DA2289"/>
    <w:rsid w:val="00DA38A0"/>
    <w:rsid w:val="00DA406B"/>
    <w:rsid w:val="00DA65E9"/>
    <w:rsid w:val="00DB1D3B"/>
    <w:rsid w:val="00DB6A82"/>
    <w:rsid w:val="00DC7723"/>
    <w:rsid w:val="00DD583B"/>
    <w:rsid w:val="00DD5F6C"/>
    <w:rsid w:val="00DE7511"/>
    <w:rsid w:val="00DF3B95"/>
    <w:rsid w:val="00DF5BF5"/>
    <w:rsid w:val="00E02B27"/>
    <w:rsid w:val="00E02B75"/>
    <w:rsid w:val="00E03118"/>
    <w:rsid w:val="00E04397"/>
    <w:rsid w:val="00E100C6"/>
    <w:rsid w:val="00E11CE7"/>
    <w:rsid w:val="00E12CF0"/>
    <w:rsid w:val="00E166D4"/>
    <w:rsid w:val="00E23DA8"/>
    <w:rsid w:val="00E24CB8"/>
    <w:rsid w:val="00E306EC"/>
    <w:rsid w:val="00E344E5"/>
    <w:rsid w:val="00E43644"/>
    <w:rsid w:val="00E4393F"/>
    <w:rsid w:val="00E50A1C"/>
    <w:rsid w:val="00E50CB9"/>
    <w:rsid w:val="00E518C6"/>
    <w:rsid w:val="00E53762"/>
    <w:rsid w:val="00E544A9"/>
    <w:rsid w:val="00E55F86"/>
    <w:rsid w:val="00E609AB"/>
    <w:rsid w:val="00E60BA2"/>
    <w:rsid w:val="00E67956"/>
    <w:rsid w:val="00E67C8E"/>
    <w:rsid w:val="00E769F6"/>
    <w:rsid w:val="00E853E8"/>
    <w:rsid w:val="00E86618"/>
    <w:rsid w:val="00E93C50"/>
    <w:rsid w:val="00E967BB"/>
    <w:rsid w:val="00EA10E2"/>
    <w:rsid w:val="00EA21D9"/>
    <w:rsid w:val="00EA7FA7"/>
    <w:rsid w:val="00EB042D"/>
    <w:rsid w:val="00EB7E51"/>
    <w:rsid w:val="00EB7EE1"/>
    <w:rsid w:val="00EB7FDB"/>
    <w:rsid w:val="00EC0D13"/>
    <w:rsid w:val="00EC3661"/>
    <w:rsid w:val="00EC501C"/>
    <w:rsid w:val="00EC7FE3"/>
    <w:rsid w:val="00ED4289"/>
    <w:rsid w:val="00EE0F15"/>
    <w:rsid w:val="00EE56B8"/>
    <w:rsid w:val="00EE6F57"/>
    <w:rsid w:val="00EF43DE"/>
    <w:rsid w:val="00EF49C9"/>
    <w:rsid w:val="00F02DF7"/>
    <w:rsid w:val="00F030AC"/>
    <w:rsid w:val="00F04474"/>
    <w:rsid w:val="00F0470A"/>
    <w:rsid w:val="00F13724"/>
    <w:rsid w:val="00F13C9A"/>
    <w:rsid w:val="00F14533"/>
    <w:rsid w:val="00F17E6B"/>
    <w:rsid w:val="00F23B87"/>
    <w:rsid w:val="00F267D4"/>
    <w:rsid w:val="00F350F4"/>
    <w:rsid w:val="00F35A7D"/>
    <w:rsid w:val="00F42570"/>
    <w:rsid w:val="00F4266C"/>
    <w:rsid w:val="00F43657"/>
    <w:rsid w:val="00F51310"/>
    <w:rsid w:val="00F543D9"/>
    <w:rsid w:val="00F6227D"/>
    <w:rsid w:val="00F70FFD"/>
    <w:rsid w:val="00F748D2"/>
    <w:rsid w:val="00F76A67"/>
    <w:rsid w:val="00F819EE"/>
    <w:rsid w:val="00F918E0"/>
    <w:rsid w:val="00F92542"/>
    <w:rsid w:val="00FA381B"/>
    <w:rsid w:val="00FA5F69"/>
    <w:rsid w:val="00FA7301"/>
    <w:rsid w:val="00FB5E79"/>
    <w:rsid w:val="00FC0954"/>
    <w:rsid w:val="00FC1B39"/>
    <w:rsid w:val="00FC4AE5"/>
    <w:rsid w:val="00FD1430"/>
    <w:rsid w:val="00FE5076"/>
    <w:rsid w:val="00FE746F"/>
    <w:rsid w:val="00FF0FF6"/>
    <w:rsid w:val="00FF1C2B"/>
    <w:rsid w:val="00FF5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5EC975"/>
  <w15:chartTrackingRefBased/>
  <w15:docId w15:val="{BEE6941C-CB57-410B-9222-0747722C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5AB"/>
    <w:pPr>
      <w:widowControl w:val="0"/>
      <w:jc w:val="both"/>
    </w:pPr>
    <w:rPr>
      <w:rFonts w:ascii="Times New Roman" w:eastAsia="宋体"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E66"/>
    <w:pPr>
      <w:tabs>
        <w:tab w:val="center" w:pos="4153"/>
        <w:tab w:val="right" w:pos="8306"/>
      </w:tabs>
      <w:snapToGrid w:val="0"/>
      <w:jc w:val="center"/>
    </w:pPr>
    <w:rPr>
      <w:sz w:val="18"/>
      <w:szCs w:val="18"/>
    </w:rPr>
  </w:style>
  <w:style w:type="character" w:customStyle="1" w:styleId="a4">
    <w:name w:val="页眉 字符"/>
    <w:link w:val="a3"/>
    <w:uiPriority w:val="99"/>
    <w:rsid w:val="00514E66"/>
    <w:rPr>
      <w:rFonts w:ascii="Times New Roman" w:eastAsia="宋体" w:hAnsi="Times New Roman"/>
      <w:kern w:val="2"/>
      <w:sz w:val="18"/>
      <w:szCs w:val="18"/>
    </w:rPr>
  </w:style>
  <w:style w:type="paragraph" w:styleId="a5">
    <w:name w:val="footer"/>
    <w:basedOn w:val="a"/>
    <w:link w:val="a6"/>
    <w:uiPriority w:val="99"/>
    <w:unhideWhenUsed/>
    <w:rsid w:val="00514E66"/>
    <w:pPr>
      <w:tabs>
        <w:tab w:val="center" w:pos="4153"/>
        <w:tab w:val="right" w:pos="8306"/>
      </w:tabs>
      <w:snapToGrid w:val="0"/>
      <w:jc w:val="left"/>
    </w:pPr>
    <w:rPr>
      <w:sz w:val="18"/>
      <w:szCs w:val="18"/>
    </w:rPr>
  </w:style>
  <w:style w:type="character" w:customStyle="1" w:styleId="a6">
    <w:name w:val="页脚 字符"/>
    <w:link w:val="a5"/>
    <w:uiPriority w:val="99"/>
    <w:rsid w:val="00514E66"/>
    <w:rPr>
      <w:rFonts w:ascii="Times New Roman" w:eastAsia="宋体" w:hAnsi="Times New Roman"/>
      <w:kern w:val="2"/>
      <w:sz w:val="18"/>
      <w:szCs w:val="18"/>
    </w:rPr>
  </w:style>
  <w:style w:type="character" w:styleId="a7">
    <w:name w:val="annotation reference"/>
    <w:uiPriority w:val="99"/>
    <w:semiHidden/>
    <w:unhideWhenUsed/>
    <w:rsid w:val="003C0ACE"/>
    <w:rPr>
      <w:sz w:val="21"/>
      <w:szCs w:val="21"/>
    </w:rPr>
  </w:style>
  <w:style w:type="paragraph" w:styleId="a8">
    <w:name w:val="annotation text"/>
    <w:basedOn w:val="a"/>
    <w:link w:val="a9"/>
    <w:uiPriority w:val="99"/>
    <w:unhideWhenUsed/>
    <w:rsid w:val="003C0ACE"/>
    <w:pPr>
      <w:jc w:val="left"/>
    </w:pPr>
  </w:style>
  <w:style w:type="character" w:customStyle="1" w:styleId="a9">
    <w:name w:val="批注文字 字符"/>
    <w:link w:val="a8"/>
    <w:uiPriority w:val="99"/>
    <w:rsid w:val="003C0ACE"/>
    <w:rPr>
      <w:rFonts w:ascii="Times New Roman" w:eastAsia="宋体" w:hAnsi="Times New Roman"/>
      <w:kern w:val="2"/>
      <w:sz w:val="21"/>
      <w:szCs w:val="24"/>
    </w:rPr>
  </w:style>
  <w:style w:type="paragraph" w:styleId="aa">
    <w:name w:val="annotation subject"/>
    <w:basedOn w:val="a8"/>
    <w:next w:val="a8"/>
    <w:link w:val="ab"/>
    <w:uiPriority w:val="99"/>
    <w:semiHidden/>
    <w:unhideWhenUsed/>
    <w:rsid w:val="003C0ACE"/>
    <w:rPr>
      <w:b/>
      <w:bCs/>
    </w:rPr>
  </w:style>
  <w:style w:type="character" w:customStyle="1" w:styleId="ab">
    <w:name w:val="批注主题 字符"/>
    <w:link w:val="aa"/>
    <w:uiPriority w:val="99"/>
    <w:semiHidden/>
    <w:rsid w:val="003C0ACE"/>
    <w:rPr>
      <w:rFonts w:ascii="Times New Roman" w:eastAsia="宋体" w:hAnsi="Times New Roman"/>
      <w:b/>
      <w:bCs/>
      <w:kern w:val="2"/>
      <w:sz w:val="21"/>
      <w:szCs w:val="24"/>
    </w:rPr>
  </w:style>
  <w:style w:type="paragraph" w:styleId="HTML">
    <w:name w:val="HTML Preformatted"/>
    <w:basedOn w:val="a"/>
    <w:link w:val="HTML0"/>
    <w:uiPriority w:val="99"/>
    <w:semiHidden/>
    <w:unhideWhenUsed/>
    <w:rsid w:val="000B4496"/>
    <w:rPr>
      <w:rFonts w:ascii="Courier New" w:hAnsi="Courier New" w:cs="Courier New"/>
      <w:sz w:val="20"/>
      <w:szCs w:val="20"/>
    </w:rPr>
  </w:style>
  <w:style w:type="character" w:customStyle="1" w:styleId="HTML0">
    <w:name w:val="HTML 预设格式 字符"/>
    <w:link w:val="HTML"/>
    <w:uiPriority w:val="99"/>
    <w:semiHidden/>
    <w:rsid w:val="000B4496"/>
    <w:rPr>
      <w:rFonts w:ascii="Courier New" w:eastAsia="宋体"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969">
      <w:bodyDiv w:val="1"/>
      <w:marLeft w:val="0"/>
      <w:marRight w:val="0"/>
      <w:marTop w:val="0"/>
      <w:marBottom w:val="0"/>
      <w:divBdr>
        <w:top w:val="none" w:sz="0" w:space="0" w:color="auto"/>
        <w:left w:val="none" w:sz="0" w:space="0" w:color="auto"/>
        <w:bottom w:val="none" w:sz="0" w:space="0" w:color="auto"/>
        <w:right w:val="none" w:sz="0" w:space="0" w:color="auto"/>
      </w:divBdr>
    </w:div>
    <w:div w:id="94402240">
      <w:bodyDiv w:val="1"/>
      <w:marLeft w:val="0"/>
      <w:marRight w:val="0"/>
      <w:marTop w:val="0"/>
      <w:marBottom w:val="0"/>
      <w:divBdr>
        <w:top w:val="none" w:sz="0" w:space="0" w:color="auto"/>
        <w:left w:val="none" w:sz="0" w:space="0" w:color="auto"/>
        <w:bottom w:val="none" w:sz="0" w:space="0" w:color="auto"/>
        <w:right w:val="none" w:sz="0" w:space="0" w:color="auto"/>
      </w:divBdr>
    </w:div>
    <w:div w:id="128404288">
      <w:bodyDiv w:val="1"/>
      <w:marLeft w:val="0"/>
      <w:marRight w:val="0"/>
      <w:marTop w:val="0"/>
      <w:marBottom w:val="0"/>
      <w:divBdr>
        <w:top w:val="none" w:sz="0" w:space="0" w:color="auto"/>
        <w:left w:val="none" w:sz="0" w:space="0" w:color="auto"/>
        <w:bottom w:val="none" w:sz="0" w:space="0" w:color="auto"/>
        <w:right w:val="none" w:sz="0" w:space="0" w:color="auto"/>
      </w:divBdr>
    </w:div>
    <w:div w:id="396325738">
      <w:bodyDiv w:val="1"/>
      <w:marLeft w:val="0"/>
      <w:marRight w:val="0"/>
      <w:marTop w:val="0"/>
      <w:marBottom w:val="0"/>
      <w:divBdr>
        <w:top w:val="none" w:sz="0" w:space="0" w:color="auto"/>
        <w:left w:val="none" w:sz="0" w:space="0" w:color="auto"/>
        <w:bottom w:val="none" w:sz="0" w:space="0" w:color="auto"/>
        <w:right w:val="none" w:sz="0" w:space="0" w:color="auto"/>
      </w:divBdr>
    </w:div>
    <w:div w:id="482627207">
      <w:bodyDiv w:val="1"/>
      <w:marLeft w:val="0"/>
      <w:marRight w:val="0"/>
      <w:marTop w:val="0"/>
      <w:marBottom w:val="0"/>
      <w:divBdr>
        <w:top w:val="none" w:sz="0" w:space="0" w:color="auto"/>
        <w:left w:val="none" w:sz="0" w:space="0" w:color="auto"/>
        <w:bottom w:val="none" w:sz="0" w:space="0" w:color="auto"/>
        <w:right w:val="none" w:sz="0" w:space="0" w:color="auto"/>
      </w:divBdr>
    </w:div>
    <w:div w:id="556555294">
      <w:bodyDiv w:val="1"/>
      <w:marLeft w:val="0"/>
      <w:marRight w:val="0"/>
      <w:marTop w:val="0"/>
      <w:marBottom w:val="0"/>
      <w:divBdr>
        <w:top w:val="none" w:sz="0" w:space="0" w:color="auto"/>
        <w:left w:val="none" w:sz="0" w:space="0" w:color="auto"/>
        <w:bottom w:val="none" w:sz="0" w:space="0" w:color="auto"/>
        <w:right w:val="none" w:sz="0" w:space="0" w:color="auto"/>
      </w:divBdr>
      <w:divsChild>
        <w:div w:id="1049767169">
          <w:marLeft w:val="0"/>
          <w:marRight w:val="0"/>
          <w:marTop w:val="75"/>
          <w:marBottom w:val="75"/>
          <w:divBdr>
            <w:top w:val="none" w:sz="0" w:space="0" w:color="auto"/>
            <w:left w:val="none" w:sz="0" w:space="0" w:color="auto"/>
            <w:bottom w:val="none" w:sz="0" w:space="0" w:color="auto"/>
            <w:right w:val="none" w:sz="0" w:space="0" w:color="auto"/>
          </w:divBdr>
          <w:divsChild>
            <w:div w:id="2038964405">
              <w:marLeft w:val="0"/>
              <w:marRight w:val="0"/>
              <w:marTop w:val="0"/>
              <w:marBottom w:val="0"/>
              <w:divBdr>
                <w:top w:val="none" w:sz="0" w:space="0" w:color="auto"/>
                <w:left w:val="none" w:sz="0" w:space="0" w:color="auto"/>
                <w:bottom w:val="none" w:sz="0" w:space="0" w:color="auto"/>
                <w:right w:val="none" w:sz="0" w:space="0" w:color="auto"/>
              </w:divBdr>
            </w:div>
          </w:divsChild>
        </w:div>
        <w:div w:id="1966813864">
          <w:marLeft w:val="0"/>
          <w:marRight w:val="0"/>
          <w:marTop w:val="75"/>
          <w:marBottom w:val="75"/>
          <w:divBdr>
            <w:top w:val="none" w:sz="0" w:space="0" w:color="auto"/>
            <w:left w:val="none" w:sz="0" w:space="0" w:color="auto"/>
            <w:bottom w:val="none" w:sz="0" w:space="0" w:color="auto"/>
            <w:right w:val="none" w:sz="0" w:space="0" w:color="auto"/>
          </w:divBdr>
          <w:divsChild>
            <w:div w:id="69542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48622">
      <w:bodyDiv w:val="1"/>
      <w:marLeft w:val="0"/>
      <w:marRight w:val="0"/>
      <w:marTop w:val="0"/>
      <w:marBottom w:val="0"/>
      <w:divBdr>
        <w:top w:val="none" w:sz="0" w:space="0" w:color="auto"/>
        <w:left w:val="none" w:sz="0" w:space="0" w:color="auto"/>
        <w:bottom w:val="none" w:sz="0" w:space="0" w:color="auto"/>
        <w:right w:val="none" w:sz="0" w:space="0" w:color="auto"/>
      </w:divBdr>
    </w:div>
    <w:div w:id="638921537">
      <w:bodyDiv w:val="1"/>
      <w:marLeft w:val="0"/>
      <w:marRight w:val="0"/>
      <w:marTop w:val="0"/>
      <w:marBottom w:val="0"/>
      <w:divBdr>
        <w:top w:val="none" w:sz="0" w:space="0" w:color="auto"/>
        <w:left w:val="none" w:sz="0" w:space="0" w:color="auto"/>
        <w:bottom w:val="none" w:sz="0" w:space="0" w:color="auto"/>
        <w:right w:val="none" w:sz="0" w:space="0" w:color="auto"/>
      </w:divBdr>
    </w:div>
    <w:div w:id="1067653553">
      <w:bodyDiv w:val="1"/>
      <w:marLeft w:val="0"/>
      <w:marRight w:val="0"/>
      <w:marTop w:val="0"/>
      <w:marBottom w:val="0"/>
      <w:divBdr>
        <w:top w:val="none" w:sz="0" w:space="0" w:color="auto"/>
        <w:left w:val="none" w:sz="0" w:space="0" w:color="auto"/>
        <w:bottom w:val="none" w:sz="0" w:space="0" w:color="auto"/>
        <w:right w:val="none" w:sz="0" w:space="0" w:color="auto"/>
      </w:divBdr>
    </w:div>
    <w:div w:id="1158037838">
      <w:bodyDiv w:val="1"/>
      <w:marLeft w:val="0"/>
      <w:marRight w:val="0"/>
      <w:marTop w:val="0"/>
      <w:marBottom w:val="0"/>
      <w:divBdr>
        <w:top w:val="none" w:sz="0" w:space="0" w:color="auto"/>
        <w:left w:val="none" w:sz="0" w:space="0" w:color="auto"/>
        <w:bottom w:val="none" w:sz="0" w:space="0" w:color="auto"/>
        <w:right w:val="none" w:sz="0" w:space="0" w:color="auto"/>
      </w:divBdr>
    </w:div>
    <w:div w:id="1232497589">
      <w:bodyDiv w:val="1"/>
      <w:marLeft w:val="0"/>
      <w:marRight w:val="0"/>
      <w:marTop w:val="0"/>
      <w:marBottom w:val="0"/>
      <w:divBdr>
        <w:top w:val="none" w:sz="0" w:space="0" w:color="auto"/>
        <w:left w:val="none" w:sz="0" w:space="0" w:color="auto"/>
        <w:bottom w:val="none" w:sz="0" w:space="0" w:color="auto"/>
        <w:right w:val="none" w:sz="0" w:space="0" w:color="auto"/>
      </w:divBdr>
    </w:div>
    <w:div w:id="1293904733">
      <w:bodyDiv w:val="1"/>
      <w:marLeft w:val="0"/>
      <w:marRight w:val="0"/>
      <w:marTop w:val="0"/>
      <w:marBottom w:val="0"/>
      <w:divBdr>
        <w:top w:val="none" w:sz="0" w:space="0" w:color="auto"/>
        <w:left w:val="none" w:sz="0" w:space="0" w:color="auto"/>
        <w:bottom w:val="none" w:sz="0" w:space="0" w:color="auto"/>
        <w:right w:val="none" w:sz="0" w:space="0" w:color="auto"/>
      </w:divBdr>
      <w:divsChild>
        <w:div w:id="1211187613">
          <w:marLeft w:val="0"/>
          <w:marRight w:val="0"/>
          <w:marTop w:val="75"/>
          <w:marBottom w:val="75"/>
          <w:divBdr>
            <w:top w:val="none" w:sz="0" w:space="0" w:color="auto"/>
            <w:left w:val="none" w:sz="0" w:space="0" w:color="auto"/>
            <w:bottom w:val="none" w:sz="0" w:space="0" w:color="auto"/>
            <w:right w:val="none" w:sz="0" w:space="0" w:color="auto"/>
          </w:divBdr>
          <w:divsChild>
            <w:div w:id="1329750592">
              <w:marLeft w:val="0"/>
              <w:marRight w:val="0"/>
              <w:marTop w:val="0"/>
              <w:marBottom w:val="0"/>
              <w:divBdr>
                <w:top w:val="none" w:sz="0" w:space="0" w:color="auto"/>
                <w:left w:val="none" w:sz="0" w:space="0" w:color="auto"/>
                <w:bottom w:val="none" w:sz="0" w:space="0" w:color="auto"/>
                <w:right w:val="none" w:sz="0" w:space="0" w:color="auto"/>
              </w:divBdr>
            </w:div>
          </w:divsChild>
        </w:div>
        <w:div w:id="1472206731">
          <w:marLeft w:val="0"/>
          <w:marRight w:val="0"/>
          <w:marTop w:val="75"/>
          <w:marBottom w:val="75"/>
          <w:divBdr>
            <w:top w:val="none" w:sz="0" w:space="0" w:color="auto"/>
            <w:left w:val="none" w:sz="0" w:space="0" w:color="auto"/>
            <w:bottom w:val="none" w:sz="0" w:space="0" w:color="auto"/>
            <w:right w:val="none" w:sz="0" w:space="0" w:color="auto"/>
          </w:divBdr>
          <w:divsChild>
            <w:div w:id="165001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19470">
      <w:bodyDiv w:val="1"/>
      <w:marLeft w:val="0"/>
      <w:marRight w:val="0"/>
      <w:marTop w:val="0"/>
      <w:marBottom w:val="0"/>
      <w:divBdr>
        <w:top w:val="none" w:sz="0" w:space="0" w:color="auto"/>
        <w:left w:val="none" w:sz="0" w:space="0" w:color="auto"/>
        <w:bottom w:val="none" w:sz="0" w:space="0" w:color="auto"/>
        <w:right w:val="none" w:sz="0" w:space="0" w:color="auto"/>
      </w:divBdr>
    </w:div>
    <w:div w:id="1343514279">
      <w:bodyDiv w:val="1"/>
      <w:marLeft w:val="0"/>
      <w:marRight w:val="0"/>
      <w:marTop w:val="0"/>
      <w:marBottom w:val="0"/>
      <w:divBdr>
        <w:top w:val="none" w:sz="0" w:space="0" w:color="auto"/>
        <w:left w:val="none" w:sz="0" w:space="0" w:color="auto"/>
        <w:bottom w:val="none" w:sz="0" w:space="0" w:color="auto"/>
        <w:right w:val="none" w:sz="0" w:space="0" w:color="auto"/>
      </w:divBdr>
    </w:div>
    <w:div w:id="1367289031">
      <w:bodyDiv w:val="1"/>
      <w:marLeft w:val="0"/>
      <w:marRight w:val="0"/>
      <w:marTop w:val="0"/>
      <w:marBottom w:val="0"/>
      <w:divBdr>
        <w:top w:val="none" w:sz="0" w:space="0" w:color="auto"/>
        <w:left w:val="none" w:sz="0" w:space="0" w:color="auto"/>
        <w:bottom w:val="none" w:sz="0" w:space="0" w:color="auto"/>
        <w:right w:val="none" w:sz="0" w:space="0" w:color="auto"/>
      </w:divBdr>
    </w:div>
    <w:div w:id="1388840820">
      <w:bodyDiv w:val="1"/>
      <w:marLeft w:val="0"/>
      <w:marRight w:val="0"/>
      <w:marTop w:val="0"/>
      <w:marBottom w:val="0"/>
      <w:divBdr>
        <w:top w:val="none" w:sz="0" w:space="0" w:color="auto"/>
        <w:left w:val="none" w:sz="0" w:space="0" w:color="auto"/>
        <w:bottom w:val="none" w:sz="0" w:space="0" w:color="auto"/>
        <w:right w:val="none" w:sz="0" w:space="0" w:color="auto"/>
      </w:divBdr>
    </w:div>
    <w:div w:id="1508640199">
      <w:bodyDiv w:val="1"/>
      <w:marLeft w:val="0"/>
      <w:marRight w:val="0"/>
      <w:marTop w:val="0"/>
      <w:marBottom w:val="0"/>
      <w:divBdr>
        <w:top w:val="none" w:sz="0" w:space="0" w:color="auto"/>
        <w:left w:val="none" w:sz="0" w:space="0" w:color="auto"/>
        <w:bottom w:val="none" w:sz="0" w:space="0" w:color="auto"/>
        <w:right w:val="none" w:sz="0" w:space="0" w:color="auto"/>
      </w:divBdr>
    </w:div>
    <w:div w:id="1530876023">
      <w:bodyDiv w:val="1"/>
      <w:marLeft w:val="0"/>
      <w:marRight w:val="0"/>
      <w:marTop w:val="0"/>
      <w:marBottom w:val="0"/>
      <w:divBdr>
        <w:top w:val="none" w:sz="0" w:space="0" w:color="auto"/>
        <w:left w:val="none" w:sz="0" w:space="0" w:color="auto"/>
        <w:bottom w:val="none" w:sz="0" w:space="0" w:color="auto"/>
        <w:right w:val="none" w:sz="0" w:space="0" w:color="auto"/>
      </w:divBdr>
    </w:div>
    <w:div w:id="1550141309">
      <w:bodyDiv w:val="1"/>
      <w:marLeft w:val="0"/>
      <w:marRight w:val="0"/>
      <w:marTop w:val="0"/>
      <w:marBottom w:val="0"/>
      <w:divBdr>
        <w:top w:val="none" w:sz="0" w:space="0" w:color="auto"/>
        <w:left w:val="none" w:sz="0" w:space="0" w:color="auto"/>
        <w:bottom w:val="none" w:sz="0" w:space="0" w:color="auto"/>
        <w:right w:val="none" w:sz="0" w:space="0" w:color="auto"/>
      </w:divBdr>
      <w:divsChild>
        <w:div w:id="261380574">
          <w:marLeft w:val="0"/>
          <w:marRight w:val="0"/>
          <w:marTop w:val="75"/>
          <w:marBottom w:val="75"/>
          <w:divBdr>
            <w:top w:val="none" w:sz="0" w:space="0" w:color="auto"/>
            <w:left w:val="none" w:sz="0" w:space="0" w:color="auto"/>
            <w:bottom w:val="none" w:sz="0" w:space="0" w:color="auto"/>
            <w:right w:val="none" w:sz="0" w:space="0" w:color="auto"/>
          </w:divBdr>
          <w:divsChild>
            <w:div w:id="1252005726">
              <w:marLeft w:val="0"/>
              <w:marRight w:val="0"/>
              <w:marTop w:val="0"/>
              <w:marBottom w:val="0"/>
              <w:divBdr>
                <w:top w:val="none" w:sz="0" w:space="0" w:color="auto"/>
                <w:left w:val="none" w:sz="0" w:space="0" w:color="auto"/>
                <w:bottom w:val="none" w:sz="0" w:space="0" w:color="auto"/>
                <w:right w:val="none" w:sz="0" w:space="0" w:color="auto"/>
              </w:divBdr>
            </w:div>
          </w:divsChild>
        </w:div>
        <w:div w:id="1024550715">
          <w:marLeft w:val="0"/>
          <w:marRight w:val="0"/>
          <w:marTop w:val="75"/>
          <w:marBottom w:val="75"/>
          <w:divBdr>
            <w:top w:val="none" w:sz="0" w:space="0" w:color="auto"/>
            <w:left w:val="none" w:sz="0" w:space="0" w:color="auto"/>
            <w:bottom w:val="none" w:sz="0" w:space="0" w:color="auto"/>
            <w:right w:val="none" w:sz="0" w:space="0" w:color="auto"/>
          </w:divBdr>
          <w:divsChild>
            <w:div w:id="98057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71219">
      <w:bodyDiv w:val="1"/>
      <w:marLeft w:val="0"/>
      <w:marRight w:val="0"/>
      <w:marTop w:val="0"/>
      <w:marBottom w:val="0"/>
      <w:divBdr>
        <w:top w:val="none" w:sz="0" w:space="0" w:color="auto"/>
        <w:left w:val="none" w:sz="0" w:space="0" w:color="auto"/>
        <w:bottom w:val="none" w:sz="0" w:space="0" w:color="auto"/>
        <w:right w:val="none" w:sz="0" w:space="0" w:color="auto"/>
      </w:divBdr>
    </w:div>
    <w:div w:id="2083212807">
      <w:bodyDiv w:val="1"/>
      <w:marLeft w:val="0"/>
      <w:marRight w:val="0"/>
      <w:marTop w:val="0"/>
      <w:marBottom w:val="0"/>
      <w:divBdr>
        <w:top w:val="none" w:sz="0" w:space="0" w:color="auto"/>
        <w:left w:val="none" w:sz="0" w:space="0" w:color="auto"/>
        <w:bottom w:val="none" w:sz="0" w:space="0" w:color="auto"/>
        <w:right w:val="none" w:sz="0" w:space="0" w:color="auto"/>
      </w:divBdr>
    </w:div>
    <w:div w:id="2140684078">
      <w:bodyDiv w:val="1"/>
      <w:marLeft w:val="0"/>
      <w:marRight w:val="0"/>
      <w:marTop w:val="0"/>
      <w:marBottom w:val="0"/>
      <w:divBdr>
        <w:top w:val="none" w:sz="0" w:space="0" w:color="auto"/>
        <w:left w:val="none" w:sz="0" w:space="0" w:color="auto"/>
        <w:bottom w:val="none" w:sz="0" w:space="0" w:color="auto"/>
        <w:right w:val="none" w:sz="0" w:space="0" w:color="auto"/>
      </w:divBdr>
      <w:divsChild>
        <w:div w:id="206770180">
          <w:marLeft w:val="0"/>
          <w:marRight w:val="0"/>
          <w:marTop w:val="75"/>
          <w:marBottom w:val="75"/>
          <w:divBdr>
            <w:top w:val="none" w:sz="0" w:space="0" w:color="auto"/>
            <w:left w:val="none" w:sz="0" w:space="0" w:color="auto"/>
            <w:bottom w:val="none" w:sz="0" w:space="0" w:color="auto"/>
            <w:right w:val="none" w:sz="0" w:space="0" w:color="auto"/>
          </w:divBdr>
          <w:divsChild>
            <w:div w:id="709959015">
              <w:marLeft w:val="0"/>
              <w:marRight w:val="0"/>
              <w:marTop w:val="0"/>
              <w:marBottom w:val="0"/>
              <w:divBdr>
                <w:top w:val="none" w:sz="0" w:space="0" w:color="auto"/>
                <w:left w:val="none" w:sz="0" w:space="0" w:color="auto"/>
                <w:bottom w:val="none" w:sz="0" w:space="0" w:color="auto"/>
                <w:right w:val="none" w:sz="0" w:space="0" w:color="auto"/>
              </w:divBdr>
            </w:div>
          </w:divsChild>
        </w:div>
        <w:div w:id="1537886207">
          <w:marLeft w:val="0"/>
          <w:marRight w:val="0"/>
          <w:marTop w:val="75"/>
          <w:marBottom w:val="75"/>
          <w:divBdr>
            <w:top w:val="none" w:sz="0" w:space="0" w:color="auto"/>
            <w:left w:val="none" w:sz="0" w:space="0" w:color="auto"/>
            <w:bottom w:val="none" w:sz="0" w:space="0" w:color="auto"/>
            <w:right w:val="none" w:sz="0" w:space="0" w:color="auto"/>
          </w:divBdr>
          <w:divsChild>
            <w:div w:id="21288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1232</Words>
  <Characters>7025</Characters>
  <Application>Microsoft Office Word</Application>
  <DocSecurity>0</DocSecurity>
  <Lines>58</Lines>
  <Paragraphs>16</Paragraphs>
  <ScaleCrop>false</ScaleCrop>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 梓轩</dc:creator>
  <cp:keywords/>
  <dc:description/>
  <cp:lastModifiedBy>yu liu</cp:lastModifiedBy>
  <cp:revision>2</cp:revision>
  <dcterms:created xsi:type="dcterms:W3CDTF">2025-04-16T00:52:00Z</dcterms:created>
  <dcterms:modified xsi:type="dcterms:W3CDTF">2025-04-16T00:52:00Z</dcterms:modified>
</cp:coreProperties>
</file>