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63A3B71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6CD59A6" w14:textId="77777777" w:rsidR="00B175E4" w:rsidRPr="00FB6599" w:rsidRDefault="0036242B" w:rsidP="00194101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</w:p>
    <w:p w14:paraId="6EF5192F" w14:textId="38CFA525" w:rsidR="00B175E4" w:rsidRDefault="0036242B">
      <w:pPr>
        <w:spacing w:line="400" w:lineRule="exact"/>
        <w:ind w:firstLineChars="2100" w:firstLine="5040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日期：202</w:t>
      </w:r>
      <w:r w:rsidR="009B0596"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年 </w:t>
      </w:r>
      <w:r w:rsidR="00C50ECE">
        <w:rPr>
          <w:rFonts w:ascii="宋体" w:eastAsia="宋体" w:hAnsi="宋体"/>
          <w:bCs/>
          <w:iCs/>
          <w:color w:val="000000"/>
          <w:sz w:val="24"/>
        </w:rPr>
        <w:t>4</w:t>
      </w:r>
      <w:r>
        <w:rPr>
          <w:rFonts w:ascii="宋体" w:eastAsia="宋体" w:hAnsi="宋体" w:hint="eastAsia"/>
          <w:bCs/>
          <w:iCs/>
          <w:color w:val="000000"/>
          <w:sz w:val="24"/>
        </w:rPr>
        <w:t>月</w:t>
      </w:r>
      <w:r w:rsidR="009B0596">
        <w:rPr>
          <w:rFonts w:ascii="宋体" w:eastAsia="宋体" w:hAnsi="宋体"/>
          <w:bCs/>
          <w:iCs/>
          <w:color w:val="000000"/>
          <w:sz w:val="24"/>
        </w:rPr>
        <w:t>16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日                                                        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340"/>
      </w:tblGrid>
      <w:tr w:rsidR="00B175E4" w14:paraId="1BA8B292" w14:textId="77777777" w:rsidTr="00D97563">
        <w:trPr>
          <w:trHeight w:val="151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0D2B" w14:textId="77777777" w:rsidR="00B175E4" w:rsidRPr="00FB6599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1672" w14:textId="4679CB3F" w:rsidR="00B175E4" w:rsidRDefault="00C50ECE" w:rsidP="00FB659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</w:t>
            </w:r>
            <w:r w:rsidR="0036242B"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 w:rsidR="008C1328">
              <w:rPr>
                <w:rFonts w:ascii="宋体" w:eastAsia="宋体" w:hAnsi="宋体" w:cs="宋体"/>
                <w:sz w:val="24"/>
              </w:rPr>
              <w:t xml:space="preserve"> 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36242B">
              <w:rPr>
                <w:rFonts w:ascii="宋体" w:eastAsia="宋体" w:hAnsi="宋体" w:cs="宋体" w:hint="eastAsia"/>
                <w:sz w:val="24"/>
              </w:rPr>
              <w:t>分析师会议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 w:rsidR="0036242B"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1B0BD581" w14:textId="0207C330" w:rsidR="00B175E4" w:rsidRDefault="00C50ECE" w:rsidP="00FB6599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36242B">
              <w:rPr>
                <w:rFonts w:ascii="宋体" w:eastAsia="宋体" w:hAnsi="宋体" w:cs="宋体" w:hint="eastAsia"/>
                <w:sz w:val="24"/>
              </w:rPr>
              <w:t>业绩说明会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 w:rsidR="0036242B"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 w:rsidR="0036242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36242B"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300A7148" w14:textId="44088BE6" w:rsidR="00B175E4" w:rsidRPr="00C50ECE" w:rsidRDefault="0036242B" w:rsidP="00C50ECE">
            <w:pPr>
              <w:pStyle w:val="ae"/>
              <w:numPr>
                <w:ilvl w:val="0"/>
                <w:numId w:val="3"/>
              </w:numPr>
              <w:tabs>
                <w:tab w:val="left" w:pos="3045"/>
                <w:tab w:val="center" w:pos="3199"/>
              </w:tabs>
              <w:spacing w:line="360" w:lineRule="auto"/>
              <w:ind w:firstLineChars="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C50ECE">
              <w:rPr>
                <w:rFonts w:ascii="宋体" w:eastAsia="宋体" w:hAnsi="宋体" w:cs="宋体" w:hint="eastAsia"/>
                <w:sz w:val="24"/>
              </w:rPr>
              <w:t>现场参观</w:t>
            </w:r>
            <w:r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 w:rsidRPr="00C50ECE"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B175E4" w14:paraId="462F7CD7" w14:textId="77777777" w:rsidTr="00D97563">
        <w:trPr>
          <w:trHeight w:val="6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5598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7CB" w14:textId="4E62E738" w:rsidR="00B175E4" w:rsidRDefault="00C50ECE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通过</w:t>
            </w:r>
            <w:r w:rsidR="00D307D6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视频直播和</w:t>
            </w:r>
            <w:r w:rsidR="0052757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网络互动</w:t>
            </w:r>
            <w:r w:rsidR="00D307D6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相结合的</w:t>
            </w:r>
            <w:r w:rsidR="00527579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形式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参与公司本次业绩说明会的投资者</w:t>
            </w:r>
          </w:p>
        </w:tc>
      </w:tr>
      <w:tr w:rsidR="00B175E4" w14:paraId="304A4465" w14:textId="77777777" w:rsidTr="00D97563">
        <w:trPr>
          <w:trHeight w:val="6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2A2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921D" w14:textId="0BD0E303" w:rsidR="00B175E4" w:rsidRDefault="0036242B" w:rsidP="009B0596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 w:rsidR="009B0596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C50ECE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9B0596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</w:t>
            </w:r>
            <w:r w:rsidR="00DC3D6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 w:rsidR="002B1ABC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上</w:t>
            </w:r>
            <w:r w:rsidR="003D326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午</w:t>
            </w:r>
            <w:r w:rsidR="00E074A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</w:t>
            </w:r>
            <w:r w:rsidR="002B1ABC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 w:rsidR="00E074A9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:0</w:t>
            </w:r>
            <w:r w:rsidR="001C43A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  <w:r w:rsidR="00DC3D6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—</w:t>
            </w:r>
            <w:r w:rsidR="002914D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1</w:t>
            </w:r>
            <w:r w:rsidR="002B1ABC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 w:rsidR="000A40A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2B1ABC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 w:rsidR="002914D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B175E4" w14:paraId="6AD0EF2B" w14:textId="77777777" w:rsidTr="00D97563">
        <w:trPr>
          <w:trHeight w:val="7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92B6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68E" w14:textId="46C960DE" w:rsidR="00B175E4" w:rsidRDefault="002B1ABC" w:rsidP="00FB6599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B1ABC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上海证券报·中国证券网：（https://roadshow.cnstock.com/）</w:t>
            </w:r>
          </w:p>
        </w:tc>
      </w:tr>
      <w:tr w:rsidR="00B175E4" w14:paraId="03B2FDF8" w14:textId="77777777" w:rsidTr="00D97563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D8E" w14:textId="77777777" w:rsidR="00B175E4" w:rsidRDefault="0036242B" w:rsidP="00FB6599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105" w14:textId="2C8773FD" w:rsidR="00B175E4" w:rsidRPr="00C50ECE" w:rsidRDefault="00D307D6" w:rsidP="009B0596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党委书记、</w:t>
            </w:r>
            <w:r w:rsidR="00C50ECE"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董事长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吴智晖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，党委副书记、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董事、</w:t>
            </w:r>
            <w:r w:rsidR="00C50ECE" w:rsidRPr="00C50EC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行长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陈钢梁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，党委委员、</w:t>
            </w:r>
            <w:r w:rsidR="00542F85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董事、</w:t>
            </w:r>
            <w:r w:rsidR="00730B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副行长严国利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9B05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党委委员、董事、副行长</w:t>
            </w:r>
            <w:r w:rsidR="009B05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秦晓君</w:t>
            </w:r>
            <w:r w:rsidR="009B05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，党委委员、副行长</w:t>
            </w:r>
            <w:r w:rsidR="009B05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宁怡然</w:t>
            </w:r>
            <w:r w:rsidR="009B05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730B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独立董事</w:t>
            </w:r>
            <w:r w:rsidR="009B05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蒋岳祥</w:t>
            </w:r>
            <w:r w:rsidR="00AB66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730BD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董事会秘书</w:t>
            </w:r>
            <w:r w:rsidR="009B0596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章国江</w:t>
            </w:r>
          </w:p>
        </w:tc>
      </w:tr>
      <w:tr w:rsidR="00B175E4" w14:paraId="1DDEA893" w14:textId="77777777" w:rsidTr="00D97563">
        <w:trPr>
          <w:trHeight w:val="452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BF0E" w14:textId="05B980D1" w:rsidR="00B175E4" w:rsidRDefault="00527579" w:rsidP="00A05146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</w:t>
            </w:r>
            <w:r w:rsidR="00A05146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主要</w:t>
            </w:r>
            <w:r w:rsidR="0036242B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内容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A63" w14:textId="52D8612F" w:rsidR="00730BDB" w:rsidRPr="00730BDB" w:rsidRDefault="00527579" w:rsidP="00730B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730BDB" w:rsidRPr="00730BDB">
              <w:rPr>
                <w:rFonts w:asciiTheme="minorEastAsia" w:eastAsiaTheme="minorEastAsia" w:hAnsiTheme="minorEastAsia" w:hint="eastAsia"/>
                <w:sz w:val="24"/>
              </w:rPr>
              <w:t>各位嘉宾、各位投资者、各位网友：大家好！</w:t>
            </w:r>
            <w:r w:rsidR="002C0513" w:rsidRPr="002C0513">
              <w:rPr>
                <w:rFonts w:asciiTheme="minorEastAsia" w:eastAsiaTheme="minorEastAsia" w:hAnsiTheme="minorEastAsia" w:hint="eastAsia"/>
                <w:sz w:val="24"/>
              </w:rPr>
              <w:t>欢迎参加瑞丰银行2024年度业绩说明会。本次活动由瑞丰银行主办，上海证券报、中国证券网提供网络平台支持，感谢您的关注与参与。</w:t>
            </w:r>
          </w:p>
          <w:p w14:paraId="2C3655E6" w14:textId="2999162D" w:rsidR="00D2365E" w:rsidRDefault="002C0513" w:rsidP="00730B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为加强瑞丰银行与投资者的深入交流，使投资者更加全面、深入地了解公司情况，公司决定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召开瑞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丰银行2024年度业绩说明会。在今天的活动中，瑞丰银行管理层主要成员做客上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证报路演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中心，将与投资者进行沟通交流。欢迎大家积极参与。</w:t>
            </w:r>
            <w:r w:rsidR="00730BDB" w:rsidRPr="00730BDB">
              <w:rPr>
                <w:rFonts w:asciiTheme="minorEastAsia" w:eastAsiaTheme="minorEastAsia" w:hAnsiTheme="minorEastAsia" w:hint="eastAsia"/>
                <w:sz w:val="24"/>
              </w:rPr>
              <w:t>下面有请公司党委书记、董事长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吴智晖</w:t>
            </w:r>
            <w:r w:rsidR="00730BDB" w:rsidRPr="00730BDB">
              <w:rPr>
                <w:rFonts w:asciiTheme="minorEastAsia" w:eastAsiaTheme="minorEastAsia" w:hAnsiTheme="minorEastAsia" w:hint="eastAsia"/>
                <w:sz w:val="24"/>
              </w:rPr>
              <w:t>先生为大家做开场致辞！</w:t>
            </w:r>
          </w:p>
          <w:p w14:paraId="517059B6" w14:textId="77777777" w:rsidR="002C0513" w:rsidRPr="002C0513" w:rsidRDefault="00527579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瑞丰银行</w:t>
            </w:r>
            <w:r w:rsidR="00D97563">
              <w:rPr>
                <w:rFonts w:asciiTheme="minorEastAsia" w:eastAsiaTheme="minorEastAsia" w:hAnsiTheme="minorEastAsia" w:hint="eastAsia"/>
                <w:sz w:val="24"/>
              </w:rPr>
              <w:t>党委书记、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董事长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吴智晖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2C0513" w:rsidRPr="002C0513">
              <w:rPr>
                <w:rFonts w:asciiTheme="minorEastAsia" w:eastAsiaTheme="minorEastAsia" w:hAnsiTheme="minorEastAsia" w:hint="eastAsia"/>
                <w:sz w:val="24"/>
              </w:rPr>
              <w:t>大家上午好！最美人间四月天，欢迎大家来到瑞丰银行2024年度业绩说明会。首先，请允许我代表瑞丰银行党委、董事会，衷心感谢投资者朋友长期以来对瑞丰银行的关心、支持与厚爱，也希望通过本次交流，让大家更全面、更深入、更透彻地了解瑞丰，更放心、更开心地投资瑞丰，在未来的日子</w:t>
            </w:r>
            <w:r w:rsidR="002C0513" w:rsidRPr="002C051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里，我们一起奔赴、共同成就。</w:t>
            </w:r>
          </w:p>
          <w:p w14:paraId="381A1343" w14:textId="341A516C" w:rsidR="002C0513" w:rsidRPr="002C0513" w:rsidRDefault="002C0513" w:rsidP="002D463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当前，宏观环境面临百年变局，银行业正从“机会时代”迈向“能力时代”。作为浙江首家上市农商行，瑞丰深知：唯有以“硬核能级指标”证明实力、以“直面问题的能量底气”回应关切、以“决胜未来的能力体系”创造价值，才能不负信任、不负时代。接下来，我将围绕这三个“能”，用“数据+案例+诚意”向各位交底交心。</w:t>
            </w:r>
          </w:p>
          <w:p w14:paraId="5B61CF60" w14:textId="0BA42207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一、回顾2024年，瑞丰坚持“用能级说话”</w:t>
            </w:r>
          </w:p>
          <w:p w14:paraId="525D6E24" w14:textId="0115C65F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2024年，瑞丰银行在规模、质量、结构、风控、价值五大维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度实现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提升，高质量发展硬实力进一步夯实。具体呈现五方面突破：</w:t>
            </w:r>
          </w:p>
          <w:p w14:paraId="655733DE" w14:textId="4F898C71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一是规模能级提升，核心指标增速领跑区域经济。2024年，瑞丰银行总资产、存贷款、营收、</w:t>
            </w:r>
            <w:proofErr w:type="gramStart"/>
            <w:r w:rsidR="00AE6E32">
              <w:rPr>
                <w:rFonts w:asciiTheme="minorEastAsia" w:eastAsiaTheme="minorEastAsia" w:hAnsiTheme="minorEastAsia" w:hint="eastAsia"/>
                <w:sz w:val="24"/>
              </w:rPr>
              <w:t>归母</w:t>
            </w:r>
            <w:r w:rsidRPr="002C0513">
              <w:rPr>
                <w:rFonts w:asciiTheme="minorEastAsia" w:eastAsiaTheme="minorEastAsia" w:hAnsiTheme="minorEastAsia" w:hint="eastAsia"/>
                <w:sz w:val="24"/>
              </w:rPr>
              <w:t>净利润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四项核心指标均以双位数增长跑赢大市：存款增幅12.82%、贷款增幅15.50%、营收增幅15.29%、</w:t>
            </w:r>
            <w:proofErr w:type="gramStart"/>
            <w:r w:rsidR="00AE6E32">
              <w:rPr>
                <w:rFonts w:asciiTheme="minorEastAsia" w:eastAsiaTheme="minorEastAsia" w:hAnsiTheme="minorEastAsia" w:hint="eastAsia"/>
                <w:sz w:val="24"/>
              </w:rPr>
              <w:t>归母</w:t>
            </w:r>
            <w:r w:rsidRPr="002C0513">
              <w:rPr>
                <w:rFonts w:asciiTheme="minorEastAsia" w:eastAsiaTheme="minorEastAsia" w:hAnsiTheme="minorEastAsia" w:hint="eastAsia"/>
                <w:sz w:val="24"/>
              </w:rPr>
              <w:t>净利润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增幅11.27%，凸显深耕本土市场的规模势能。</w:t>
            </w:r>
          </w:p>
          <w:p w14:paraId="5D6DAEDA" w14:textId="69FDF75F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二是质量能效提升，实现盈利韧性与资产安全双提高。面对全行业息差收窄压力，瑞丰银行通过“调结构、拓中收、控风险”三管齐下，实现质量能效突破。非利息净收入13.81亿元，同比增长84.25%；绿色贷款余额45.94亿元，增速144.63%，科技型企业贷款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增速超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全行贷款3.09个百分点；不良贷款率保持0.97%，拨备覆盖率提升16.75个百分点至320.87%，资产质量与盈利能力的“剪刀差”持续收窄。</w:t>
            </w:r>
          </w:p>
          <w:p w14:paraId="53D9CDEA" w14:textId="7FB6E387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三是结构聚能提升，实现战略深耕打开增长新空间。依托“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基四箭”区域深耕策略，柯桥、义乌、越城、滨海等核心战区动能迸发。柯桥、义乌营收增速分别达15.69%、17.80%；越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城板块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利润增速达19.98%；股权投资实现跨区域协同突破，对永康、苍南农商行持股比例增至6.96%和7.53%，投资收益1.11亿元，同比大幅提升，标志着瑞丰从“本土主办银行”向“区域金融生态构建者”的能级跨越。</w:t>
            </w:r>
          </w:p>
          <w:p w14:paraId="65BD7959" w14:textId="2C637B28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四是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风控韧能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提升，实现风险经营与业务增长动态平衡。强化风险防控向风险经营转变理念，围绕战略、组织、制度和系统的多维立体生态，打造全面风险经营体系。2024年，制造业贷款、普惠小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微贷款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增量居柯桥区首位；个人贷款中经营贷、消费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贷分别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增长16.07%和</w:t>
            </w:r>
            <w:r w:rsidRPr="002C051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29.89%，尽管2024全年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贷不良率有所上升，但下半年不良新增额占比下降，风险与收益的平衡能力成为核心竞争力。</w:t>
            </w:r>
          </w:p>
          <w:p w14:paraId="30E54863" w14:textId="28E13DD5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五是价值势能提升，实现商业价值与社会责任双轮驱动。以“三好理念”为指引，实现品牌价值与社会影响力共振。2024年，我们打造绍兴首个金融反诈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研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学基地、首次冠名绍兴马拉松、首次面向全国推出“瑞丰公开课”；发布“2461”品牌体系；获评“浙江省民企最满意银行”“全国工人先锋号”等荣誉，商业价值与社会价值的协同势能加速释放。</w:t>
            </w:r>
          </w:p>
          <w:p w14:paraId="6716DDDF" w14:textId="1AB5C4BC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二、直面挑战，瑞丰坚持“用能量扛压”</w:t>
            </w:r>
          </w:p>
          <w:p w14:paraId="734AA108" w14:textId="1A9013B5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面对复杂环境，瑞丰银行以差异化竞争策略和深耕能力，展现出应对挑战的“能量底气”。</w:t>
            </w:r>
          </w:p>
          <w:p w14:paraId="111094C3" w14:textId="00B48CB2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一是以区域经济的共生能量，应对外贸冲击。一直以来，瑞丰银行依托与柯桥纺织业“三次产业革命”的共生经验，构建“地缘+产业+文化”服务模式。2024年实现制造业贷款、国际结算等业务增量迅猛，“五篇大文章”综合评价位居绍兴市银行机构首位，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科创金融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、绿色金融成为新增长点，有力印证了我们与区域经济“同频抗压”的能力。</w:t>
            </w:r>
          </w:p>
          <w:p w14:paraId="4427C333" w14:textId="029906AD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二是以零售转型的差异化能量，破解转型瓶颈。在息差收窄、风险下行的大环境下，瑞丰银行最坚实的能量底气，就是“十五年磨一剑”的零售转型构筑护城河：170万活跃零售客户、67%小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微贷款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占比形成金字塔底座。深耕本土客群，逐步形成客户综合化经营模式，正是这种“越陈越香”的深耕能力，成为穿越周期的关键支撑。</w:t>
            </w:r>
          </w:p>
          <w:p w14:paraId="44784482" w14:textId="3EFABEB4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三是以“毛细血管式”渗透能量，应对同业竞争。瑞丰银行以73年本土深耕形成了不可复制的渠道优势。柯桥区每3个家庭中2个选择瑞丰，每5家规上企业4家与瑞丰合作。近年来，通过“瑞丰邻家”“数字客群”等场景联动和运营创新，持续深耕社区，巩固并扩大了市场份额第一的领先地位。</w:t>
            </w:r>
          </w:p>
          <w:p w14:paraId="54E905EB" w14:textId="68364EFB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三、面向未来，瑞丰坚持“用能力破圈”</w:t>
            </w:r>
          </w:p>
          <w:p w14:paraId="0A94E848" w14:textId="3B73EE18" w:rsidR="002C0513" w:rsidRPr="002C0513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直面“能力时代”，瑞丰银行以五大核心能力建设，开启高质量</w:t>
            </w:r>
            <w:r w:rsidRPr="002C051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发展新篇章。具体来说，一是坚持“战略能力”为舵，锚定方向，引领生态重构。以“1235高质量发展战略”为指南，实现“前瞻布局+长期主义”；通过“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基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箭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策”差异化定位，实现“地缘深耕+产业联动”，突破发展边界。二是坚持“客户能力”为根，分层深耕，激活价值本源。逐步构建起“零售、公司、普惠、国业、金市”五线协同的客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群经营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体系，以“分层经营+场景融合”突破服务边界，实现客户从“单一触达”到“全生命周期价值运营”。三是坚持“风控能力”为盾，智能固防，筑牢安全底线。我们提出重塑“资负-业务-风险”三线联动机制，以“数字风控+主动经营”突破传统风险管理模式，实现从被动防御到智能驱动型风险经营。四是坚持“队伍能力”为脉，组织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焕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新，激活人才动能。大力倡导“四看四不看”用人导向，即“不看背景看实绩，不看资历看能力，不看过往看当下，不看表象看人品”，以“组织变革+人才激活”突破队伍管理模式，推动从金字塔管理到敏捷型赋能组织建设。五是坚持“科技能力”为翼，突破数字边界，迎接智能时代。近年来，我们紧紧依托浙江农商联合银行平台，全力打造“小银行+大中台”科技体系，推动平台破壁、数据破局、工具突围，成为浙江农商银行系统数字化标杆行。今年，我们还将建设18个数字化“纤引计划”“纤梭计划”，推动“数字银行”迈向“智能银行”，构建“体验式银行”新范式。</w:t>
            </w:r>
          </w:p>
          <w:p w14:paraId="37CD766B" w14:textId="37A0BD63" w:rsidR="005E354C" w:rsidRDefault="002C0513" w:rsidP="002C051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C0513">
              <w:rPr>
                <w:rFonts w:asciiTheme="minorEastAsia" w:eastAsiaTheme="minorEastAsia" w:hAnsiTheme="minorEastAsia" w:hint="eastAsia"/>
                <w:sz w:val="24"/>
              </w:rPr>
              <w:t>各位投资者、各位网友：我们深知，从“机会时代”迈向“能力时代”，意味着我们要告别红利时代，真正靠本事赚钱。有人说这是艰难时刻，但这也是公平时代！瑞丰人必将以能级验证实力，以能量应对挑战，以能力锚定未来，期待与大家一路同行、</w:t>
            </w:r>
            <w:proofErr w:type="gramStart"/>
            <w:r w:rsidRPr="002C0513">
              <w:rPr>
                <w:rFonts w:asciiTheme="minorEastAsia" w:eastAsiaTheme="minorEastAsia" w:hAnsiTheme="minorEastAsia" w:hint="eastAsia"/>
                <w:sz w:val="24"/>
              </w:rPr>
              <w:t>再瑞再</w:t>
            </w:r>
            <w:proofErr w:type="gramEnd"/>
            <w:r w:rsidRPr="002C0513">
              <w:rPr>
                <w:rFonts w:asciiTheme="minorEastAsia" w:eastAsiaTheme="minorEastAsia" w:hAnsiTheme="minorEastAsia" w:hint="eastAsia"/>
                <w:sz w:val="24"/>
              </w:rPr>
              <w:t>丰！谢谢大家！</w:t>
            </w:r>
          </w:p>
          <w:p w14:paraId="4D892C02" w14:textId="4580E3B6" w:rsidR="00DF6F78" w:rsidRDefault="00DF6F78" w:rsidP="00730B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Pr="00DF6F78">
              <w:rPr>
                <w:rFonts w:asciiTheme="minorEastAsia" w:eastAsiaTheme="minorEastAsia" w:hAnsiTheme="minorEastAsia" w:hint="eastAsia"/>
                <w:sz w:val="24"/>
              </w:rPr>
              <w:t>接下来有请公司党委副书记、董事、行长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陈钢梁</w:t>
            </w:r>
            <w:r w:rsidRPr="00DF6F78">
              <w:rPr>
                <w:rFonts w:asciiTheme="minorEastAsia" w:eastAsiaTheme="minorEastAsia" w:hAnsiTheme="minorEastAsia" w:hint="eastAsia"/>
                <w:sz w:val="24"/>
              </w:rPr>
              <w:t>先生为大家全面解读202</w:t>
            </w:r>
            <w:r w:rsidR="002D4637">
              <w:rPr>
                <w:rFonts w:asciiTheme="minorEastAsia" w:eastAsiaTheme="minorEastAsia" w:hAnsiTheme="minorEastAsia"/>
                <w:sz w:val="24"/>
              </w:rPr>
              <w:t>4</w:t>
            </w:r>
            <w:r w:rsidRPr="00DF6F78">
              <w:rPr>
                <w:rFonts w:asciiTheme="minorEastAsia" w:eastAsiaTheme="minorEastAsia" w:hAnsiTheme="minorEastAsia" w:hint="eastAsia"/>
                <w:sz w:val="24"/>
              </w:rPr>
              <w:t>年度业绩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！</w:t>
            </w:r>
          </w:p>
          <w:p w14:paraId="36819997" w14:textId="362A1B27" w:rsidR="00DF6F78" w:rsidRDefault="00430772" w:rsidP="00730BDB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430772">
              <w:rPr>
                <w:rFonts w:asciiTheme="minorEastAsia" w:eastAsiaTheme="minorEastAsia" w:hAnsiTheme="minorEastAsia" w:hint="eastAsia"/>
                <w:sz w:val="24"/>
              </w:rPr>
              <w:t>党委副书记、董事、行长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陈钢梁</w:t>
            </w:r>
            <w:r w:rsidR="00DF6F78">
              <w:rPr>
                <w:rFonts w:asciiTheme="minorEastAsia" w:eastAsiaTheme="minorEastAsia" w:hAnsiTheme="minorEastAsia" w:hint="eastAsia"/>
                <w:sz w:val="24"/>
              </w:rPr>
              <w:t>以</w:t>
            </w:r>
            <w:r w:rsidR="00DF6F78" w:rsidRPr="00DF6F78">
              <w:rPr>
                <w:rFonts w:asciiTheme="minorEastAsia" w:eastAsiaTheme="minorEastAsia" w:hAnsiTheme="minorEastAsia" w:hint="eastAsia"/>
                <w:sz w:val="24"/>
              </w:rPr>
              <w:t>PPT形式解读202</w:t>
            </w:r>
            <w:r w:rsidR="002D4637">
              <w:rPr>
                <w:rFonts w:asciiTheme="minorEastAsia" w:eastAsiaTheme="minorEastAsia" w:hAnsiTheme="minorEastAsia"/>
                <w:sz w:val="24"/>
              </w:rPr>
              <w:t>4</w:t>
            </w:r>
            <w:r w:rsidR="00DF6F78" w:rsidRPr="00DF6F78">
              <w:rPr>
                <w:rFonts w:asciiTheme="minorEastAsia" w:eastAsiaTheme="minorEastAsia" w:hAnsiTheme="minorEastAsia" w:hint="eastAsia"/>
                <w:sz w:val="24"/>
              </w:rPr>
              <w:t>年度瑞丰银行的业绩情况。</w:t>
            </w:r>
          </w:p>
          <w:p w14:paraId="38BB697B" w14:textId="45297C35" w:rsidR="005E354C" w:rsidRDefault="00542F85" w:rsidP="00D9756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文字互动交流环节</w:t>
            </w:r>
            <w:r w:rsidR="005E354C"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65C359B4" w14:textId="43B4703F" w:rsidR="005E354C" w:rsidRDefault="005E354C" w:rsidP="00D9756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2D4637" w:rsidRPr="002D4637">
              <w:rPr>
                <w:rFonts w:asciiTheme="minorEastAsia" w:eastAsiaTheme="minorEastAsia" w:hAnsiTheme="minorEastAsia" w:hint="eastAsia"/>
                <w:sz w:val="24"/>
              </w:rPr>
              <w:t xml:space="preserve"> 2025年以来存款增长情况如何？今年存款成本下降空间如何判断？</w:t>
            </w:r>
          </w:p>
          <w:p w14:paraId="2414BD11" w14:textId="03D2CE72" w:rsidR="002D4637" w:rsidRPr="002D4637" w:rsidRDefault="005E354C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2D4637" w:rsidRPr="002D4637">
              <w:rPr>
                <w:rFonts w:asciiTheme="minorEastAsia" w:eastAsiaTheme="minorEastAsia" w:hAnsiTheme="minorEastAsia" w:hint="eastAsia"/>
                <w:sz w:val="24"/>
              </w:rPr>
              <w:t>您好！2025年以来我行存款稳步增长，高成本存款逐步退出，整体保持较好增速。从存款成本来看，有较大的回降空间，我们预测回降幅度较去年有明显扩大，主要基于如下两方面：</w:t>
            </w:r>
          </w:p>
          <w:p w14:paraId="4AA5FC48" w14:textId="77777777" w:rsidR="002D4637" w:rsidRPr="002D4637" w:rsidRDefault="002D4637" w:rsidP="002D463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2D4637">
              <w:rPr>
                <w:rFonts w:asciiTheme="minorEastAsia" w:eastAsiaTheme="minorEastAsia" w:hAnsiTheme="minorEastAsia" w:hint="eastAsia"/>
                <w:sz w:val="24"/>
              </w:rPr>
              <w:t>一是存款自律机制引导市场存款成本下调，去年11月9日以来，存款自律机制上限利率较前期明显回调，尤其是长端利率，且2025年仍存在较大的回调可能性，利好金融机构整体管控成本。</w:t>
            </w:r>
          </w:p>
          <w:p w14:paraId="4D6A7E76" w14:textId="77777777" w:rsidR="002D4637" w:rsidRDefault="002D4637" w:rsidP="002D463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D4637">
              <w:rPr>
                <w:rFonts w:asciiTheme="minorEastAsia" w:eastAsiaTheme="minorEastAsia" w:hAnsiTheme="minorEastAsia" w:hint="eastAsia"/>
                <w:sz w:val="24"/>
              </w:rPr>
              <w:t>二是存款结构调优，对公存款端重点做好低成本结算存款的提升，主要措施包括：抓好账户促活提升存款留存，抓好核心客户和星级客户提升来提升客户在我行存款口袋份额，抓好信贷客户存款归行，推动基础客户基础存款集聚。谢谢！</w:t>
            </w:r>
          </w:p>
          <w:p w14:paraId="329A8963" w14:textId="41FB7D00" w:rsidR="00D2365E" w:rsidRDefault="00D2365E" w:rsidP="002D463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 w:rsidR="006E1BA9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瑞丰银行2024年营收实现了快速增长，请问今年有什么应对举措以实现营收平稳表现？</w:t>
            </w:r>
          </w:p>
          <w:p w14:paraId="3080C962" w14:textId="77777777" w:rsidR="006E1BA9" w:rsidRPr="006E1BA9" w:rsidRDefault="00D2365E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您好！从全行来看，推动营收平稳增长举措主要有：</w:t>
            </w:r>
          </w:p>
          <w:p w14:paraId="57BA9256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一是加快贷款投放。结合当前我行经营管理需要、区域市场环境，考虑贷款利率持续下行的趋势，推动贷款早投放、多投放，尽早实现全年贷款投放目标；强化利率优惠管理，优化贷款利率定价体系，适当提高贷款指导利率水平，提高客户区分度、增加优惠项，结合客户综合贡献，突出客户差异化定价，增加客户综合营销。</w:t>
            </w:r>
          </w:p>
          <w:p w14:paraId="2B8CD000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二是加强存款成本管控，优化存款结构。有序降低存款产品利率，优化结构，逐步下调存款产品利率，加大低成本存款拓展力度。</w:t>
            </w:r>
          </w:p>
          <w:p w14:paraId="541452E9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三是优化以利润为导向的绩效考核体系，突出价值导向。重点围绕营业收入、人均创收、存贷利差、基础客群等，对贷款户数、低成本存款等导向性指标加大考核力度。</w:t>
            </w:r>
          </w:p>
          <w:p w14:paraId="4CF41911" w14:textId="2ABD965A" w:rsidR="00D2365E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四是继续推进全行范围内的降本增效工作，深化全行“过紧日子”的理念。优化完善降本增效管理机制、考核机制，将降本增效管理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深入触达支行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和条线，通过利润挖潜促进营收的平稳增长。谢谢!</w:t>
            </w:r>
          </w:p>
          <w:p w14:paraId="5318A4AE" w14:textId="275BDB0B" w:rsidR="00D2365E" w:rsidRDefault="00D2365E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 xml:space="preserve"> 今年</w:t>
            </w:r>
            <w:proofErr w:type="spell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deepseek</w:t>
            </w:r>
            <w:proofErr w:type="spell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这么火，请问咱们瑞丰银行跟哪些科技企业有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合作？</w:t>
            </w:r>
          </w:p>
          <w:p w14:paraId="395CC10F" w14:textId="234A08F2" w:rsidR="00D2365E" w:rsidRDefault="00D2365E" w:rsidP="005C57A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您好！我行高度重视数字化转型战略，对于以大模型为代表的人工智能技术，我们已经在搭建行内大模型平台，推动典型场景应用，纳入</w:t>
            </w:r>
            <w:r w:rsidR="003B5EF6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3B5EF6">
              <w:rPr>
                <w:rFonts w:asciiTheme="minorEastAsia" w:eastAsiaTheme="minorEastAsia" w:hAnsiTheme="minorEastAsia"/>
                <w:sz w:val="24"/>
              </w:rPr>
              <w:t>0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25年的战略工作，有序推进人工智能在行内的应用落地。作为中小银行聚焦“高价值场景优先突破、合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规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体系全程护航、技术架构分层完善、全场景可追述”做突破。一是场景应用选择。优先考虑从“高ROI、低门槛、技术成熟”的场景突破，从文档自动化、代码编写、内部智能问题以及员工营销助手等方面入手，后期逐步渗透至投资研究、客户准入识别、厅堂服务、线上面客等核心业务场景。二是数据合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规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建设。通过隐私计算技术实现数据“可用不可见”，敏感数据本地处理，通用能力借助外部平台。三是技术路径选择。采用混合架构设计，在利用隐私计算等方式实现跨机构的数据协调基础上，采用“中央知识库+边缘端”的混合中台架构，保障本地化大模型平台的差异化优势。四是模型追述审计。建立模型决策全链路可追溯的安全管理机制，保障AI模型的公平性、透明度，确保符合相关要求。谢谢！</w:t>
            </w:r>
          </w:p>
          <w:p w14:paraId="49729BC8" w14:textId="7D84CB58" w:rsidR="00D2365E" w:rsidRDefault="00D2365E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C51A0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高管您好，请问贵公司本期财务报告中，盈利表现如何？</w:t>
            </w:r>
          </w:p>
          <w:p w14:paraId="457EA56C" w14:textId="77777777" w:rsidR="006E1BA9" w:rsidRDefault="00D546B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2024年，本行锚定“高质量”、打好“必赢战”、奋进“双一流”，整体经营发展有序、风险可控、盈利稳健。2024年，本行实现营业收入43.85亿元，较上年度增长15.29%，在同业中居于前列；实现归属于上市公司股东的净利润19.22亿元，较上年度增长11.27%，保持了较好的韧劲；基本每股收益为0.98元/股，较上年度增长11.36%。谢谢！</w:t>
            </w:r>
          </w:p>
          <w:p w14:paraId="5B14DF05" w14:textId="35C505B8" w:rsidR="00D546B9" w:rsidRDefault="00D546B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请问陈行长，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刚您在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介绍PPT的时候提到了数字赋能，目前这一块发展到什么程度了？</w:t>
            </w:r>
          </w:p>
          <w:p w14:paraId="40D775D4" w14:textId="1EA9F667" w:rsidR="00735BDC" w:rsidRDefault="00D546B9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我们数字赋能体系细分为：战略规划、组织敏捷、场景生态、客群运营、产品风控、数据资产、人才培育、安全可控等八大支撑体系。围绕着客户的全生命周期洞察，通过线上场景，线下网点，社区+App等关键渠道，实现客户洞察-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触达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-服务-运营-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粘客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-留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客的闭环运营。从有温度的服务，到风险的合理定价，到客户价值的综合挖掘，到经营客户的社群关系，产业链赋能，都有数据驱动来实现。对客户经理，作业团队都有数字化管理平台来赋能和监测，不断完善对客户洞察的深度，提升在展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业区域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内的全量客户的经营智能化程度，极大的提高了银行前台客户提效，中台风险洞察和后台效率赋能的成效。实现了营销赋能、运营赋能、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风控赋能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、客户赋能、管理赋能等体系性突破。谢谢！</w:t>
            </w:r>
          </w:p>
          <w:p w14:paraId="6DB10E7B" w14:textId="30285A1F" w:rsidR="005353E5" w:rsidRDefault="005353E5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C51A0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瑞丰银行投资参股了哪几家农商银行</w:t>
            </w:r>
            <w:r w:rsidR="006E1BA9">
              <w:rPr>
                <w:rFonts w:asciiTheme="minorEastAsia" w:eastAsiaTheme="minorEastAsia" w:hAnsiTheme="minorEastAsia" w:hint="eastAsia"/>
                <w:sz w:val="24"/>
              </w:rPr>
              <w:t>？</w:t>
            </w:r>
          </w:p>
          <w:p w14:paraId="77E854A2" w14:textId="50733E52" w:rsidR="005353E5" w:rsidRDefault="005353E5" w:rsidP="00735BD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目前，我们已经投资参股了浙江永康农村商业银行、浙江苍南农村商业银行，持股比例分别为6.96%、7.53%，均是其第一大股东。同时，我行还在嵊州发起设立了嵊州瑞丰村镇银行，持股比例为51.99%。后续，我们将根据战略规划，有序做好相关工作。谢谢！</w:t>
            </w:r>
          </w:p>
          <w:p w14:paraId="09BBFB99" w14:textId="14789EC1" w:rsidR="005353E5" w:rsidRDefault="005353E5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C51A0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高管您好，请问贵公司未来盈利增长的主要驱动因素有哪些？</w:t>
            </w:r>
          </w:p>
          <w:p w14:paraId="66F86F41" w14:textId="77777777" w:rsidR="006E1BA9" w:rsidRPr="006E1BA9" w:rsidRDefault="005353E5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您好！本行将坚决落实中央金融工作会议精神，坚持“金融服务实体经济”的根本宗旨。从三方面入手，通过“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基四箭”扩大经营客群数量，提高各大区域市场份额占比；以数字化驱动为抓手，强化客户经营综合力度，提升客户综合价值贡献；强化全面预算管理和降本增效工作，推动我行各项运营效率。在业务布局上以大零售为体，普惠、公司、金融市场为三翼，推动各项业务高质量发展。</w:t>
            </w:r>
          </w:p>
          <w:p w14:paraId="63D10E1E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普惠金融方面，本行将持续加大对“三农”、小微等普惠领域的金融支持力度，牢牢把握“支农支小”核心战略方向，扎根农村社区，持续优化“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乡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城一市”普惠服务模式，坚持“网格化、全服务、零距离”打法，服务好农村百姓，坚持“广覆盖、高黏度、差异化”打法，服务好城市居民，全面提升普惠金融业务板块的服务深度和广度。</w:t>
            </w:r>
          </w:p>
          <w:p w14:paraId="66177840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公司金融方面，本行将以业务创新和产品创新为抓手，以全员营销推动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渠道建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联，拓宽客户覆盖面；分层分类推动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全员管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户，挖掘增量业务价值；加强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政银合作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协同发展，推进财政业务深度合作等多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措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并举，全面推进建立覆盖企业全生命周期的商机运营体系。</w:t>
            </w:r>
          </w:p>
          <w:p w14:paraId="7CD72A50" w14:textId="2D6D29E9" w:rsidR="00735BDC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金融市场方面，本行金融市场业务将继续坚持“回归本源、服务实体”初心使命，坚守“业务稳健与创新并举”战略定位，面对净息差持续收窄的趋势，强化金融市场业务利润贡献，构建本行利润多元化基础，强化盈利韧性。谢谢！</w:t>
            </w:r>
          </w:p>
          <w:p w14:paraId="40762E71" w14:textId="353C36DC" w:rsidR="005353E5" w:rsidRDefault="005353E5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C51A0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2025年在做好五篇大文章方面，贵行在组织架构、顶层设计、资源调配等方面有哪些思路和打法？</w:t>
            </w:r>
          </w:p>
          <w:p w14:paraId="390505B2" w14:textId="77777777" w:rsidR="006E1BA9" w:rsidRPr="006E1BA9" w:rsidRDefault="005353E5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做好金融“五篇大文章”既是推动经济转型升级的新动能，也是未来金融政策、金融服务和金融创新的落脚点，更是我们农商银行奋进高质量、再创新模式的根本遵循和行动指南。去年以来，瑞丰银行全面落实各级党委政府要求，紧扣省行战略要求，坚持“金融重实体”鲜明导向，创新做好金融“五篇大文章”，在服务区域经济社会高质量发展的同时实现自身高质量发展。我们始终牢记金融服务实体经济的初心使命，紧跟国家和区域发展战略，以“五篇大文章”为抓手，出台“五大金融”三年方案，面向社会发布“五大金融”行动计划，打造“1+6+N”的科技金融服务体系、产业化绿色金融服务体系、标准化普惠金融服务体系、多元化养老金融服务体系和增值式数字金融服务体系，为各类市场主体提供高效、精准、便捷的综合金融服务，“五篇大文章”综合指标评价位居全市第一。具体举措方面：</w:t>
            </w:r>
          </w:p>
          <w:p w14:paraId="10B84F1D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一是紧扣“五篇大文章”，画好“路线图”。自2024年开始瑞丰紧跟国家重点战略部署，前瞻布局，将金融“五篇大文章”写入“1235”高质量发展战略，明晰瑞丰未来一个时期集中发力、补齐短板的重点领域。从战略愿景、目标、路径、举措等方面构建落实金融“五篇大文章”的体制机制，直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击当前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金融薄弱点，优化资金供给结构，把更多金融资源用于促进新质生产力、科技创新、绿色发展和中小微企业，推动养老产业升级，补齐民生短板。</w:t>
            </w:r>
          </w:p>
          <w:p w14:paraId="09BFD006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二是紧扣“五篇大文章”，建立“新机制”。结合自身实际制定并出台了“五篇大文章”高质量发展三年行动计划，将战略分解落地到各个业务板块、压实责任、闭环管理。成立了由党委书记、董事长“一</w:t>
            </w:r>
            <w:r w:rsidRPr="006E1BA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把手”任组长，行班子成员共同参与的科技金融、绿色金融、普惠金融、养老金融、数字金融五个专班小组，统筹全行“五篇大文章”的战略规划与落地见效。</w:t>
            </w:r>
          </w:p>
          <w:p w14:paraId="1E9C2A68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三是紧扣“五篇大文章”，找到“突破口”。完善客户经理“敢贷、愿贷、能贷、会贷”机制，打通“不愿贷、不敢贷”堵点。针对重点领域，实施尽职免责机制。建立以省行创投指数和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九维评价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指数等定量标准为主的白名单机制，针对白名单企业，在测算的最高融资额度内，实施尽职免责机制。</w:t>
            </w:r>
          </w:p>
          <w:p w14:paraId="22AD2754" w14:textId="6813A268" w:rsidR="005353E5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四是紧扣“五篇大文章”，用好“指挥棒”。充分发挥考核指挥棒作用，调动全行积极性，推动五篇大文章高质量发展。例如，开展科技金融专项考核，组织开展“科技金融服务月”活动，按旬播报走访营销进度，并实施积分奖励。谢谢！</w:t>
            </w:r>
          </w:p>
          <w:p w14:paraId="64A7903E" w14:textId="440F68EC" w:rsidR="005353E5" w:rsidRDefault="005353E5" w:rsidP="00D2365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="006C51A0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贵行2024年净息差情况如何？如何看2025年息差趋势，稳息差有哪些举措？</w:t>
            </w:r>
          </w:p>
          <w:p w14:paraId="293B2005" w14:textId="77777777" w:rsidR="006E1BA9" w:rsidRPr="006E1BA9" w:rsidRDefault="00417C48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您好！2023年末、2024年末，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我行净息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差分别为1.73%、1.50%，较上年度分别下降48BP、23BP，息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差下降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幅度明显收窄。未来，我们把稳定息差作为“硬指标”，将以“息差”为核心的盈利能力提升作为核心管理和抓手，通过盈利模式的转型构建穿越周期的经营韧性，持续提升股东回报。具体管理举措包括：</w:t>
            </w:r>
          </w:p>
          <w:p w14:paraId="5C482619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一是发挥经济资本、内部资金转移定价等政策的“指挥棒”作用，全方位调整优化资产、负债、客户、收益和渠道结构，推动息差趋稳。</w:t>
            </w:r>
          </w:p>
          <w:p w14:paraId="56EA7575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二是强化负债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端成本管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控，加大低成本存款拓展力度，加强存款产品额度管控和利率管理，强化柜面引导，优化存款结构，全力压降存款成本。</w:t>
            </w:r>
          </w:p>
          <w:p w14:paraId="7BA8E450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三是着力优化资产结构，在提升风险管理能力的前提下，加大对高收益类资产的投放，优化贷款结构，稳定收益水平。</w:t>
            </w:r>
          </w:p>
          <w:p w14:paraId="15BA1898" w14:textId="194BD6F6" w:rsidR="00417C48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随着负债端、资产端结构、定价的调整，预计2025年净息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差水平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持续走低的问题将得到缓解，或将逐步企稳。谢谢！</w:t>
            </w:r>
          </w:p>
          <w:p w14:paraId="643D4FB3" w14:textId="4CA63CA0" w:rsidR="00417C48" w:rsidRDefault="00417C48" w:rsidP="00417C4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0.</w:t>
            </w:r>
            <w:r w:rsidR="006C51A0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高管您好，请问您如何看待行业未来的发展前景？</w:t>
            </w:r>
          </w:p>
          <w:p w14:paraId="070EFC1B" w14:textId="77777777" w:rsidR="006E1BA9" w:rsidRPr="006E1BA9" w:rsidRDefault="00417C48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近年来，全球经济不确定风险较以往显著增大，以俄乌冲突、巴以冲突、中美贸易摩擦等为代表的地缘冲突、贸易战持续升级，对我国构建以国内大循环为主体、国内国际双循环相互促进的新发展格局提出了更多挑战，商业银行经营环境的风险挑战较以往也显著增多。与此同时，以人工智能、半导体为代表的科学技术快速发展，社会生产力水平大幅提高，科技的进步和社会的发展为商业银行的经营发展也提供了更多机遇。</w:t>
            </w:r>
          </w:p>
          <w:p w14:paraId="7F991003" w14:textId="64EA3913" w:rsidR="00417C48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面对机遇与挑战，本行将坚持以习近平新时代中国特色社会主义思想为指导，深入贯彻落实党的二十大会议精神，坚持“金融服务实体经济”的根本宗旨，基于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“1235”愿景目标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，以“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一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基四箭”为引擎，坚持“做小做散做特色、做实做精做持久”，聚焦“质的有效提升”与“量的合理增长”动态平衡，做好做深做实科技金融、绿色金融、普惠金融、养老金融、数字金融五篇大文章。谢谢！</w:t>
            </w:r>
          </w:p>
          <w:p w14:paraId="56FD8D10" w14:textId="011C9ECE" w:rsidR="00417C48" w:rsidRDefault="00417C48" w:rsidP="00417C4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1.</w:t>
            </w:r>
            <w:r w:rsidR="006C51A0">
              <w:rPr>
                <w:rFonts w:hint="eastAsia"/>
              </w:rPr>
              <w:t xml:space="preserve"> 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贵行外贸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型客户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有多少？比例多大？最近，美国关税风波对贵行的外贸型企业客户的影响将如何？贵行将采取怎样的措施应对？帮助这些企业渡过难关？</w:t>
            </w:r>
          </w:p>
          <w:p w14:paraId="590E1950" w14:textId="77777777" w:rsidR="006E1BA9" w:rsidRPr="006E1BA9" w:rsidRDefault="00417C48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您好！4月初，关税加征事件爆发以来，我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行持续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关注其对区域内经营企业的影响，并评估其对本行的影响。</w:t>
            </w:r>
          </w:p>
          <w:p w14:paraId="0CEDFA84" w14:textId="44E1366D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从数据的层面来讲，柯桥区和义乌区虽为出口导向型经济，但直接出口美国的占比不高，低于全国和浙江省水平，主要的出口及转口贸易国家包括RCEP成员国、非洲、中亚和东南亚等地区，总的来讲，关税加征对区域内的企业影响肯定是深远的，但相对比来看，柯桥和义乌两大区域受到的影响并不显著。</w:t>
            </w:r>
          </w:p>
          <w:p w14:paraId="20B05560" w14:textId="74815CC6" w:rsidR="006E1BA9" w:rsidRPr="006E1BA9" w:rsidRDefault="00CA4B08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从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我行的应对举措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来看，主要有以下几点：</w:t>
            </w:r>
          </w:p>
          <w:p w14:paraId="27C7F8ED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一是加大政策分析及对客指导。针对美国政策变动情况，及时梳理分析潜在影响，通过外贸企业的走访，收集经营痛点与难点，并配套综合性金融服务方案。</w:t>
            </w:r>
          </w:p>
          <w:p w14:paraId="3DA566A7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二是充分运用汇率避险产品。针对汇率波动较大情况，运用“线上+线下”汇率避险业务配套，提升外贸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企业汇率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风险管理有效性，</w:t>
            </w:r>
            <w:r w:rsidRPr="006E1BA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更好应对汇率波动；</w:t>
            </w:r>
          </w:p>
          <w:p w14:paraId="0D5FE43F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三是持续开展减费让利行动。开展场景化的汇率、费率、利率优惠行动，</w:t>
            </w:r>
            <w:proofErr w:type="gramStart"/>
            <w:r w:rsidRPr="006E1BA9">
              <w:rPr>
                <w:rFonts w:asciiTheme="minorEastAsia" w:eastAsiaTheme="minorEastAsia" w:hAnsiTheme="minorEastAsia" w:hint="eastAsia"/>
                <w:sz w:val="24"/>
              </w:rPr>
              <w:t>助力外贸</w:t>
            </w:r>
            <w:proofErr w:type="gramEnd"/>
            <w:r w:rsidRPr="006E1BA9">
              <w:rPr>
                <w:rFonts w:asciiTheme="minorEastAsia" w:eastAsiaTheme="minorEastAsia" w:hAnsiTheme="minorEastAsia" w:hint="eastAsia"/>
                <w:sz w:val="24"/>
              </w:rPr>
              <w:t>企业减负增效。</w:t>
            </w:r>
          </w:p>
          <w:p w14:paraId="32C3F49E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四是加强对客户的走访跟进及贷后管理，针对企业收款异常等情况进行实时监测，做好紧急预案，实时调整信贷准入和退出标准；</w:t>
            </w:r>
          </w:p>
          <w:p w14:paraId="228C1FED" w14:textId="77777777" w:rsidR="006E1BA9" w:rsidRP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五是坚持金融工作政治性、人民性，与客户同舟共济、共克时艰，对于短时出现流动性或转型困难的企业，不抽贷、收贷。</w:t>
            </w:r>
          </w:p>
          <w:p w14:paraId="788A707F" w14:textId="74B1885B" w:rsidR="006C51A0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E1BA9">
              <w:rPr>
                <w:rFonts w:asciiTheme="minorEastAsia" w:eastAsiaTheme="minorEastAsia" w:hAnsiTheme="minorEastAsia" w:hint="eastAsia"/>
                <w:sz w:val="24"/>
              </w:rPr>
              <w:t>六是对于信贷违约风险进行前瞻性判断，加大拨备计提力度，提升风险抵御能力。谢谢！</w:t>
            </w:r>
          </w:p>
          <w:p w14:paraId="619BEA45" w14:textId="3395A7F4" w:rsidR="00417C48" w:rsidRDefault="00417C48" w:rsidP="006C51A0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2.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 xml:space="preserve"> 2024年为什么员工平均薪酬下降，高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管工资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上升</w:t>
            </w:r>
            <w:r w:rsidR="000D30DC" w:rsidRPr="000D30DC">
              <w:rPr>
                <w:rFonts w:asciiTheme="minorEastAsia" w:eastAsiaTheme="minorEastAsia" w:hAnsiTheme="minorEastAsia" w:hint="eastAsia"/>
                <w:sz w:val="24"/>
              </w:rPr>
              <w:t>？</w:t>
            </w:r>
          </w:p>
          <w:p w14:paraId="38A43132" w14:textId="11A0110F" w:rsidR="00417C48" w:rsidRDefault="00417C48" w:rsidP="00417C4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您好！2024年，本行员工薪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酬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总额略</w:t>
            </w:r>
            <w:r w:rsidR="00CA4B08">
              <w:rPr>
                <w:rFonts w:asciiTheme="minorEastAsia" w:eastAsiaTheme="minorEastAsia" w:hAnsiTheme="minorEastAsia" w:hint="eastAsia"/>
                <w:sz w:val="24"/>
              </w:rPr>
              <w:t>微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下降，但2024年本行通过加大岗位整合优化，员工总数较2023年</w:t>
            </w:r>
            <w:r w:rsidR="002B3A7D">
              <w:rPr>
                <w:rFonts w:asciiTheme="minorEastAsia" w:eastAsiaTheme="minorEastAsia" w:hAnsiTheme="minorEastAsia" w:hint="eastAsia"/>
                <w:sz w:val="24"/>
              </w:rPr>
              <w:t>也</w:t>
            </w:r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有所下降，故2024年员工平均薪酬总体稳定，略有上升。高管层面，由于2023年本行高管变动，在本行岗位月份存在口径差异，实际2024</w:t>
            </w:r>
            <w:proofErr w:type="gramStart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年高管</w:t>
            </w:r>
            <w:proofErr w:type="gramEnd"/>
            <w:r w:rsidR="006E1BA9" w:rsidRPr="006E1BA9">
              <w:rPr>
                <w:rFonts w:asciiTheme="minorEastAsia" w:eastAsiaTheme="minorEastAsia" w:hAnsiTheme="minorEastAsia" w:hint="eastAsia"/>
                <w:sz w:val="24"/>
              </w:rPr>
              <w:t>薪酬保持基本平稳。谢谢!</w:t>
            </w:r>
          </w:p>
          <w:p w14:paraId="688DEF9A" w14:textId="75E529C3" w:rsid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.</w:t>
            </w:r>
            <w:r w:rsidRPr="006E1BA9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E1BA9">
              <w:rPr>
                <w:rFonts w:asciiTheme="minorEastAsia" w:eastAsiaTheme="minorEastAsia" w:hAnsiTheme="minorEastAsia" w:hint="eastAsia"/>
                <w:sz w:val="24"/>
              </w:rPr>
              <w:t>高管您好，能否请您介绍一下本期行业整体和行业内其他主要企业的业绩表现？</w:t>
            </w:r>
          </w:p>
          <w:p w14:paraId="4981EC16" w14:textId="7F582291" w:rsidR="006E1BA9" w:rsidRDefault="006E1BA9" w:rsidP="006E1BA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答：</w:t>
            </w:r>
            <w:r w:rsidRPr="006E1BA9">
              <w:rPr>
                <w:rFonts w:asciiTheme="minorEastAsia" w:eastAsiaTheme="minorEastAsia" w:hAnsiTheme="minorEastAsia" w:hint="eastAsia"/>
                <w:sz w:val="24"/>
              </w:rPr>
              <w:t>您好！2024年，本行增长势头较好，截至2024年末，本行资产规模突破两千亿，为</w:t>
            </w:r>
            <w:bookmarkStart w:id="0" w:name="_GoBack"/>
            <w:bookmarkEnd w:id="0"/>
            <w:r w:rsidRPr="006E1BA9">
              <w:rPr>
                <w:rFonts w:asciiTheme="minorEastAsia" w:eastAsiaTheme="minorEastAsia" w:hAnsiTheme="minorEastAsia" w:hint="eastAsia"/>
                <w:sz w:val="24"/>
              </w:rPr>
              <w:t>2205.03亿元，较上年增长11.99%；2024年度，本行实现营业收入43.85亿元，较上年度增长15.29%；实现归属于上市公司股东的净利润19.22亿元，较上年度增长11.27%。2024年度本行业务发展和经营业绩增速在上市农商行中居于前列。谢谢！</w:t>
            </w:r>
          </w:p>
          <w:p w14:paraId="22E1DD1F" w14:textId="7FF801F7" w:rsidR="00417C48" w:rsidRDefault="00417C48" w:rsidP="0084400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844002">
              <w:rPr>
                <w:rFonts w:asciiTheme="minorEastAsia" w:eastAsiaTheme="minorEastAsia" w:hAnsiTheme="minorEastAsia" w:hint="eastAsia"/>
                <w:sz w:val="24"/>
              </w:rPr>
              <w:t>各位投资者、各位网友，</w:t>
            </w:r>
            <w:r w:rsidR="00844002" w:rsidRPr="00844002">
              <w:rPr>
                <w:rFonts w:asciiTheme="minorEastAsia" w:eastAsiaTheme="minorEastAsia" w:hAnsiTheme="minorEastAsia" w:hint="eastAsia"/>
                <w:sz w:val="24"/>
              </w:rPr>
              <w:t>瑞丰银行202</w:t>
            </w:r>
            <w:r w:rsidR="003B20AC">
              <w:rPr>
                <w:rFonts w:asciiTheme="minorEastAsia" w:eastAsiaTheme="minorEastAsia" w:hAnsiTheme="minorEastAsia"/>
                <w:sz w:val="24"/>
              </w:rPr>
              <w:t>4</w:t>
            </w:r>
            <w:r w:rsidR="00844002" w:rsidRPr="00844002">
              <w:rPr>
                <w:rFonts w:asciiTheme="minorEastAsia" w:eastAsiaTheme="minorEastAsia" w:hAnsiTheme="minorEastAsia" w:hint="eastAsia"/>
                <w:sz w:val="24"/>
              </w:rPr>
              <w:t>年度业绩说明会快要接近尾声了，下面有请瑞丰银行党委副书记、董事、行长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陈钢梁</w:t>
            </w:r>
            <w:r w:rsidR="00844002" w:rsidRPr="00844002">
              <w:rPr>
                <w:rFonts w:asciiTheme="minorEastAsia" w:eastAsiaTheme="minorEastAsia" w:hAnsiTheme="minorEastAsia" w:hint="eastAsia"/>
                <w:sz w:val="24"/>
              </w:rPr>
              <w:t>先生致答谢词！</w:t>
            </w:r>
            <w:r w:rsidR="00FE6212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  <w:p w14:paraId="4D909950" w14:textId="0D608C6E" w:rsidR="003B20AC" w:rsidRPr="003B20AC" w:rsidRDefault="00430772" w:rsidP="009E32D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430772">
              <w:rPr>
                <w:rFonts w:asciiTheme="minorEastAsia" w:eastAsiaTheme="minorEastAsia" w:hAnsiTheme="minorEastAsia" w:hint="eastAsia"/>
                <w:sz w:val="24"/>
              </w:rPr>
              <w:t>党委副书记、董事、行长</w:t>
            </w:r>
            <w:r w:rsidR="00542F85">
              <w:rPr>
                <w:rFonts w:asciiTheme="minorEastAsia" w:eastAsiaTheme="minorEastAsia" w:hAnsiTheme="minorEastAsia" w:hint="eastAsia"/>
                <w:sz w:val="24"/>
              </w:rPr>
              <w:t>陈钢梁</w:t>
            </w:r>
            <w:r w:rsidR="00417C48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3B20AC" w:rsidRPr="003B20AC">
              <w:rPr>
                <w:rFonts w:asciiTheme="minorEastAsia" w:eastAsiaTheme="minorEastAsia" w:hAnsiTheme="minorEastAsia" w:hint="eastAsia"/>
                <w:sz w:val="24"/>
              </w:rPr>
              <w:t>尊敬的各位投资者、各位网友</w:t>
            </w:r>
            <w:r w:rsidR="009E32D5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3B20AC" w:rsidRPr="003B20AC">
              <w:rPr>
                <w:rFonts w:asciiTheme="minorEastAsia" w:eastAsiaTheme="minorEastAsia" w:hAnsiTheme="minorEastAsia" w:hint="eastAsia"/>
                <w:sz w:val="24"/>
              </w:rPr>
              <w:t>瑞丰银行2024年度业绩说明会即将结束，感谢大家的热情参与。在此，我谨代表瑞丰银行经营层和全体员工，对广大投资者给予瑞丰银行的关注和支持表示诚挚的感谢!</w:t>
            </w:r>
          </w:p>
          <w:p w14:paraId="3F56648F" w14:textId="0CFE31CD" w:rsidR="003B20AC" w:rsidRPr="003B20AC" w:rsidRDefault="003B20AC" w:rsidP="003B20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3B20AC">
              <w:rPr>
                <w:rFonts w:asciiTheme="minorEastAsia" w:eastAsiaTheme="minorEastAsia" w:hAnsiTheme="minorEastAsia" w:hint="eastAsia"/>
                <w:sz w:val="24"/>
              </w:rPr>
              <w:lastRenderedPageBreak/>
              <w:t>今天，很高兴与大家就瑞丰银行的竞争优势、2024年经营情况及未来发展计划等开展充分交流，经过一个半小时的沟通，瑞丰银行向广大投资者坦诚汇报交流了自身的发展理念和经营思路，对于广大投资者提出的宝贵意见和建议，我们将在今后的工作中充分借鉴吸收。</w:t>
            </w:r>
          </w:p>
          <w:p w14:paraId="705C9B43" w14:textId="1C5A4AD8" w:rsidR="003B20AC" w:rsidRPr="003B20AC" w:rsidRDefault="003B20AC" w:rsidP="003B20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3B20AC">
              <w:rPr>
                <w:rFonts w:asciiTheme="minorEastAsia" w:eastAsiaTheme="minorEastAsia" w:hAnsiTheme="minorEastAsia" w:hint="eastAsia"/>
                <w:sz w:val="24"/>
              </w:rPr>
              <w:t>瑞丰银行作为一家深耕浙江的上市农商银行，将进一步坚定金融工作的政治性、人民性，聚焦“金融重实体”，坚守“姓农姓小姓土”的初心使命，持续深耕“1235”高质量发展战略，围绕“五篇大文章”，坚持“做小做散做特色、做实做精做持久”，推动“1235”高质量发展战略的有效落地，以更加优异的经营业绩回报广大投资者的关心与厚爱。</w:t>
            </w:r>
          </w:p>
          <w:p w14:paraId="2BBD46F6" w14:textId="6484CCB3" w:rsidR="003B20AC" w:rsidRPr="003B20AC" w:rsidRDefault="003B20AC" w:rsidP="003B20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3B20AC">
              <w:rPr>
                <w:rFonts w:asciiTheme="minorEastAsia" w:eastAsiaTheme="minorEastAsia" w:hAnsiTheme="minorEastAsia" w:hint="eastAsia"/>
                <w:sz w:val="24"/>
              </w:rPr>
              <w:t>本次业绩说明会，我们感受到了广大投资者对瑞丰银行的关注与支持，也感受到了投资者朋友对我们的期望和要求，使我们对未来发展更有信心。同时，我们也深深体会到一家上市公司该有的责任与担当，瑞丰银行将不负客户和投资者的期望。本次业绩说明会交流即将结束，但瑞丰银行与投资者的沟通渠道是永远畅通的。我们将通过多种形式，及时、准确、完整地披露瑞丰银行的经营状况，也随时欢迎大家通过电话、邮件、网上交流等多种形式与瑞丰银行保持沟通联系。</w:t>
            </w:r>
          </w:p>
          <w:p w14:paraId="5DF832AD" w14:textId="3B6549DE" w:rsidR="00430772" w:rsidRDefault="003B20AC" w:rsidP="003B20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B20AC">
              <w:rPr>
                <w:rFonts w:asciiTheme="minorEastAsia" w:eastAsiaTheme="minorEastAsia" w:hAnsiTheme="minorEastAsia" w:hint="eastAsia"/>
                <w:sz w:val="24"/>
              </w:rPr>
              <w:t>最后，感谢广大投资者的信任、支持和踊跃参与!感谢上海证券</w:t>
            </w:r>
            <w:proofErr w:type="gramStart"/>
            <w:r w:rsidRPr="003B20AC">
              <w:rPr>
                <w:rFonts w:asciiTheme="minorEastAsia" w:eastAsiaTheme="minorEastAsia" w:hAnsiTheme="minorEastAsia" w:hint="eastAsia"/>
                <w:sz w:val="24"/>
              </w:rPr>
              <w:t>报路演中心</w:t>
            </w:r>
            <w:proofErr w:type="gramEnd"/>
            <w:r w:rsidRPr="003B20AC">
              <w:rPr>
                <w:rFonts w:asciiTheme="minorEastAsia" w:eastAsiaTheme="minorEastAsia" w:hAnsiTheme="minorEastAsia" w:hint="eastAsia"/>
                <w:sz w:val="24"/>
              </w:rPr>
              <w:t>为我们提供这个良好的互动交流平台!谢谢大家!</w:t>
            </w:r>
          </w:p>
          <w:p w14:paraId="18DE292F" w14:textId="4ED11767" w:rsidR="00417C48" w:rsidRPr="00417C48" w:rsidRDefault="00417C48" w:rsidP="00E87C2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主持人：</w:t>
            </w:r>
            <w:r w:rsidR="00E87C22">
              <w:rPr>
                <w:rFonts w:asciiTheme="minorEastAsia" w:eastAsiaTheme="minorEastAsia" w:hAnsiTheme="minorEastAsia" w:hint="eastAsia"/>
                <w:sz w:val="24"/>
              </w:rPr>
              <w:t>各位投资者、各位网友，</w:t>
            </w:r>
            <w:r w:rsidR="009E32D5" w:rsidRPr="009E32D5">
              <w:rPr>
                <w:rFonts w:asciiTheme="minorEastAsia" w:eastAsiaTheme="minorEastAsia" w:hAnsiTheme="minorEastAsia" w:hint="eastAsia"/>
                <w:sz w:val="24"/>
              </w:rPr>
              <w:t>瑞丰银行2024年度业绩说明会即将结束，衷心感谢各位投资者、各位网友的积极参与。刚才的交流中，很高兴能与各位就公司的业务状况、财务状况、发展战略、公司治理等方面进行探讨和沟通。公司将认真地思考和研究大家提出的宝贵意见和建议，积极采纳和借鉴，努力开拓，用更好的经营成果回报广大投资者。今天的业绩说明会到此结束，谢谢各位！</w:t>
            </w:r>
          </w:p>
        </w:tc>
      </w:tr>
    </w:tbl>
    <w:p w14:paraId="01F5C13C" w14:textId="77777777" w:rsidR="00C007CF" w:rsidRPr="00470F27" w:rsidRDefault="00C007CF" w:rsidP="00194101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B175E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5416A" w14:textId="77777777" w:rsidR="005E34BA" w:rsidRDefault="005E34BA" w:rsidP="000F1356">
      <w:r>
        <w:separator/>
      </w:r>
    </w:p>
  </w:endnote>
  <w:endnote w:type="continuationSeparator" w:id="0">
    <w:p w14:paraId="3A2F5365" w14:textId="77777777" w:rsidR="005E34BA" w:rsidRDefault="005E34BA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6254"/>
      <w:docPartObj>
        <w:docPartGallery w:val="Page Numbers (Bottom of Page)"/>
        <w:docPartUnique/>
      </w:docPartObj>
    </w:sdtPr>
    <w:sdtEndPr/>
    <w:sdtContent>
      <w:p w14:paraId="109CF52D" w14:textId="56BB673B" w:rsidR="0031359F" w:rsidRDefault="003135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59" w:rsidRPr="002F2A59">
          <w:rPr>
            <w:noProof/>
            <w:lang w:val="zh-CN"/>
          </w:rPr>
          <w:t>12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29CB2" w14:textId="77777777" w:rsidR="005E34BA" w:rsidRDefault="005E34BA" w:rsidP="000F1356">
      <w:r>
        <w:separator/>
      </w:r>
    </w:p>
  </w:footnote>
  <w:footnote w:type="continuationSeparator" w:id="0">
    <w:p w14:paraId="1E52F85F" w14:textId="77777777" w:rsidR="005E34BA" w:rsidRDefault="005E34BA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1D9"/>
    <w:multiLevelType w:val="hybridMultilevel"/>
    <w:tmpl w:val="03A8BD70"/>
    <w:lvl w:ilvl="0" w:tplc="03F2D1D8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10B43"/>
    <w:rsid w:val="00012BB6"/>
    <w:rsid w:val="0002073F"/>
    <w:rsid w:val="00022749"/>
    <w:rsid w:val="00024927"/>
    <w:rsid w:val="00027F52"/>
    <w:rsid w:val="000438D3"/>
    <w:rsid w:val="00062D00"/>
    <w:rsid w:val="000648F3"/>
    <w:rsid w:val="00071EA0"/>
    <w:rsid w:val="000A40A5"/>
    <w:rsid w:val="000A5E06"/>
    <w:rsid w:val="000D30DC"/>
    <w:rsid w:val="000E4289"/>
    <w:rsid w:val="000F1356"/>
    <w:rsid w:val="000F3B8F"/>
    <w:rsid w:val="000F7C93"/>
    <w:rsid w:val="00102055"/>
    <w:rsid w:val="001347E8"/>
    <w:rsid w:val="00142EDC"/>
    <w:rsid w:val="001646AC"/>
    <w:rsid w:val="001778EE"/>
    <w:rsid w:val="00180117"/>
    <w:rsid w:val="001933A3"/>
    <w:rsid w:val="00194101"/>
    <w:rsid w:val="00195073"/>
    <w:rsid w:val="001C3363"/>
    <w:rsid w:val="001C43A0"/>
    <w:rsid w:val="001D22A0"/>
    <w:rsid w:val="001D42AD"/>
    <w:rsid w:val="001D7981"/>
    <w:rsid w:val="002035F3"/>
    <w:rsid w:val="0022496C"/>
    <w:rsid w:val="00251065"/>
    <w:rsid w:val="00255BD7"/>
    <w:rsid w:val="00256754"/>
    <w:rsid w:val="00262A43"/>
    <w:rsid w:val="00266763"/>
    <w:rsid w:val="002914DF"/>
    <w:rsid w:val="0029245C"/>
    <w:rsid w:val="00296170"/>
    <w:rsid w:val="002B1ABC"/>
    <w:rsid w:val="002B3A7D"/>
    <w:rsid w:val="002B772E"/>
    <w:rsid w:val="002C0513"/>
    <w:rsid w:val="002C1809"/>
    <w:rsid w:val="002D4637"/>
    <w:rsid w:val="002D5015"/>
    <w:rsid w:val="002D74DF"/>
    <w:rsid w:val="002E6006"/>
    <w:rsid w:val="002F1312"/>
    <w:rsid w:val="002F2A59"/>
    <w:rsid w:val="002F40D7"/>
    <w:rsid w:val="002F7435"/>
    <w:rsid w:val="0031359F"/>
    <w:rsid w:val="003308CC"/>
    <w:rsid w:val="00336C4A"/>
    <w:rsid w:val="00345EC5"/>
    <w:rsid w:val="00350FD1"/>
    <w:rsid w:val="0036242B"/>
    <w:rsid w:val="00375CC1"/>
    <w:rsid w:val="00393D65"/>
    <w:rsid w:val="00396642"/>
    <w:rsid w:val="003974C2"/>
    <w:rsid w:val="003A3D49"/>
    <w:rsid w:val="003B015D"/>
    <w:rsid w:val="003B20AC"/>
    <w:rsid w:val="003B5EF6"/>
    <w:rsid w:val="003D326B"/>
    <w:rsid w:val="003D649F"/>
    <w:rsid w:val="003E27C4"/>
    <w:rsid w:val="003F4515"/>
    <w:rsid w:val="00404CD7"/>
    <w:rsid w:val="00417C48"/>
    <w:rsid w:val="00424AE2"/>
    <w:rsid w:val="00430772"/>
    <w:rsid w:val="00440A31"/>
    <w:rsid w:val="00457A80"/>
    <w:rsid w:val="00470F27"/>
    <w:rsid w:val="00471E60"/>
    <w:rsid w:val="004878BD"/>
    <w:rsid w:val="004A725E"/>
    <w:rsid w:val="004C2F1B"/>
    <w:rsid w:val="004F28D5"/>
    <w:rsid w:val="00511E49"/>
    <w:rsid w:val="00527579"/>
    <w:rsid w:val="00533724"/>
    <w:rsid w:val="005353E5"/>
    <w:rsid w:val="00540B09"/>
    <w:rsid w:val="00542F85"/>
    <w:rsid w:val="00553D08"/>
    <w:rsid w:val="00553E01"/>
    <w:rsid w:val="00554226"/>
    <w:rsid w:val="005801D9"/>
    <w:rsid w:val="00585028"/>
    <w:rsid w:val="00585201"/>
    <w:rsid w:val="00590647"/>
    <w:rsid w:val="00592D78"/>
    <w:rsid w:val="005B06C8"/>
    <w:rsid w:val="005C57AE"/>
    <w:rsid w:val="005D71F8"/>
    <w:rsid w:val="005E0869"/>
    <w:rsid w:val="005E34BA"/>
    <w:rsid w:val="005E354C"/>
    <w:rsid w:val="005E3971"/>
    <w:rsid w:val="005E6CAB"/>
    <w:rsid w:val="005F37D2"/>
    <w:rsid w:val="005F3B2D"/>
    <w:rsid w:val="00604CB0"/>
    <w:rsid w:val="00604DAE"/>
    <w:rsid w:val="00635856"/>
    <w:rsid w:val="00637377"/>
    <w:rsid w:val="006519B5"/>
    <w:rsid w:val="00667B33"/>
    <w:rsid w:val="006829E8"/>
    <w:rsid w:val="006C51A0"/>
    <w:rsid w:val="006C51DD"/>
    <w:rsid w:val="006E1BA9"/>
    <w:rsid w:val="006F1346"/>
    <w:rsid w:val="006F5028"/>
    <w:rsid w:val="00712075"/>
    <w:rsid w:val="007201ED"/>
    <w:rsid w:val="00730BDB"/>
    <w:rsid w:val="00732377"/>
    <w:rsid w:val="00735BDC"/>
    <w:rsid w:val="007422FA"/>
    <w:rsid w:val="00750F7C"/>
    <w:rsid w:val="007572EF"/>
    <w:rsid w:val="00760C87"/>
    <w:rsid w:val="00773CC7"/>
    <w:rsid w:val="007746DB"/>
    <w:rsid w:val="00775806"/>
    <w:rsid w:val="00785CE4"/>
    <w:rsid w:val="007C132E"/>
    <w:rsid w:val="007E2F60"/>
    <w:rsid w:val="007E7C4F"/>
    <w:rsid w:val="00805F1C"/>
    <w:rsid w:val="00836897"/>
    <w:rsid w:val="00844002"/>
    <w:rsid w:val="00862D63"/>
    <w:rsid w:val="008948B0"/>
    <w:rsid w:val="008B69F3"/>
    <w:rsid w:val="008C1027"/>
    <w:rsid w:val="008C1328"/>
    <w:rsid w:val="008F5F52"/>
    <w:rsid w:val="009219BA"/>
    <w:rsid w:val="00936FF9"/>
    <w:rsid w:val="00937B91"/>
    <w:rsid w:val="00966E13"/>
    <w:rsid w:val="009726F5"/>
    <w:rsid w:val="009A7EA1"/>
    <w:rsid w:val="009B0596"/>
    <w:rsid w:val="009B1415"/>
    <w:rsid w:val="009B5509"/>
    <w:rsid w:val="009C52BB"/>
    <w:rsid w:val="009E32D5"/>
    <w:rsid w:val="009F6628"/>
    <w:rsid w:val="00A0353B"/>
    <w:rsid w:val="00A05146"/>
    <w:rsid w:val="00A07DAD"/>
    <w:rsid w:val="00A11A69"/>
    <w:rsid w:val="00A2138F"/>
    <w:rsid w:val="00A64186"/>
    <w:rsid w:val="00A72193"/>
    <w:rsid w:val="00AB477F"/>
    <w:rsid w:val="00AB6652"/>
    <w:rsid w:val="00AE49DF"/>
    <w:rsid w:val="00AE6E32"/>
    <w:rsid w:val="00AF18D4"/>
    <w:rsid w:val="00B175E4"/>
    <w:rsid w:val="00B76A9D"/>
    <w:rsid w:val="00B94010"/>
    <w:rsid w:val="00B94A87"/>
    <w:rsid w:val="00BC52A8"/>
    <w:rsid w:val="00BC73A4"/>
    <w:rsid w:val="00BD2A41"/>
    <w:rsid w:val="00BD3613"/>
    <w:rsid w:val="00C007CF"/>
    <w:rsid w:val="00C147C1"/>
    <w:rsid w:val="00C20C58"/>
    <w:rsid w:val="00C30570"/>
    <w:rsid w:val="00C35833"/>
    <w:rsid w:val="00C434C2"/>
    <w:rsid w:val="00C50ECE"/>
    <w:rsid w:val="00C7710E"/>
    <w:rsid w:val="00C837E6"/>
    <w:rsid w:val="00CA12F4"/>
    <w:rsid w:val="00CA4B08"/>
    <w:rsid w:val="00CB2B67"/>
    <w:rsid w:val="00CB4563"/>
    <w:rsid w:val="00CC1BF9"/>
    <w:rsid w:val="00CC1C40"/>
    <w:rsid w:val="00CD72DC"/>
    <w:rsid w:val="00CE1D0D"/>
    <w:rsid w:val="00D2365E"/>
    <w:rsid w:val="00D23A61"/>
    <w:rsid w:val="00D24375"/>
    <w:rsid w:val="00D307D6"/>
    <w:rsid w:val="00D546B9"/>
    <w:rsid w:val="00D666F4"/>
    <w:rsid w:val="00D670E0"/>
    <w:rsid w:val="00D97563"/>
    <w:rsid w:val="00DB5D6C"/>
    <w:rsid w:val="00DC3D64"/>
    <w:rsid w:val="00DD68EB"/>
    <w:rsid w:val="00DE03DE"/>
    <w:rsid w:val="00DE5A95"/>
    <w:rsid w:val="00DE736D"/>
    <w:rsid w:val="00DF05BD"/>
    <w:rsid w:val="00DF6F78"/>
    <w:rsid w:val="00E074A9"/>
    <w:rsid w:val="00E2112D"/>
    <w:rsid w:val="00E22C2D"/>
    <w:rsid w:val="00E318BF"/>
    <w:rsid w:val="00E60E6C"/>
    <w:rsid w:val="00E83B90"/>
    <w:rsid w:val="00E8648E"/>
    <w:rsid w:val="00E87C22"/>
    <w:rsid w:val="00E95A89"/>
    <w:rsid w:val="00EA3361"/>
    <w:rsid w:val="00EA3FB2"/>
    <w:rsid w:val="00EA6C31"/>
    <w:rsid w:val="00EC33CD"/>
    <w:rsid w:val="00EC6BF3"/>
    <w:rsid w:val="00ED5559"/>
    <w:rsid w:val="00EE0786"/>
    <w:rsid w:val="00EE2262"/>
    <w:rsid w:val="00EF2240"/>
    <w:rsid w:val="00EF2F35"/>
    <w:rsid w:val="00F13049"/>
    <w:rsid w:val="00F24FFA"/>
    <w:rsid w:val="00F270C7"/>
    <w:rsid w:val="00F42ED8"/>
    <w:rsid w:val="00F50E61"/>
    <w:rsid w:val="00F703C1"/>
    <w:rsid w:val="00F76A8F"/>
    <w:rsid w:val="00F96CFB"/>
    <w:rsid w:val="00F97CEB"/>
    <w:rsid w:val="00FA4693"/>
    <w:rsid w:val="00FA4BF5"/>
    <w:rsid w:val="00FB2BFF"/>
    <w:rsid w:val="00FB6599"/>
    <w:rsid w:val="00FE1D67"/>
    <w:rsid w:val="00FE6212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68FAAE7-C3D3-47D4-B07B-3CAF0E5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32C0A-B939-4716-9DA5-956FE51B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1421</Words>
  <Characters>8103</Characters>
  <Application>Microsoft Office Word</Application>
  <DocSecurity>0</DocSecurity>
  <Lines>67</Lines>
  <Paragraphs>19</Paragraphs>
  <ScaleCrop>false</ScaleCrop>
  <Company>P R C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creator>Windows 用户</dc:creator>
  <cp:lastModifiedBy>汤银</cp:lastModifiedBy>
  <cp:revision>12</cp:revision>
  <cp:lastPrinted>2022-02-16T02:39:00Z</cp:lastPrinted>
  <dcterms:created xsi:type="dcterms:W3CDTF">2025-04-17T06:47:00Z</dcterms:created>
  <dcterms:modified xsi:type="dcterms:W3CDTF">2025-04-17T07:57:00Z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