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5BE73">
      <w:pPr>
        <w:spacing w:before="156" w:beforeLines="50" w:after="156" w:afterLines="50" w:line="400" w:lineRule="exact"/>
        <w:rPr>
          <w:rFonts w:hint="eastAsia" w:ascii="宋体" w:hAnsi="宋体"/>
          <w:bCs/>
          <w:iCs/>
          <w:color w:val="000000"/>
          <w:sz w:val="24"/>
        </w:rPr>
      </w:pPr>
      <w:r>
        <w:rPr>
          <w:rFonts w:hint="eastAsia" w:ascii="宋体" w:hAnsi="宋体"/>
          <w:bCs/>
          <w:iCs/>
          <w:color w:val="000000"/>
          <w:sz w:val="24"/>
        </w:rPr>
        <w:t>证券代码：</w:t>
      </w:r>
      <w:r>
        <w:rPr>
          <w:bCs/>
          <w:iCs/>
          <w:color w:val="000000"/>
          <w:sz w:val="24"/>
        </w:rPr>
        <w:t>688176</w:t>
      </w: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 xml:space="preserve">      证券简称：亚虹医药</w:t>
      </w:r>
    </w:p>
    <w:p w14:paraId="05B8291B">
      <w:pPr>
        <w:spacing w:before="156" w:beforeLines="50" w:after="156" w:afterLines="50" w:line="400" w:lineRule="exact"/>
        <w:jc w:val="center"/>
        <w:rPr>
          <w:rFonts w:hint="eastAsia" w:ascii="黑体" w:hAnsi="黑体" w:eastAsia="黑体"/>
          <w:b/>
          <w:bCs/>
          <w:iCs/>
          <w:color w:val="000000"/>
          <w:sz w:val="32"/>
          <w:szCs w:val="32"/>
        </w:rPr>
      </w:pPr>
      <w:r>
        <w:rPr>
          <w:rFonts w:hint="eastAsia" w:ascii="黑体" w:hAnsi="黑体" w:eastAsia="黑体"/>
          <w:b/>
          <w:bCs/>
          <w:iCs/>
          <w:color w:val="000000"/>
          <w:sz w:val="32"/>
          <w:szCs w:val="32"/>
        </w:rPr>
        <w:t>江苏亚虹医药科技股份有限公司投资者关系活动记录表</w:t>
      </w:r>
    </w:p>
    <w:p w14:paraId="050DB6CC">
      <w:pPr>
        <w:spacing w:line="400" w:lineRule="exact"/>
        <w:rPr>
          <w:rFonts w:hint="eastAsia" w:ascii="宋体" w:hAnsi="宋体"/>
          <w:bCs/>
          <w:iCs/>
          <w:color w:val="000000"/>
          <w:sz w:val="24"/>
        </w:rPr>
      </w:pPr>
      <w:r>
        <w:rPr>
          <w:rFonts w:hint="eastAsia" w:ascii="宋体" w:hAnsi="宋体"/>
          <w:bCs/>
          <w:iCs/>
          <w:color w:val="000000"/>
          <w:sz w:val="24"/>
        </w:rPr>
        <w:t xml:space="preserve">                                                      编号：</w:t>
      </w:r>
      <w:r>
        <w:rPr>
          <w:bCs/>
          <w:iCs/>
          <w:color w:val="000000"/>
          <w:sz w:val="24"/>
        </w:rPr>
        <w:t>202</w:t>
      </w:r>
      <w:r>
        <w:rPr>
          <w:rFonts w:hint="eastAsia"/>
          <w:bCs/>
          <w:iCs/>
          <w:color w:val="000000"/>
          <w:sz w:val="24"/>
        </w:rPr>
        <w:t>5</w:t>
      </w:r>
      <w:r>
        <w:rPr>
          <w:bCs/>
          <w:iCs/>
          <w:color w:val="000000"/>
          <w:sz w:val="24"/>
        </w:rPr>
        <w:t>-0</w:t>
      </w:r>
      <w:r>
        <w:rPr>
          <w:rFonts w:hint="eastAsia"/>
          <w:bCs/>
          <w:iCs/>
          <w:color w:val="000000"/>
          <w:sz w:val="24"/>
        </w:rPr>
        <w:t>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6438"/>
      </w:tblGrid>
      <w:tr w14:paraId="143F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453B9A2F">
            <w:pPr>
              <w:spacing w:before="156" w:beforeLines="50" w:after="156" w:afterLines="50" w:line="360" w:lineRule="auto"/>
              <w:rPr>
                <w:rFonts w:hint="eastAsia" w:ascii="宋体" w:hAnsi="宋体"/>
                <w:bCs/>
                <w:iCs/>
                <w:color w:val="000000"/>
                <w:sz w:val="24"/>
              </w:rPr>
            </w:pPr>
            <w:r>
              <w:rPr>
                <w:rFonts w:hint="eastAsia" w:ascii="宋体" w:hAnsi="宋体"/>
                <w:bCs/>
                <w:iCs/>
                <w:color w:val="000000"/>
                <w:sz w:val="24"/>
              </w:rPr>
              <w:t>投资者关系活动类别</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1A96DB1D">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color w:val="000000"/>
                <w:sz w:val="24"/>
              </w:rPr>
              <w:t>□</w:t>
            </w:r>
            <w:r>
              <w:rPr>
                <w:rFonts w:hint="eastAsia" w:ascii="宋体" w:hAnsi="宋体"/>
                <w:sz w:val="24"/>
              </w:rPr>
              <w:t>分析师会议</w:t>
            </w:r>
          </w:p>
          <w:p w14:paraId="28609970">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ascii="宋体" w:hAnsi="宋体"/>
                <w:bCs/>
                <w:iCs/>
                <w:color w:val="000000"/>
                <w:sz w:val="24"/>
              </w:rPr>
              <w:fldChar w:fldCharType="begin"/>
            </w:r>
            <w:r>
              <w:rPr>
                <w:rFonts w:ascii="宋体" w:hAnsi="宋体"/>
                <w:bCs/>
                <w:iCs/>
                <w:color w:val="000000"/>
                <w:sz w:val="24"/>
              </w:rPr>
              <w:instrText xml:space="preserve"> </w:instrText>
            </w:r>
            <w:r>
              <w:rPr>
                <w:rFonts w:hint="eastAsia" w:ascii="宋体" w:hAnsi="宋体"/>
                <w:bCs/>
                <w:iCs/>
                <w:color w:val="000000"/>
                <w:sz w:val="24"/>
              </w:rPr>
              <w:instrText xml:space="preserve">eq \o\ac(□,√)</w:instrText>
            </w:r>
            <w:r>
              <w:rPr>
                <w:rFonts w:ascii="宋体" w:hAnsi="宋体"/>
                <w:bCs/>
                <w:iCs/>
                <w:color w:val="000000"/>
                <w:sz w:val="24"/>
              </w:rPr>
              <w:fldChar w:fldCharType="end"/>
            </w:r>
            <w:r>
              <w:rPr>
                <w:rFonts w:hint="eastAsia" w:ascii="宋体" w:hAnsi="宋体"/>
                <w:sz w:val="24"/>
              </w:rPr>
              <w:t>业绩说明会</w:t>
            </w:r>
          </w:p>
          <w:p w14:paraId="1CEB367B">
            <w:pPr>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695C987">
            <w:pPr>
              <w:tabs>
                <w:tab w:val="left" w:pos="3045"/>
                <w:tab w:val="center" w:pos="3199"/>
              </w:tabs>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现场参观</w:t>
            </w:r>
          </w:p>
          <w:p w14:paraId="3B610667">
            <w:pPr>
              <w:tabs>
                <w:tab w:val="center" w:pos="3199"/>
              </w:tabs>
              <w:spacing w:line="480" w:lineRule="atLeast"/>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请文字说明其他活动内容）</w:t>
            </w:r>
          </w:p>
        </w:tc>
      </w:tr>
      <w:tr w14:paraId="4DE9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5F482DBF">
            <w:pPr>
              <w:spacing w:before="156" w:beforeLines="50" w:after="156" w:afterLines="50"/>
              <w:rPr>
                <w:rFonts w:hint="eastAsia" w:ascii="宋体" w:hAnsi="宋体"/>
                <w:bCs/>
                <w:iCs/>
                <w:color w:val="000000"/>
                <w:sz w:val="24"/>
              </w:rPr>
            </w:pPr>
            <w:r>
              <w:rPr>
                <w:rFonts w:hint="eastAsia" w:ascii="宋体" w:hAnsi="宋体"/>
                <w:bCs/>
                <w:iCs/>
                <w:color w:val="000000"/>
                <w:sz w:val="24"/>
              </w:rPr>
              <w:t>参与单位名称</w:t>
            </w:r>
          </w:p>
        </w:tc>
        <w:tc>
          <w:tcPr>
            <w:tcW w:w="6438" w:type="dxa"/>
            <w:tcBorders>
              <w:top w:val="single" w:color="auto" w:sz="4" w:space="0"/>
              <w:left w:val="single" w:color="auto" w:sz="4" w:space="0"/>
              <w:bottom w:val="single" w:color="auto" w:sz="4" w:space="0"/>
              <w:right w:val="single" w:color="auto" w:sz="4" w:space="0"/>
            </w:tcBorders>
            <w:shd w:val="clear" w:color="auto" w:fill="auto"/>
            <w:vAlign w:val="center"/>
          </w:tcPr>
          <w:p w14:paraId="6F0FD84B">
            <w:pPr>
              <w:spacing w:before="156" w:beforeLines="50" w:after="156" w:afterLines="50"/>
              <w:rPr>
                <w:bCs/>
                <w:iCs/>
                <w:sz w:val="24"/>
              </w:rPr>
            </w:pPr>
            <w:bookmarkStart w:id="0" w:name="_Hlk196233035"/>
            <w:r>
              <w:rPr>
                <w:rFonts w:hint="eastAsia"/>
                <w:bCs/>
                <w:iCs/>
                <w:sz w:val="24"/>
              </w:rPr>
              <w:t>保银投资、德邦证券、调兵投资、东方证券、东证资管、国泰海通、国泰海通、国泰基金、华安证券、华创资管、交银施罗德、景顺长城基金、凯石基金、青骊投资、人保养老、上汽颀臻（上海）资管、创富兆业金融管理、尚诚资管、翼虎投资、正圆投资、太平洋证券、泰康资管、西南医药、湘禾投资、信达医药、银河基金、优益增投资、招商基金、兆天投资、中航基金、中信证券、中银理财</w:t>
            </w:r>
            <w:bookmarkEnd w:id="0"/>
          </w:p>
        </w:tc>
      </w:tr>
      <w:tr w14:paraId="053E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702EFA2">
            <w:pPr>
              <w:spacing w:before="156" w:beforeLines="50" w:after="156" w:afterLines="50"/>
              <w:rPr>
                <w:rFonts w:hint="eastAsia" w:ascii="宋体" w:hAnsi="宋体"/>
                <w:bCs/>
                <w:iCs/>
                <w:color w:val="000000"/>
                <w:sz w:val="24"/>
              </w:rPr>
            </w:pPr>
            <w:r>
              <w:rPr>
                <w:rFonts w:hint="eastAsia" w:ascii="宋体" w:hAnsi="宋体"/>
                <w:bCs/>
                <w:iCs/>
                <w:color w:val="000000"/>
                <w:sz w:val="24"/>
              </w:rPr>
              <w:t>时间</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66AFE707">
            <w:pPr>
              <w:spacing w:before="156" w:beforeLines="50" w:after="156" w:afterLines="50"/>
              <w:rPr>
                <w:bCs/>
                <w:iCs/>
                <w:color w:val="000000"/>
                <w:sz w:val="24"/>
              </w:rPr>
            </w:pPr>
            <w:r>
              <w:rPr>
                <w:rFonts w:hint="eastAsia"/>
                <w:bCs/>
                <w:iCs/>
                <w:color w:val="000000"/>
                <w:sz w:val="24"/>
              </w:rPr>
              <w:t>2025</w:t>
            </w:r>
            <w:r>
              <w:rPr>
                <w:bCs/>
                <w:iCs/>
                <w:color w:val="000000"/>
                <w:sz w:val="24"/>
              </w:rPr>
              <w:t>年</w:t>
            </w:r>
            <w:r>
              <w:rPr>
                <w:rFonts w:hint="eastAsia"/>
                <w:bCs/>
                <w:iCs/>
                <w:color w:val="000000"/>
                <w:sz w:val="24"/>
              </w:rPr>
              <w:t>4月21日</w:t>
            </w:r>
          </w:p>
        </w:tc>
      </w:tr>
      <w:tr w14:paraId="4778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5677A853">
            <w:pPr>
              <w:spacing w:before="156" w:beforeLines="50" w:after="156" w:afterLines="50"/>
              <w:rPr>
                <w:rFonts w:hint="eastAsia" w:ascii="宋体" w:hAnsi="宋体"/>
                <w:bCs/>
                <w:iCs/>
                <w:color w:val="000000"/>
                <w:sz w:val="24"/>
              </w:rPr>
            </w:pPr>
            <w:r>
              <w:rPr>
                <w:rFonts w:hint="eastAsia" w:ascii="宋体" w:hAnsi="宋体"/>
                <w:bCs/>
                <w:iCs/>
                <w:color w:val="000000"/>
                <w:sz w:val="24"/>
              </w:rPr>
              <w:t>地点</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478153CA">
            <w:pPr>
              <w:spacing w:before="156" w:beforeLines="50" w:after="156" w:afterLines="50"/>
              <w:rPr>
                <w:rFonts w:hint="eastAsia" w:ascii="宋体" w:hAnsi="宋体"/>
                <w:bCs/>
                <w:iCs/>
                <w:color w:val="000000"/>
                <w:sz w:val="24"/>
              </w:rPr>
            </w:pPr>
            <w:r>
              <w:rPr>
                <w:rFonts w:hint="eastAsia" w:ascii="宋体" w:hAnsi="宋体"/>
                <w:bCs/>
                <w:iCs/>
                <w:color w:val="000000"/>
                <w:sz w:val="24"/>
              </w:rPr>
              <w:t>线上</w:t>
            </w:r>
          </w:p>
        </w:tc>
      </w:tr>
      <w:tr w14:paraId="36B9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D0260AD">
            <w:pPr>
              <w:spacing w:before="156" w:beforeLines="50" w:after="156" w:afterLines="50"/>
              <w:rPr>
                <w:rFonts w:hint="eastAsia" w:ascii="宋体" w:hAnsi="宋体"/>
                <w:bCs/>
                <w:iCs/>
                <w:color w:val="000000"/>
                <w:sz w:val="24"/>
              </w:rPr>
            </w:pPr>
            <w:r>
              <w:rPr>
                <w:rFonts w:hint="eastAsia" w:ascii="宋体" w:hAnsi="宋体"/>
                <w:bCs/>
                <w:iCs/>
                <w:color w:val="000000"/>
                <w:sz w:val="24"/>
              </w:rPr>
              <w:t>上市公司接待人员姓名</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2CC15E1A">
            <w:pPr>
              <w:spacing w:before="156" w:beforeLines="50" w:after="156" w:afterLines="50"/>
              <w:rPr>
                <w:bCs/>
                <w:iCs/>
                <w:color w:val="000000"/>
                <w:kern w:val="0"/>
                <w:sz w:val="24"/>
              </w:rPr>
            </w:pPr>
            <w:r>
              <w:rPr>
                <w:rFonts w:hint="eastAsia"/>
                <w:bCs/>
                <w:iCs/>
                <w:color w:val="000000"/>
                <w:kern w:val="0"/>
                <w:sz w:val="24"/>
              </w:rPr>
              <w:t>董事长、总经理：PAN KE</w:t>
            </w:r>
            <w:bookmarkStart w:id="1" w:name="_GoBack"/>
            <w:bookmarkEnd w:id="1"/>
          </w:p>
          <w:p w14:paraId="2FA8EA16">
            <w:pPr>
              <w:spacing w:before="156" w:beforeLines="50" w:after="156" w:afterLines="50"/>
              <w:rPr>
                <w:bCs/>
                <w:iCs/>
                <w:color w:val="000000"/>
                <w:kern w:val="0"/>
                <w:sz w:val="24"/>
              </w:rPr>
            </w:pPr>
            <w:r>
              <w:rPr>
                <w:rFonts w:hint="eastAsia"/>
                <w:bCs/>
                <w:iCs/>
                <w:color w:val="000000"/>
                <w:kern w:val="0"/>
                <w:sz w:val="24"/>
              </w:rPr>
              <w:t>首席医学官：张云</w:t>
            </w:r>
          </w:p>
          <w:p w14:paraId="1965B7E0">
            <w:pPr>
              <w:spacing w:before="156" w:beforeLines="50" w:after="156" w:afterLines="50"/>
              <w:rPr>
                <w:bCs/>
                <w:iCs/>
                <w:color w:val="000000"/>
                <w:kern w:val="0"/>
                <w:sz w:val="24"/>
              </w:rPr>
            </w:pPr>
            <w:r>
              <w:rPr>
                <w:rFonts w:hint="eastAsia"/>
                <w:bCs/>
                <w:iCs/>
                <w:color w:val="000000"/>
                <w:kern w:val="0"/>
                <w:sz w:val="24"/>
              </w:rPr>
              <w:t>首席商务官：徐瑛</w:t>
            </w:r>
          </w:p>
          <w:p w14:paraId="6F242024">
            <w:pPr>
              <w:spacing w:before="156" w:beforeLines="50" w:after="156" w:afterLines="50"/>
              <w:rPr>
                <w:bCs/>
                <w:iCs/>
                <w:color w:val="000000"/>
                <w:kern w:val="0"/>
                <w:sz w:val="24"/>
              </w:rPr>
            </w:pPr>
            <w:r>
              <w:rPr>
                <w:rFonts w:hint="eastAsia"/>
                <w:bCs/>
                <w:iCs/>
                <w:color w:val="000000"/>
                <w:kern w:val="0"/>
                <w:sz w:val="24"/>
              </w:rPr>
              <w:t>业务拓展高级副总裁：赵阳</w:t>
            </w:r>
          </w:p>
          <w:p w14:paraId="0F43CA6E">
            <w:pPr>
              <w:spacing w:before="156" w:beforeLines="50" w:after="156" w:afterLines="50"/>
              <w:rPr>
                <w:bCs/>
                <w:iCs/>
                <w:color w:val="000000"/>
                <w:kern w:val="0"/>
                <w:sz w:val="24"/>
              </w:rPr>
            </w:pPr>
            <w:r>
              <w:rPr>
                <w:rFonts w:hint="eastAsia"/>
                <w:bCs/>
                <w:iCs/>
                <w:color w:val="000000"/>
                <w:kern w:val="0"/>
                <w:sz w:val="24"/>
              </w:rPr>
              <w:t>董事会秘书、财务负责人：杨明远</w:t>
            </w:r>
          </w:p>
        </w:tc>
      </w:tr>
      <w:tr w14:paraId="4B0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44FA6DC2">
            <w:pPr>
              <w:spacing w:before="156" w:beforeLines="50" w:after="156" w:afterLines="50"/>
              <w:rPr>
                <w:rFonts w:hint="eastAsia" w:ascii="宋体" w:hAnsi="宋体"/>
                <w:bCs/>
                <w:iCs/>
                <w:color w:val="000000"/>
                <w:sz w:val="24"/>
              </w:rPr>
            </w:pPr>
            <w:r>
              <w:rPr>
                <w:rFonts w:hint="eastAsia" w:ascii="宋体" w:hAnsi="宋体"/>
                <w:bCs/>
                <w:iCs/>
                <w:color w:val="000000"/>
                <w:sz w:val="24"/>
              </w:rPr>
              <w:t>投资者关系活动主要内容介绍</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15C80C7E">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交流的主要问题及答复内容：</w:t>
            </w:r>
          </w:p>
          <w:p w14:paraId="27DD883C">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公司介绍了企业情况、公司主要业务进展、主要财务情况以及未来发展规划。</w:t>
            </w:r>
          </w:p>
          <w:p w14:paraId="448AFE68">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rFonts w:hint="eastAsia"/>
                <w:b/>
                <w:kern w:val="0"/>
                <w:sz w:val="24"/>
              </w:rPr>
              <w:t>问1：公司APL-1702现在审批和商业化什么进展？</w:t>
            </w:r>
            <w:r>
              <w:rPr>
                <w:rFonts w:hint="eastAsia"/>
                <w:b/>
                <w:bCs/>
                <w:color w:val="000000" w:themeColor="text1"/>
                <w:kern w:val="0"/>
                <w:sz w:val="24"/>
                <w14:textFill>
                  <w14:solidFill>
                    <w14:schemeClr w14:val="tx1"/>
                  </w14:solidFill>
                </w14:textFill>
              </w:rPr>
              <w:t>海外开发有什么计划？</w:t>
            </w:r>
          </w:p>
          <w:p w14:paraId="067FCC04">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答：公司已于2024年5月公告关于产品APL-1702（通用名：盐酸氨酮戊酸己酯软膏光动力治疗系统）拟用于治疗18岁及以上排除原位癌的经组织学证实的宫颈高级别鳞状上皮内病变（High-Grade Squamous Intraepithelial Lesion, HSIL）患者的上市申请获得受理，截至目前，公司已收到书面发补通知，正倾尽全力组织相关回复工作，加快推进其上市审评审批工作，以期尽快获得上市批准。</w:t>
            </w:r>
          </w:p>
          <w:p w14:paraId="117BE82F">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女性健康事业部通过广泛的市场及行业调研，对医患需求及行业商业化环境进行了深入分析，已完成关键上市策略制定和商业化路径规划。公司已启动一系列商业化准备工作，主要包括：市场可及性和支付保障方面的系统性研究和政策沟通工作；推动政策呼吁助力生育友好宫颈癌防控建设；持续与领域专家合作推动临床指南等一系列旨在提升患者获益的循证依据准备工作；基于相关疾病领域核心市场和扩展市场的深入规划分析，制定全渠道商业化布局并启动商业化团队招聘工作；帮助医生了解无创疗法的临床数据和使用方法；通过公益宣传进一步提升公众对宫颈癌防控的科学认知；优化产品商业化供应链，确保在产品获批后尽快将产品带给国内的医生和患者。</w:t>
            </w:r>
          </w:p>
          <w:p w14:paraId="3F1B4E21">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公司已于2024年12月获得美国FDA沟通交流会议的反馈意见，与FDA就关于支持APL-1702美国上市的另一项三期临床设计达成一致。目前公司正在积极寻找海外合作伙伴，准备该项美国三期临床试验申请。</w:t>
            </w:r>
          </w:p>
          <w:p w14:paraId="2D1D8543">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问2：</w:t>
            </w:r>
            <w:r>
              <w:rPr>
                <w:b/>
                <w:bCs/>
                <w:color w:val="000000" w:themeColor="text1"/>
                <w:kern w:val="0"/>
                <w:sz w:val="24"/>
                <w14:textFill>
                  <w14:solidFill>
                    <w14:schemeClr w14:val="tx1"/>
                  </w14:solidFill>
                </w14:textFill>
              </w:rPr>
              <w:t>APL-2501</w:t>
            </w:r>
            <w:r>
              <w:rPr>
                <w:rFonts w:hint="eastAsia"/>
                <w:b/>
                <w:bCs/>
                <w:color w:val="000000" w:themeColor="text1"/>
                <w:kern w:val="0"/>
                <w:sz w:val="24"/>
                <w14:textFill>
                  <w14:solidFill>
                    <w14:schemeClr w14:val="tx1"/>
                  </w14:solidFill>
                </w14:textFill>
              </w:rPr>
              <w:t>进展怎么样？竞争力如何？</w:t>
            </w:r>
          </w:p>
          <w:p w14:paraId="5C0B433A">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答：APL-2501是公司自主研发的搭载专有亲水性连接子、基于拓扑异构酶抑制剂的抗CLDN6/9抗体药物偶联物（ADC），可以用于治疗包括乳腺癌、卵巢癌、宫颈癌等多种晚期肿瘤，与竞品TORL-1-23（TORL BioTherapeutics, LLC公司开发的靶向CLDN6的ADC，载荷为MMAE）相比，显示出更好的结合能力、内化效率、杀伤效率、稳定性等特征。</w:t>
            </w:r>
          </w:p>
          <w:p w14:paraId="4F7A97C7">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APL-2501选择了高亲和力结合CLDN6/9的单克隆抗体，与竞品TORL-1-23相比，结合能力高出3倍有余，内化效率也高出20倍有余，显示出更好的抗肿瘤活性。APL-2501携带的毒性分子是近年来证实的最佳payload（载荷），但其缺点是疏水性很强，公司针对性设计了Linker，增强了亲水性的同时，支持DAR8均质偶联，使整个ADC分子表现出优异的稳定性，减少了非特异性吞噬，扩宽了治疗窗口，进一步提升疗效潜力。APL-2501通过溶酶体组织蛋白酶触发释放载荷，确保肿瘤微环境特异性杀伤，旁观者效应显著好于MMAE，预期在CLDN6弱阳性病人也有反应。现有ADC药物如Mirvetuximab Soravtansine-gynx对于卵巢癌的有效率（ORR）为31%-42%左右，表明仍有很大的未被满足的治疗需求。与上述药物所用的微管蛋白抑制剂payload相比，APL-2501特点之一是提高了耐受剂量及扩大了治疗窗口（TI），同时体内药效试验中显示出比蛋白抑制剂类ADC更好的治疗效果，APL-2501的临床前数据提示产品将具有较强的临床竞争潜力。公司APL-2501的临床前研究及特有的linker平台研究分别入选2025年美国癌症研究协会年会（AACR2025）壁报展示。</w:t>
            </w:r>
          </w:p>
          <w:p w14:paraId="22133F0E">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APL-2501已经完成抗体人源化实验、体内外药效研究及前期食蟹猴安全性实验及可开发性验证实验。公司在2025年将致力于完成该分子的CMC和GLP毒理实验，期望年底前生产出毒理产品并开展毒理研究，在2026年中期递交IND。</w:t>
            </w:r>
          </w:p>
          <w:p w14:paraId="71BF2BB2">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rFonts w:hint="eastAsia"/>
                <w:b/>
                <w:kern w:val="0"/>
                <w:sz w:val="24"/>
              </w:rPr>
              <w:t>问3：海克威的商业化策略有进展吗？</w:t>
            </w:r>
          </w:p>
          <w:p w14:paraId="5E100A08">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答：在产品上市初期，海克威</w:t>
            </w:r>
            <w:r>
              <w:rPr>
                <w:rFonts w:hint="eastAsia"/>
                <w:color w:val="000000" w:themeColor="text1"/>
                <w:kern w:val="0"/>
                <w:sz w:val="24"/>
                <w:vertAlign w:val="superscript"/>
                <w14:textFill>
                  <w14:solidFill>
                    <w14:schemeClr w14:val="tx1"/>
                  </w14:solidFill>
                </w14:textFill>
              </w:rPr>
              <w:t>®</w:t>
            </w:r>
            <w:r>
              <w:rPr>
                <w:rFonts w:hint="eastAsia"/>
                <w:color w:val="000000" w:themeColor="text1"/>
                <w:kern w:val="0"/>
                <w:sz w:val="24"/>
                <w14:textFill>
                  <w14:solidFill>
                    <w14:schemeClr w14:val="tx1"/>
                  </w14:solidFill>
                </w14:textFill>
              </w:rPr>
              <w:t>将定位在支付意愿强或者商业医疗保险覆盖的患者群体，主要渗透中心城市三甲医院的特需及国际医疗部，和高端的外资及私立泌尿专科医院等。公司将利用已经建立的泌尿专家平台，通过和全国有影响力的泌尿中心合作为契机，不断加强蓝光手术市场教育和临床应用，逐步推动蓝光膀胱镜技术作为精准诊疗的临床选择。</w:t>
            </w:r>
          </w:p>
          <w:p w14:paraId="25D4DA15">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随着指南发布、泌尿专家建立专业背书，公司将结合一次性蓝光膀胱镜的上市，加强蓝光膀胱镜技术向综合性医院泌尿外科市场进一步渗透，打造膀胱癌诊疗一体化诊疗理念：1）推动海克威</w:t>
            </w:r>
            <w:r>
              <w:rPr>
                <w:rFonts w:hint="eastAsia"/>
                <w:color w:val="000000" w:themeColor="text1"/>
                <w:kern w:val="0"/>
                <w:sz w:val="24"/>
                <w:vertAlign w:val="superscript"/>
                <w14:textFill>
                  <w14:solidFill>
                    <w14:schemeClr w14:val="tx1"/>
                  </w14:solidFill>
                </w14:textFill>
              </w:rPr>
              <w:t>®</w:t>
            </w:r>
            <w:r>
              <w:rPr>
                <w:rFonts w:hint="eastAsia"/>
                <w:color w:val="000000" w:themeColor="text1"/>
                <w:kern w:val="0"/>
                <w:sz w:val="24"/>
                <w14:textFill>
                  <w14:solidFill>
                    <w14:schemeClr w14:val="tx1"/>
                  </w14:solidFill>
                </w14:textFill>
              </w:rPr>
              <w:t>成为膀胱癌早诊早治的标准方案；2）积极推进准入医保谈判目录，成为更多患者可以负担得起的治疗选择；3）建立蓝光膀胱镜诊疗一体化推广专队，通过学术班教育和操作示范，逐步渗透全国关键泌尿中心，从而实现蓝光膀胱镜广阔覆盖的最终目标。</w:t>
            </w:r>
          </w:p>
          <w:p w14:paraId="56F7B609">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rFonts w:hint="eastAsia"/>
                <w:b/>
                <w:kern w:val="0"/>
                <w:sz w:val="24"/>
              </w:rPr>
              <w:t xml:space="preserve">问4：APL-2302的竞争力如何？目前进展情况？ </w:t>
            </w:r>
          </w:p>
          <w:p w14:paraId="35EB0AE7">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答：APL-2302是公司基于TAIDD平台自主研发的新型高选择性、强效的去泛素化酶USP1（泛素特异性蛋白酶1）口服小分子抑制剂。通过抑制其去泛素化作用，导致DNA损伤修复功能丧失并与同源重组基因缺陷或突变形成合成致死，从而特异性地杀伤肿瘤。乳腺癌基因突变（BRCA1/2mut）或同源重组缺陷阳性（HRD+）与乳腺癌、卵巢癌、前列腺癌和胰腺癌等多种肿瘤发生风险有关，阻断肿瘤依赖的DNA损伤修复通路USP1，将导致肿瘤细胞DNA损伤不能有效修复而死亡，发挥对肿瘤的治疗作用。</w:t>
            </w:r>
          </w:p>
          <w:p w14:paraId="150E0FB8">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APL-2302单药对携带BRCA1/2mut或HRD+的肿瘤细胞具有强效的杀伤作用；联合一代或二代PARP抑制剂（奥拉帕利或Saruparib），对肿瘤细胞杀伤具有显著的协同作用。APL-2302展现出良好的药代动力学特征，口服生物利用度在4个动物种属中均高于75%，种属间药代动力学特征参数变异小，具有良好的人体预测PK特性，优于临床开发最领先的同类药物KSQ-4279（目前处于临床Ⅰ期的USP1小分子抑制剂。相同情况下，KSQ-4279的4个动物种属的口服生物利用度为61.4%、61.8%、66.6%和92.2%）。此外，APL-2302具有更好的肿瘤/血浆比（TPR）、更高的暴露量，在100mpk和300mpk时显示出更高的TPR约2~3倍，优于KSQ-4279（KSQ-4279 &lt; 1，2024 AACR），具备更好的疗效和安全性潜力。</w:t>
            </w:r>
          </w:p>
          <w:p w14:paraId="14A94025">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较高的口服生物利用度及对USP1强效抑制作用促使其单药展示出显著抑制瘤生长的疗效，而且在BRCA1/2mut和HRD+原发性PARP抑制剂耐药的乳腺和卵巢肿瘤模型中，APL-2302协同奥拉帕利表现出显著的抗肿瘤作用，甚至显示出肿瘤缩小的显著疗效；同时，APL-2302联合DNA合成抑制剂吉西他滨也具有强效抑制肿瘤生长和肿瘤缩小的作用。因此，APL-2302可用于治疗BRCA1/2mut及HRD+的肿瘤，具有增强PARP抑制剂、化药敏感性和克服PARP耐药临床需求的潜力。APL-2302在以上肿瘤模型中，单药或联合奥拉帕利抗肿瘤活性均优于KSQ-4279，具有成为同类最佳的潜力。APL-2302的临床前研究结果入选2024年美国癌症研究协会年会，并以壁报形式公布。</w:t>
            </w:r>
          </w:p>
          <w:p w14:paraId="36FC0F12">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基于临床前展现的良好的体内和体外活性，公司向FDA和NMPA递交了一项在晚期实体瘤患者中评价APL-2302的安全性、耐受性、药代动力学初步抗肿瘤活性的</w:t>
            </w:r>
            <w:r>
              <w:rPr>
                <w:rFonts w:eastAsia="黑体"/>
                <w:color w:val="000000" w:themeColor="text1"/>
                <w:kern w:val="0"/>
                <w:sz w:val="24"/>
                <w14:textFill>
                  <w14:solidFill>
                    <w14:schemeClr w14:val="tx1"/>
                  </w14:solidFill>
                </w14:textFill>
              </w:rPr>
              <w:t>Ⅰ/Ⅱa</w:t>
            </w:r>
            <w:r>
              <w:rPr>
                <w:rFonts w:hint="eastAsia"/>
                <w:color w:val="000000" w:themeColor="text1"/>
                <w:kern w:val="0"/>
                <w:sz w:val="24"/>
                <w14:textFill>
                  <w14:solidFill>
                    <w14:schemeClr w14:val="tx1"/>
                  </w14:solidFill>
                </w14:textFill>
              </w:rPr>
              <w:t>期、开放性、多中心、剂量递增和扩展研究，并分别于2024年10月和2025年1月获得美国FDA和中国NMPA批准。该临床研究已于2025年3月完成</w:t>
            </w:r>
            <w:r>
              <w:rPr>
                <w:color w:val="000000" w:themeColor="text1"/>
                <w:kern w:val="0"/>
                <w:sz w:val="24"/>
                <w14:textFill>
                  <w14:solidFill>
                    <w14:schemeClr w14:val="tx1"/>
                  </w14:solidFill>
                </w14:textFill>
              </w:rPr>
              <w:t>Ⅰa</w:t>
            </w:r>
            <w:r>
              <w:rPr>
                <w:rFonts w:hint="eastAsia"/>
                <w:color w:val="000000" w:themeColor="text1"/>
                <w:kern w:val="0"/>
                <w:sz w:val="24"/>
                <w14:textFill>
                  <w14:solidFill>
                    <w14:schemeClr w14:val="tx1"/>
                  </w14:solidFill>
                </w14:textFill>
              </w:rPr>
              <w:t>期首例受试者入组，公司将持续推进受试者入组工作。</w:t>
            </w:r>
          </w:p>
          <w:p w14:paraId="57E7B8CD">
            <w:pPr>
              <w:widowControl/>
              <w:spacing w:before="156" w:beforeLines="50" w:after="156" w:afterLines="50" w:line="283" w:lineRule="auto"/>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14:textFill>
                  <w14:solidFill>
                    <w14:schemeClr w14:val="tx1"/>
                  </w14:solidFill>
                </w14:textFill>
              </w:rPr>
              <w:t>问5：公司2024年收入快速增长，将在2025年进行商业化体系升级，主要有哪些工作？</w:t>
            </w:r>
          </w:p>
          <w:p w14:paraId="227704FB">
            <w:pPr>
              <w:widowControl/>
              <w:spacing w:before="156" w:beforeLines="50" w:after="156" w:afterLines="50" w:line="283"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答：（1）招聘了首席商务官，全面负责商业化运营，从行业引进及内部提拔专业人才打造一支强大的商业化运营的管理团队，通过自上而下的体系完善，夯实商业化运营2.0升级基础；（2）进一步优化组织架构、强化商业化运营的组织能力：肿瘤事业部和女性健康事业部，分别专注泌尿生殖和妇科肿瘤的医学市场和销售；卓越运营部致力于销售效率提升和培训销售团队的专业推广能力；政府事务和市场准入团队打造新产品医保准入能力；设立战略规划部，结合公司团队和治疗领域优势布局最优势产品线组合；为商业化升级而度身定做的供应链、商业渠道、价格管理、财务预算、人力资源和合规管理等支持部门。（3）围绕专注领域、根据产品商业化进程，有计划有规划地扩充商业化团队，打造公司在同行业中领先的商业化能力和运营效能；（4）设立五年业务目标：确保现有产品实现高质量、高销售效能的增长；为海克威</w:t>
            </w:r>
            <w:r>
              <w:rPr>
                <w:rFonts w:hint="eastAsia"/>
                <w:color w:val="000000" w:themeColor="text1"/>
                <w:kern w:val="0"/>
                <w:sz w:val="24"/>
                <w:vertAlign w:val="superscript"/>
                <w14:textFill>
                  <w14:solidFill>
                    <w14:schemeClr w14:val="tx1"/>
                  </w14:solidFill>
                </w14:textFill>
              </w:rPr>
              <w:t>®</w:t>
            </w:r>
            <w:r>
              <w:rPr>
                <w:rFonts w:hint="eastAsia"/>
                <w:color w:val="000000" w:themeColor="text1"/>
                <w:kern w:val="0"/>
                <w:sz w:val="24"/>
                <w14:textFill>
                  <w14:solidFill>
                    <w14:schemeClr w14:val="tx1"/>
                  </w14:solidFill>
                </w14:textFill>
              </w:rPr>
              <w:t>、APL-1702上市建立市场影响力包括治疗领域的专家共识，公众的疾病教育等，为产品上市后销售放量做好前期铺垫；围绕专注领域持续引入产品，加强管线协同，进一步提升销售效能；通过以重磅产品迭代、适应症扩充为中心，辅以产品协同扩充，形成有梯度和深度的管线布局，逐步成为女性健康领域的领导者。</w:t>
            </w:r>
          </w:p>
        </w:tc>
      </w:tr>
      <w:tr w14:paraId="19E7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20EA6E3">
            <w:pPr>
              <w:spacing w:before="156" w:beforeLines="50" w:after="156" w:afterLines="50"/>
              <w:rPr>
                <w:rFonts w:hint="eastAsia" w:ascii="宋体" w:hAnsi="宋体"/>
                <w:bCs/>
                <w:iCs/>
                <w:color w:val="000000"/>
                <w:sz w:val="24"/>
              </w:rPr>
            </w:pPr>
            <w:r>
              <w:rPr>
                <w:rFonts w:hint="eastAsia" w:ascii="宋体" w:hAnsi="宋体"/>
                <w:bCs/>
                <w:iCs/>
                <w:color w:val="000000"/>
                <w:sz w:val="24"/>
              </w:rPr>
              <w:t>附件清单（如有）</w:t>
            </w:r>
          </w:p>
        </w:tc>
        <w:tc>
          <w:tcPr>
            <w:tcW w:w="6438" w:type="dxa"/>
            <w:tcBorders>
              <w:top w:val="single" w:color="auto" w:sz="4" w:space="0"/>
              <w:left w:val="single" w:color="auto" w:sz="4" w:space="0"/>
              <w:bottom w:val="single" w:color="auto" w:sz="4" w:space="0"/>
              <w:right w:val="single" w:color="auto" w:sz="4" w:space="0"/>
            </w:tcBorders>
            <w:shd w:val="clear" w:color="auto" w:fill="auto"/>
            <w:vAlign w:val="center"/>
          </w:tcPr>
          <w:p w14:paraId="67253824">
            <w:pPr>
              <w:rPr>
                <w:rFonts w:hint="eastAsia" w:ascii="宋体" w:hAnsi="宋体"/>
                <w:bCs/>
                <w:iCs/>
                <w:color w:val="000000"/>
                <w:sz w:val="24"/>
              </w:rPr>
            </w:pPr>
            <w:r>
              <w:rPr>
                <w:rFonts w:hint="eastAsia" w:ascii="宋体" w:hAnsi="宋体"/>
                <w:bCs/>
                <w:iCs/>
                <w:color w:val="000000"/>
                <w:sz w:val="24"/>
              </w:rPr>
              <w:t>无</w:t>
            </w:r>
          </w:p>
        </w:tc>
      </w:tr>
      <w:tr w14:paraId="6C6F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0ED1174">
            <w:pPr>
              <w:spacing w:before="156" w:beforeLines="50" w:after="156" w:afterLines="50"/>
              <w:rPr>
                <w:rFonts w:hint="eastAsia" w:ascii="宋体" w:hAnsi="宋体"/>
                <w:bCs/>
                <w:iCs/>
                <w:color w:val="000000"/>
                <w:sz w:val="24"/>
              </w:rPr>
            </w:pPr>
            <w:r>
              <w:rPr>
                <w:rFonts w:hint="eastAsia" w:ascii="宋体" w:hAnsi="宋体"/>
                <w:bCs/>
                <w:iCs/>
                <w:color w:val="000000"/>
                <w:sz w:val="24"/>
              </w:rPr>
              <w:t>关于本次活动是否涉及应当披露重大信息的说明</w:t>
            </w:r>
          </w:p>
        </w:tc>
        <w:tc>
          <w:tcPr>
            <w:tcW w:w="6438" w:type="dxa"/>
            <w:tcBorders>
              <w:top w:val="single" w:color="auto" w:sz="4" w:space="0"/>
              <w:left w:val="single" w:color="auto" w:sz="4" w:space="0"/>
              <w:bottom w:val="single" w:color="auto" w:sz="4" w:space="0"/>
              <w:right w:val="single" w:color="auto" w:sz="4" w:space="0"/>
            </w:tcBorders>
            <w:shd w:val="clear" w:color="auto" w:fill="auto"/>
            <w:vAlign w:val="center"/>
          </w:tcPr>
          <w:p w14:paraId="71C34D07">
            <w:pPr>
              <w:rPr>
                <w:rFonts w:hint="eastAsia" w:ascii="宋体" w:hAnsi="宋体"/>
                <w:bCs/>
                <w:iCs/>
                <w:color w:val="000000"/>
                <w:sz w:val="24"/>
              </w:rPr>
            </w:pPr>
            <w:r>
              <w:rPr>
                <w:rFonts w:hint="eastAsia" w:ascii="宋体" w:hAnsi="宋体"/>
                <w:bCs/>
                <w:iCs/>
                <w:color w:val="000000"/>
                <w:sz w:val="24"/>
              </w:rPr>
              <w:t>本次活动，公司严格按照相关规定交流沟通，不存在未公开重大信息泄露等情形。</w:t>
            </w:r>
          </w:p>
        </w:tc>
      </w:tr>
      <w:tr w14:paraId="6285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76146D7">
            <w:pPr>
              <w:spacing w:before="156" w:beforeLines="50" w:after="156" w:afterLines="50"/>
              <w:rPr>
                <w:rFonts w:hint="eastAsia" w:ascii="宋体" w:hAnsi="宋体"/>
                <w:bCs/>
                <w:iCs/>
                <w:color w:val="000000"/>
                <w:sz w:val="24"/>
              </w:rPr>
            </w:pPr>
            <w:r>
              <w:rPr>
                <w:rFonts w:hint="eastAsia" w:ascii="宋体" w:hAnsi="宋体"/>
                <w:bCs/>
                <w:iCs/>
                <w:color w:val="000000"/>
                <w:sz w:val="24"/>
              </w:rPr>
              <w:t>日期</w:t>
            </w:r>
          </w:p>
        </w:tc>
        <w:tc>
          <w:tcPr>
            <w:tcW w:w="6438" w:type="dxa"/>
            <w:tcBorders>
              <w:top w:val="single" w:color="auto" w:sz="4" w:space="0"/>
              <w:left w:val="single" w:color="auto" w:sz="4" w:space="0"/>
              <w:bottom w:val="single" w:color="auto" w:sz="4" w:space="0"/>
              <w:right w:val="single" w:color="auto" w:sz="4" w:space="0"/>
            </w:tcBorders>
            <w:shd w:val="clear" w:color="auto" w:fill="auto"/>
          </w:tcPr>
          <w:p w14:paraId="19E7892A">
            <w:pPr>
              <w:spacing w:before="156" w:beforeLines="50" w:after="156" w:afterLines="50"/>
              <w:rPr>
                <w:bCs/>
                <w:iCs/>
                <w:color w:val="000000"/>
                <w:sz w:val="24"/>
              </w:rPr>
            </w:pPr>
            <w:r>
              <w:rPr>
                <w:bCs/>
                <w:iCs/>
                <w:color w:val="000000"/>
                <w:sz w:val="24"/>
              </w:rPr>
              <w:t>202</w:t>
            </w:r>
            <w:r>
              <w:rPr>
                <w:rFonts w:hint="eastAsia"/>
                <w:bCs/>
                <w:iCs/>
                <w:color w:val="000000"/>
                <w:sz w:val="24"/>
              </w:rPr>
              <w:t>5年4</w:t>
            </w:r>
            <w:r>
              <w:rPr>
                <w:bCs/>
                <w:iCs/>
                <w:color w:val="000000"/>
                <w:sz w:val="24"/>
              </w:rPr>
              <w:t>月</w:t>
            </w:r>
            <w:r>
              <w:rPr>
                <w:rFonts w:hint="eastAsia"/>
                <w:bCs/>
                <w:iCs/>
                <w:color w:val="000000"/>
                <w:sz w:val="24"/>
              </w:rPr>
              <w:t>21</w:t>
            </w:r>
            <w:r>
              <w:rPr>
                <w:bCs/>
                <w:iCs/>
                <w:color w:val="000000"/>
                <w:sz w:val="24"/>
              </w:rPr>
              <w:t>日</w:t>
            </w:r>
          </w:p>
        </w:tc>
      </w:tr>
    </w:tbl>
    <w:p w14:paraId="4325A8AA">
      <w:pPr>
        <w:rPr>
          <w:rFonts w:hint="eastAsia" w:ascii="宋体" w:hAnsi="宋体"/>
          <w:b/>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911474"/>
      <w:docPartObj>
        <w:docPartGallery w:val="AutoText"/>
      </w:docPartObj>
    </w:sdtPr>
    <w:sdtContent>
      <w:p w14:paraId="673E565E">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C4"/>
    <w:rsid w:val="00012F8D"/>
    <w:rsid w:val="000137ED"/>
    <w:rsid w:val="00013885"/>
    <w:rsid w:val="00013B4C"/>
    <w:rsid w:val="00013FD3"/>
    <w:rsid w:val="00015EE7"/>
    <w:rsid w:val="00016028"/>
    <w:rsid w:val="000164F0"/>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5778"/>
    <w:rsid w:val="00035B29"/>
    <w:rsid w:val="00036456"/>
    <w:rsid w:val="00036EC6"/>
    <w:rsid w:val="0003721E"/>
    <w:rsid w:val="000373EF"/>
    <w:rsid w:val="0004121C"/>
    <w:rsid w:val="00041C79"/>
    <w:rsid w:val="000426BB"/>
    <w:rsid w:val="00042A68"/>
    <w:rsid w:val="000450D3"/>
    <w:rsid w:val="00046D77"/>
    <w:rsid w:val="000471A0"/>
    <w:rsid w:val="00047B68"/>
    <w:rsid w:val="00047F63"/>
    <w:rsid w:val="00050020"/>
    <w:rsid w:val="000501F9"/>
    <w:rsid w:val="00050E47"/>
    <w:rsid w:val="0005173C"/>
    <w:rsid w:val="00051A82"/>
    <w:rsid w:val="00054752"/>
    <w:rsid w:val="000553EA"/>
    <w:rsid w:val="00056B2B"/>
    <w:rsid w:val="0005788C"/>
    <w:rsid w:val="00057B3E"/>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5EE"/>
    <w:rsid w:val="000E0860"/>
    <w:rsid w:val="000E0A82"/>
    <w:rsid w:val="000E142F"/>
    <w:rsid w:val="000E1B3D"/>
    <w:rsid w:val="000E4155"/>
    <w:rsid w:val="000E503D"/>
    <w:rsid w:val="000E57C0"/>
    <w:rsid w:val="000F111F"/>
    <w:rsid w:val="000F191F"/>
    <w:rsid w:val="000F1B3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2796"/>
    <w:rsid w:val="00132FC1"/>
    <w:rsid w:val="0013328D"/>
    <w:rsid w:val="00135704"/>
    <w:rsid w:val="0013665F"/>
    <w:rsid w:val="001417C0"/>
    <w:rsid w:val="0014341D"/>
    <w:rsid w:val="00144179"/>
    <w:rsid w:val="001443C9"/>
    <w:rsid w:val="001459FF"/>
    <w:rsid w:val="00153C38"/>
    <w:rsid w:val="0015401D"/>
    <w:rsid w:val="00155204"/>
    <w:rsid w:val="00155728"/>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3931"/>
    <w:rsid w:val="00183D9A"/>
    <w:rsid w:val="0018417B"/>
    <w:rsid w:val="00184803"/>
    <w:rsid w:val="00184CFA"/>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B85"/>
    <w:rsid w:val="00232BC1"/>
    <w:rsid w:val="0023356D"/>
    <w:rsid w:val="0023369D"/>
    <w:rsid w:val="00235328"/>
    <w:rsid w:val="002368FF"/>
    <w:rsid w:val="002376AF"/>
    <w:rsid w:val="00242BD4"/>
    <w:rsid w:val="00243495"/>
    <w:rsid w:val="00244777"/>
    <w:rsid w:val="00244D51"/>
    <w:rsid w:val="00246016"/>
    <w:rsid w:val="00246058"/>
    <w:rsid w:val="0024676F"/>
    <w:rsid w:val="0024726F"/>
    <w:rsid w:val="0024757B"/>
    <w:rsid w:val="0025153F"/>
    <w:rsid w:val="00251A5B"/>
    <w:rsid w:val="00251E20"/>
    <w:rsid w:val="002521AA"/>
    <w:rsid w:val="00252901"/>
    <w:rsid w:val="00253659"/>
    <w:rsid w:val="00254C93"/>
    <w:rsid w:val="00254FE6"/>
    <w:rsid w:val="00255808"/>
    <w:rsid w:val="00260E4A"/>
    <w:rsid w:val="002613A4"/>
    <w:rsid w:val="00263343"/>
    <w:rsid w:val="00263D64"/>
    <w:rsid w:val="00263E3B"/>
    <w:rsid w:val="00265218"/>
    <w:rsid w:val="00265905"/>
    <w:rsid w:val="0026792C"/>
    <w:rsid w:val="00267E13"/>
    <w:rsid w:val="002710A5"/>
    <w:rsid w:val="002710DB"/>
    <w:rsid w:val="002717B6"/>
    <w:rsid w:val="0027373C"/>
    <w:rsid w:val="0027550E"/>
    <w:rsid w:val="00275FCC"/>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C2A"/>
    <w:rsid w:val="0030120F"/>
    <w:rsid w:val="00301F00"/>
    <w:rsid w:val="003035EA"/>
    <w:rsid w:val="00303A4B"/>
    <w:rsid w:val="00304447"/>
    <w:rsid w:val="003048A2"/>
    <w:rsid w:val="003059E6"/>
    <w:rsid w:val="0031034E"/>
    <w:rsid w:val="003107F8"/>
    <w:rsid w:val="0031082E"/>
    <w:rsid w:val="0031102B"/>
    <w:rsid w:val="0031210C"/>
    <w:rsid w:val="003143E3"/>
    <w:rsid w:val="00315A27"/>
    <w:rsid w:val="00320744"/>
    <w:rsid w:val="0032124E"/>
    <w:rsid w:val="00321A7D"/>
    <w:rsid w:val="003224BF"/>
    <w:rsid w:val="003227C4"/>
    <w:rsid w:val="003227D6"/>
    <w:rsid w:val="00326561"/>
    <w:rsid w:val="00326888"/>
    <w:rsid w:val="00326BD1"/>
    <w:rsid w:val="00327C07"/>
    <w:rsid w:val="00331DFF"/>
    <w:rsid w:val="0033447D"/>
    <w:rsid w:val="0033454B"/>
    <w:rsid w:val="0033555A"/>
    <w:rsid w:val="00336148"/>
    <w:rsid w:val="00336511"/>
    <w:rsid w:val="00336F51"/>
    <w:rsid w:val="00337736"/>
    <w:rsid w:val="003417F4"/>
    <w:rsid w:val="0034238D"/>
    <w:rsid w:val="00354A74"/>
    <w:rsid w:val="00355109"/>
    <w:rsid w:val="00355705"/>
    <w:rsid w:val="00355CEC"/>
    <w:rsid w:val="003561D6"/>
    <w:rsid w:val="0035748B"/>
    <w:rsid w:val="003603D6"/>
    <w:rsid w:val="003609BA"/>
    <w:rsid w:val="00361644"/>
    <w:rsid w:val="00361C1B"/>
    <w:rsid w:val="00361E80"/>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419B"/>
    <w:rsid w:val="003B5836"/>
    <w:rsid w:val="003B5AAE"/>
    <w:rsid w:val="003B7ADA"/>
    <w:rsid w:val="003C2E61"/>
    <w:rsid w:val="003C3DD5"/>
    <w:rsid w:val="003C4414"/>
    <w:rsid w:val="003C56ED"/>
    <w:rsid w:val="003C59D9"/>
    <w:rsid w:val="003C5C0E"/>
    <w:rsid w:val="003C75A6"/>
    <w:rsid w:val="003C7FC3"/>
    <w:rsid w:val="003D0543"/>
    <w:rsid w:val="003D0592"/>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40B0"/>
    <w:rsid w:val="003F4B28"/>
    <w:rsid w:val="003F4FF9"/>
    <w:rsid w:val="003F57E3"/>
    <w:rsid w:val="003F6771"/>
    <w:rsid w:val="003F6829"/>
    <w:rsid w:val="003F6AAC"/>
    <w:rsid w:val="0040069A"/>
    <w:rsid w:val="00400789"/>
    <w:rsid w:val="004009FA"/>
    <w:rsid w:val="00400EF5"/>
    <w:rsid w:val="00401367"/>
    <w:rsid w:val="00401605"/>
    <w:rsid w:val="00402034"/>
    <w:rsid w:val="00404170"/>
    <w:rsid w:val="00404CA9"/>
    <w:rsid w:val="00405444"/>
    <w:rsid w:val="00405EA1"/>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347B"/>
    <w:rsid w:val="004C7F5E"/>
    <w:rsid w:val="004D35FA"/>
    <w:rsid w:val="004D47A3"/>
    <w:rsid w:val="004D53EA"/>
    <w:rsid w:val="004D546C"/>
    <w:rsid w:val="004D6083"/>
    <w:rsid w:val="004D6884"/>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F0D"/>
    <w:rsid w:val="004F76A8"/>
    <w:rsid w:val="004F7BF6"/>
    <w:rsid w:val="005007A0"/>
    <w:rsid w:val="00501DAF"/>
    <w:rsid w:val="00502679"/>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57C0"/>
    <w:rsid w:val="00525976"/>
    <w:rsid w:val="00525B90"/>
    <w:rsid w:val="00526E0F"/>
    <w:rsid w:val="0052719C"/>
    <w:rsid w:val="00532258"/>
    <w:rsid w:val="005335BD"/>
    <w:rsid w:val="00533A74"/>
    <w:rsid w:val="00534F8A"/>
    <w:rsid w:val="00535C56"/>
    <w:rsid w:val="00536EA8"/>
    <w:rsid w:val="005374F1"/>
    <w:rsid w:val="0054096C"/>
    <w:rsid w:val="00542181"/>
    <w:rsid w:val="005424A0"/>
    <w:rsid w:val="0054355F"/>
    <w:rsid w:val="00543998"/>
    <w:rsid w:val="005448BB"/>
    <w:rsid w:val="00545115"/>
    <w:rsid w:val="005464F3"/>
    <w:rsid w:val="005507DE"/>
    <w:rsid w:val="005516A7"/>
    <w:rsid w:val="00552240"/>
    <w:rsid w:val="00552E18"/>
    <w:rsid w:val="005547B7"/>
    <w:rsid w:val="00555148"/>
    <w:rsid w:val="00555F80"/>
    <w:rsid w:val="00556DEC"/>
    <w:rsid w:val="00557D8E"/>
    <w:rsid w:val="0056033B"/>
    <w:rsid w:val="00561525"/>
    <w:rsid w:val="005617BE"/>
    <w:rsid w:val="00561C7C"/>
    <w:rsid w:val="00563E74"/>
    <w:rsid w:val="00564589"/>
    <w:rsid w:val="00565607"/>
    <w:rsid w:val="00566138"/>
    <w:rsid w:val="00566722"/>
    <w:rsid w:val="00566A2E"/>
    <w:rsid w:val="00567E7A"/>
    <w:rsid w:val="00572B90"/>
    <w:rsid w:val="00575A03"/>
    <w:rsid w:val="00576640"/>
    <w:rsid w:val="00580664"/>
    <w:rsid w:val="00581B99"/>
    <w:rsid w:val="005825A6"/>
    <w:rsid w:val="00583012"/>
    <w:rsid w:val="00583341"/>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BDE"/>
    <w:rsid w:val="005A660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3A77"/>
    <w:rsid w:val="00655763"/>
    <w:rsid w:val="00656714"/>
    <w:rsid w:val="00656B41"/>
    <w:rsid w:val="00657F9C"/>
    <w:rsid w:val="006609C6"/>
    <w:rsid w:val="0066202E"/>
    <w:rsid w:val="00662575"/>
    <w:rsid w:val="00662BA8"/>
    <w:rsid w:val="00665573"/>
    <w:rsid w:val="006657BD"/>
    <w:rsid w:val="00666775"/>
    <w:rsid w:val="006704C8"/>
    <w:rsid w:val="006705A8"/>
    <w:rsid w:val="00670B07"/>
    <w:rsid w:val="00670D41"/>
    <w:rsid w:val="006710DA"/>
    <w:rsid w:val="0067141C"/>
    <w:rsid w:val="006717A2"/>
    <w:rsid w:val="00671BD0"/>
    <w:rsid w:val="00671E14"/>
    <w:rsid w:val="006735B4"/>
    <w:rsid w:val="006737F4"/>
    <w:rsid w:val="00673A1C"/>
    <w:rsid w:val="006746FE"/>
    <w:rsid w:val="006772BC"/>
    <w:rsid w:val="00677577"/>
    <w:rsid w:val="00681676"/>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B073B"/>
    <w:rsid w:val="006B1FF8"/>
    <w:rsid w:val="006B3CD9"/>
    <w:rsid w:val="006B59E5"/>
    <w:rsid w:val="006B6610"/>
    <w:rsid w:val="006C01B7"/>
    <w:rsid w:val="006C0B92"/>
    <w:rsid w:val="006C274B"/>
    <w:rsid w:val="006C4647"/>
    <w:rsid w:val="006C5E6B"/>
    <w:rsid w:val="006C6A94"/>
    <w:rsid w:val="006C6BD6"/>
    <w:rsid w:val="006D1162"/>
    <w:rsid w:val="006D2E53"/>
    <w:rsid w:val="006D3BDA"/>
    <w:rsid w:val="006D3E99"/>
    <w:rsid w:val="006D4739"/>
    <w:rsid w:val="006D772C"/>
    <w:rsid w:val="006E13E5"/>
    <w:rsid w:val="006E1852"/>
    <w:rsid w:val="006E1AF3"/>
    <w:rsid w:val="006E2779"/>
    <w:rsid w:val="006E296B"/>
    <w:rsid w:val="006E2DDA"/>
    <w:rsid w:val="006E4364"/>
    <w:rsid w:val="006E73D6"/>
    <w:rsid w:val="006F0132"/>
    <w:rsid w:val="006F08FE"/>
    <w:rsid w:val="006F2E7A"/>
    <w:rsid w:val="006F2ECE"/>
    <w:rsid w:val="006F3612"/>
    <w:rsid w:val="006F38FE"/>
    <w:rsid w:val="006F43A2"/>
    <w:rsid w:val="006F524D"/>
    <w:rsid w:val="006F5C82"/>
    <w:rsid w:val="006F6D2C"/>
    <w:rsid w:val="00700557"/>
    <w:rsid w:val="00700682"/>
    <w:rsid w:val="00701065"/>
    <w:rsid w:val="00701E2C"/>
    <w:rsid w:val="00702143"/>
    <w:rsid w:val="0070328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20469"/>
    <w:rsid w:val="00721F9F"/>
    <w:rsid w:val="00722171"/>
    <w:rsid w:val="00723755"/>
    <w:rsid w:val="00724FF8"/>
    <w:rsid w:val="00725C37"/>
    <w:rsid w:val="00726E98"/>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836"/>
    <w:rsid w:val="007B678D"/>
    <w:rsid w:val="007B7469"/>
    <w:rsid w:val="007C1B3C"/>
    <w:rsid w:val="007C2C2C"/>
    <w:rsid w:val="007C38B7"/>
    <w:rsid w:val="007C5F02"/>
    <w:rsid w:val="007C617E"/>
    <w:rsid w:val="007D0939"/>
    <w:rsid w:val="007D0943"/>
    <w:rsid w:val="007D1AD3"/>
    <w:rsid w:val="007D28FE"/>
    <w:rsid w:val="007D36F0"/>
    <w:rsid w:val="007D436B"/>
    <w:rsid w:val="007D4E32"/>
    <w:rsid w:val="007D6FE6"/>
    <w:rsid w:val="007D73B8"/>
    <w:rsid w:val="007E0700"/>
    <w:rsid w:val="007E175A"/>
    <w:rsid w:val="007E1D76"/>
    <w:rsid w:val="007E3323"/>
    <w:rsid w:val="007E67D6"/>
    <w:rsid w:val="007E693E"/>
    <w:rsid w:val="007E78EF"/>
    <w:rsid w:val="007E7AC7"/>
    <w:rsid w:val="007F0F10"/>
    <w:rsid w:val="007F2469"/>
    <w:rsid w:val="007F417D"/>
    <w:rsid w:val="007F5545"/>
    <w:rsid w:val="007F6A4F"/>
    <w:rsid w:val="0080298F"/>
    <w:rsid w:val="00804412"/>
    <w:rsid w:val="0080449E"/>
    <w:rsid w:val="00804BC8"/>
    <w:rsid w:val="008058C8"/>
    <w:rsid w:val="008074C2"/>
    <w:rsid w:val="00807E6C"/>
    <w:rsid w:val="00810130"/>
    <w:rsid w:val="0081044D"/>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7ED"/>
    <w:rsid w:val="00846AAB"/>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6EB3"/>
    <w:rsid w:val="0087760B"/>
    <w:rsid w:val="00880197"/>
    <w:rsid w:val="008813F7"/>
    <w:rsid w:val="00882B07"/>
    <w:rsid w:val="00883401"/>
    <w:rsid w:val="00884056"/>
    <w:rsid w:val="008845E6"/>
    <w:rsid w:val="0088652C"/>
    <w:rsid w:val="0088658E"/>
    <w:rsid w:val="0088775F"/>
    <w:rsid w:val="008909D5"/>
    <w:rsid w:val="00890CFB"/>
    <w:rsid w:val="0089131E"/>
    <w:rsid w:val="008937C8"/>
    <w:rsid w:val="008957B8"/>
    <w:rsid w:val="00896B10"/>
    <w:rsid w:val="00897D0F"/>
    <w:rsid w:val="008A1B63"/>
    <w:rsid w:val="008A1EED"/>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B7"/>
    <w:rsid w:val="008B6A72"/>
    <w:rsid w:val="008C0040"/>
    <w:rsid w:val="008C1961"/>
    <w:rsid w:val="008C1B93"/>
    <w:rsid w:val="008C28C3"/>
    <w:rsid w:val="008C2DB4"/>
    <w:rsid w:val="008C3B5B"/>
    <w:rsid w:val="008C536B"/>
    <w:rsid w:val="008C62CD"/>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9041C1"/>
    <w:rsid w:val="00904A19"/>
    <w:rsid w:val="00905631"/>
    <w:rsid w:val="009075E2"/>
    <w:rsid w:val="00907DC0"/>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21BC"/>
    <w:rsid w:val="0093344F"/>
    <w:rsid w:val="00934095"/>
    <w:rsid w:val="00935917"/>
    <w:rsid w:val="00937011"/>
    <w:rsid w:val="00937BD5"/>
    <w:rsid w:val="00941159"/>
    <w:rsid w:val="00942271"/>
    <w:rsid w:val="00942615"/>
    <w:rsid w:val="00942795"/>
    <w:rsid w:val="00942FF3"/>
    <w:rsid w:val="00943046"/>
    <w:rsid w:val="009435B4"/>
    <w:rsid w:val="00943758"/>
    <w:rsid w:val="0094398B"/>
    <w:rsid w:val="00945935"/>
    <w:rsid w:val="00945EAA"/>
    <w:rsid w:val="00945EE2"/>
    <w:rsid w:val="00952D67"/>
    <w:rsid w:val="009538FD"/>
    <w:rsid w:val="00954AED"/>
    <w:rsid w:val="00957E84"/>
    <w:rsid w:val="0096013F"/>
    <w:rsid w:val="00961131"/>
    <w:rsid w:val="00961E09"/>
    <w:rsid w:val="00962851"/>
    <w:rsid w:val="00962A7F"/>
    <w:rsid w:val="00962CD9"/>
    <w:rsid w:val="00963216"/>
    <w:rsid w:val="0096594C"/>
    <w:rsid w:val="00970C00"/>
    <w:rsid w:val="009728AF"/>
    <w:rsid w:val="009745F8"/>
    <w:rsid w:val="00974D6A"/>
    <w:rsid w:val="00975CFA"/>
    <w:rsid w:val="0097615F"/>
    <w:rsid w:val="00976AFC"/>
    <w:rsid w:val="00976BB9"/>
    <w:rsid w:val="00976EDD"/>
    <w:rsid w:val="00977E35"/>
    <w:rsid w:val="00980DDB"/>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F68"/>
    <w:rsid w:val="009E22F0"/>
    <w:rsid w:val="009E248F"/>
    <w:rsid w:val="009E2CF6"/>
    <w:rsid w:val="009E4435"/>
    <w:rsid w:val="009E4812"/>
    <w:rsid w:val="009E5B8D"/>
    <w:rsid w:val="009E64E4"/>
    <w:rsid w:val="009E68F7"/>
    <w:rsid w:val="009E743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07648"/>
    <w:rsid w:val="00A10B0F"/>
    <w:rsid w:val="00A11762"/>
    <w:rsid w:val="00A118E1"/>
    <w:rsid w:val="00A11F86"/>
    <w:rsid w:val="00A142C3"/>
    <w:rsid w:val="00A15DC6"/>
    <w:rsid w:val="00A16969"/>
    <w:rsid w:val="00A16D32"/>
    <w:rsid w:val="00A16DB2"/>
    <w:rsid w:val="00A2061C"/>
    <w:rsid w:val="00A2066A"/>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7147"/>
    <w:rsid w:val="00A503D1"/>
    <w:rsid w:val="00A50757"/>
    <w:rsid w:val="00A509EE"/>
    <w:rsid w:val="00A516EE"/>
    <w:rsid w:val="00A51E2D"/>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48D8"/>
    <w:rsid w:val="00A6539A"/>
    <w:rsid w:val="00A65C4E"/>
    <w:rsid w:val="00A66202"/>
    <w:rsid w:val="00A67F26"/>
    <w:rsid w:val="00A71E36"/>
    <w:rsid w:val="00A725C9"/>
    <w:rsid w:val="00A72AB1"/>
    <w:rsid w:val="00A72DCE"/>
    <w:rsid w:val="00A74500"/>
    <w:rsid w:val="00A75149"/>
    <w:rsid w:val="00A75163"/>
    <w:rsid w:val="00A7671D"/>
    <w:rsid w:val="00A80E56"/>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33E0"/>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435B"/>
    <w:rsid w:val="00AE4ED3"/>
    <w:rsid w:val="00AE6497"/>
    <w:rsid w:val="00AE7CF8"/>
    <w:rsid w:val="00AF0ED6"/>
    <w:rsid w:val="00AF0FA4"/>
    <w:rsid w:val="00AF1423"/>
    <w:rsid w:val="00AF1515"/>
    <w:rsid w:val="00AF168A"/>
    <w:rsid w:val="00AF408E"/>
    <w:rsid w:val="00AF523A"/>
    <w:rsid w:val="00AF525D"/>
    <w:rsid w:val="00AF6782"/>
    <w:rsid w:val="00AF6ADA"/>
    <w:rsid w:val="00B00087"/>
    <w:rsid w:val="00B00D8E"/>
    <w:rsid w:val="00B01BC0"/>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240E"/>
    <w:rsid w:val="00B42BB1"/>
    <w:rsid w:val="00B43022"/>
    <w:rsid w:val="00B44AFD"/>
    <w:rsid w:val="00B4548B"/>
    <w:rsid w:val="00B47406"/>
    <w:rsid w:val="00B474B6"/>
    <w:rsid w:val="00B505E4"/>
    <w:rsid w:val="00B50D63"/>
    <w:rsid w:val="00B5161B"/>
    <w:rsid w:val="00B51906"/>
    <w:rsid w:val="00B53F79"/>
    <w:rsid w:val="00B5542B"/>
    <w:rsid w:val="00B56A30"/>
    <w:rsid w:val="00B60B27"/>
    <w:rsid w:val="00B60B8D"/>
    <w:rsid w:val="00B61ACA"/>
    <w:rsid w:val="00B61E41"/>
    <w:rsid w:val="00B61E76"/>
    <w:rsid w:val="00B6428C"/>
    <w:rsid w:val="00B6432D"/>
    <w:rsid w:val="00B65AE3"/>
    <w:rsid w:val="00B6684D"/>
    <w:rsid w:val="00B67490"/>
    <w:rsid w:val="00B70448"/>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90C45"/>
    <w:rsid w:val="00B92935"/>
    <w:rsid w:val="00B95E28"/>
    <w:rsid w:val="00B97ACF"/>
    <w:rsid w:val="00BA1576"/>
    <w:rsid w:val="00BA24F1"/>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1007"/>
    <w:rsid w:val="00BC12C0"/>
    <w:rsid w:val="00BC2B27"/>
    <w:rsid w:val="00BC415F"/>
    <w:rsid w:val="00BC418E"/>
    <w:rsid w:val="00BC4D68"/>
    <w:rsid w:val="00BC61C7"/>
    <w:rsid w:val="00BD27AD"/>
    <w:rsid w:val="00BD2B75"/>
    <w:rsid w:val="00BD3CE4"/>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CFF"/>
    <w:rsid w:val="00BF4EA2"/>
    <w:rsid w:val="00BF5E15"/>
    <w:rsid w:val="00BF6471"/>
    <w:rsid w:val="00C00E38"/>
    <w:rsid w:val="00C011BE"/>
    <w:rsid w:val="00C02501"/>
    <w:rsid w:val="00C03374"/>
    <w:rsid w:val="00C042E4"/>
    <w:rsid w:val="00C04566"/>
    <w:rsid w:val="00C0500C"/>
    <w:rsid w:val="00C06538"/>
    <w:rsid w:val="00C12D37"/>
    <w:rsid w:val="00C12FB4"/>
    <w:rsid w:val="00C1318D"/>
    <w:rsid w:val="00C144B2"/>
    <w:rsid w:val="00C146F9"/>
    <w:rsid w:val="00C15E23"/>
    <w:rsid w:val="00C17A43"/>
    <w:rsid w:val="00C17B86"/>
    <w:rsid w:val="00C17F64"/>
    <w:rsid w:val="00C20533"/>
    <w:rsid w:val="00C2068A"/>
    <w:rsid w:val="00C2128D"/>
    <w:rsid w:val="00C216A5"/>
    <w:rsid w:val="00C23413"/>
    <w:rsid w:val="00C23ED0"/>
    <w:rsid w:val="00C24E99"/>
    <w:rsid w:val="00C2508A"/>
    <w:rsid w:val="00C258A3"/>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7DD"/>
    <w:rsid w:val="00C52962"/>
    <w:rsid w:val="00C52F4D"/>
    <w:rsid w:val="00C5385C"/>
    <w:rsid w:val="00C54A50"/>
    <w:rsid w:val="00C54EFD"/>
    <w:rsid w:val="00C55C5B"/>
    <w:rsid w:val="00C607CC"/>
    <w:rsid w:val="00C6121F"/>
    <w:rsid w:val="00C61876"/>
    <w:rsid w:val="00C62E5D"/>
    <w:rsid w:val="00C6303C"/>
    <w:rsid w:val="00C63216"/>
    <w:rsid w:val="00C63A1E"/>
    <w:rsid w:val="00C64619"/>
    <w:rsid w:val="00C64D8F"/>
    <w:rsid w:val="00C65283"/>
    <w:rsid w:val="00C67574"/>
    <w:rsid w:val="00C67AFB"/>
    <w:rsid w:val="00C702F5"/>
    <w:rsid w:val="00C705FD"/>
    <w:rsid w:val="00C711F7"/>
    <w:rsid w:val="00C718DA"/>
    <w:rsid w:val="00C73F0C"/>
    <w:rsid w:val="00C74285"/>
    <w:rsid w:val="00C747AB"/>
    <w:rsid w:val="00C754F1"/>
    <w:rsid w:val="00C75D89"/>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7CC"/>
    <w:rsid w:val="00CB13BD"/>
    <w:rsid w:val="00CB1C4A"/>
    <w:rsid w:val="00CB2791"/>
    <w:rsid w:val="00CB3E90"/>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658F"/>
    <w:rsid w:val="00D6671A"/>
    <w:rsid w:val="00D70C48"/>
    <w:rsid w:val="00D70EF9"/>
    <w:rsid w:val="00D71D75"/>
    <w:rsid w:val="00D72DFA"/>
    <w:rsid w:val="00D7355E"/>
    <w:rsid w:val="00D73D24"/>
    <w:rsid w:val="00D76BB5"/>
    <w:rsid w:val="00D77C3C"/>
    <w:rsid w:val="00D77C71"/>
    <w:rsid w:val="00D8168A"/>
    <w:rsid w:val="00D8189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4F8C"/>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54D2"/>
    <w:rsid w:val="00DE6486"/>
    <w:rsid w:val="00DF1FBF"/>
    <w:rsid w:val="00DF226E"/>
    <w:rsid w:val="00DF39D9"/>
    <w:rsid w:val="00DF3A92"/>
    <w:rsid w:val="00DF4769"/>
    <w:rsid w:val="00DF50F0"/>
    <w:rsid w:val="00E00733"/>
    <w:rsid w:val="00E015E9"/>
    <w:rsid w:val="00E01C6C"/>
    <w:rsid w:val="00E022B1"/>
    <w:rsid w:val="00E05BB3"/>
    <w:rsid w:val="00E05CBB"/>
    <w:rsid w:val="00E06374"/>
    <w:rsid w:val="00E0787D"/>
    <w:rsid w:val="00E11A08"/>
    <w:rsid w:val="00E12359"/>
    <w:rsid w:val="00E129E2"/>
    <w:rsid w:val="00E130EE"/>
    <w:rsid w:val="00E13FC5"/>
    <w:rsid w:val="00E203C7"/>
    <w:rsid w:val="00E20C42"/>
    <w:rsid w:val="00E20E82"/>
    <w:rsid w:val="00E22684"/>
    <w:rsid w:val="00E2439B"/>
    <w:rsid w:val="00E254E4"/>
    <w:rsid w:val="00E26436"/>
    <w:rsid w:val="00E26B7C"/>
    <w:rsid w:val="00E277EC"/>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A8D"/>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430E"/>
    <w:rsid w:val="00ED456A"/>
    <w:rsid w:val="00ED55C5"/>
    <w:rsid w:val="00ED6742"/>
    <w:rsid w:val="00ED6B73"/>
    <w:rsid w:val="00EE3622"/>
    <w:rsid w:val="00EE3BFB"/>
    <w:rsid w:val="00EE3C79"/>
    <w:rsid w:val="00EE468A"/>
    <w:rsid w:val="00EE485E"/>
    <w:rsid w:val="00EE569B"/>
    <w:rsid w:val="00EE5AE1"/>
    <w:rsid w:val="00EF01BF"/>
    <w:rsid w:val="00EF1642"/>
    <w:rsid w:val="00EF55CB"/>
    <w:rsid w:val="00EF5942"/>
    <w:rsid w:val="00F0034A"/>
    <w:rsid w:val="00F006B2"/>
    <w:rsid w:val="00F00DBA"/>
    <w:rsid w:val="00F022CF"/>
    <w:rsid w:val="00F024CB"/>
    <w:rsid w:val="00F03A6C"/>
    <w:rsid w:val="00F06751"/>
    <w:rsid w:val="00F077F8"/>
    <w:rsid w:val="00F07AE3"/>
    <w:rsid w:val="00F10292"/>
    <w:rsid w:val="00F103A2"/>
    <w:rsid w:val="00F10FE0"/>
    <w:rsid w:val="00F137D6"/>
    <w:rsid w:val="00F13DF4"/>
    <w:rsid w:val="00F13F1B"/>
    <w:rsid w:val="00F14A53"/>
    <w:rsid w:val="00F17AF6"/>
    <w:rsid w:val="00F20189"/>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1E89"/>
    <w:rsid w:val="00F43285"/>
    <w:rsid w:val="00F444D9"/>
    <w:rsid w:val="00F459DA"/>
    <w:rsid w:val="00F46CB3"/>
    <w:rsid w:val="00F514E1"/>
    <w:rsid w:val="00F51EF1"/>
    <w:rsid w:val="00F522B0"/>
    <w:rsid w:val="00F525FD"/>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3D4C"/>
    <w:rsid w:val="00F84436"/>
    <w:rsid w:val="00F859B4"/>
    <w:rsid w:val="00F85FA3"/>
    <w:rsid w:val="00F8642C"/>
    <w:rsid w:val="00F87D1B"/>
    <w:rsid w:val="00F90093"/>
    <w:rsid w:val="00F9089E"/>
    <w:rsid w:val="00F9368D"/>
    <w:rsid w:val="00F95528"/>
    <w:rsid w:val="00F95F7D"/>
    <w:rsid w:val="00F9634B"/>
    <w:rsid w:val="00F97EE6"/>
    <w:rsid w:val="00FA08D9"/>
    <w:rsid w:val="00FA1119"/>
    <w:rsid w:val="00FA1AD2"/>
    <w:rsid w:val="00FA30F2"/>
    <w:rsid w:val="00FA3ED5"/>
    <w:rsid w:val="00FA4CCD"/>
    <w:rsid w:val="00FA5EF3"/>
    <w:rsid w:val="00FA682D"/>
    <w:rsid w:val="00FA7574"/>
    <w:rsid w:val="00FA7E30"/>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DAD"/>
    <w:rsid w:val="00FD66C7"/>
    <w:rsid w:val="00FD73B6"/>
    <w:rsid w:val="00FE08BD"/>
    <w:rsid w:val="00FE1ACE"/>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7312"/>
    <w:rsid w:val="44E6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rFonts w:ascii="Times New Roman" w:hAnsi="Times New Roman" w:eastAsia="宋体" w:cs="Times New Roman"/>
      <w:sz w:val="18"/>
      <w:szCs w:val="18"/>
    </w:rPr>
  </w:style>
  <w:style w:type="character" w:customStyle="1" w:styleId="11">
    <w:name w:val="页脚 字符"/>
    <w:basedOn w:val="8"/>
    <w:link w:val="4"/>
    <w:uiPriority w:val="99"/>
    <w:rPr>
      <w:rFonts w:ascii="Times New Roman" w:hAnsi="Times New Roman" w:eastAsia="宋体" w:cs="Times New Roman"/>
      <w:sz w:val="18"/>
      <w:szCs w:val="18"/>
    </w:rPr>
  </w:style>
  <w:style w:type="character" w:customStyle="1" w:styleId="12">
    <w:name w:val="批注文字 字符"/>
    <w:basedOn w:val="8"/>
    <w:link w:val="2"/>
    <w:semiHidden/>
    <w:uiPriority w:val="99"/>
    <w:rPr>
      <w:rFonts w:ascii="Times New Roman" w:hAnsi="Times New Roman" w:eastAsia="宋体" w:cs="Times New Roman"/>
      <w:szCs w:val="24"/>
    </w:rPr>
  </w:style>
  <w:style w:type="character" w:customStyle="1" w:styleId="13">
    <w:name w:val="批注主题 字符"/>
    <w:basedOn w:val="12"/>
    <w:link w:val="6"/>
    <w:semiHidden/>
    <w:uiPriority w:val="99"/>
    <w:rPr>
      <w:rFonts w:ascii="Times New Roman" w:hAnsi="Times New Roman" w:eastAsia="宋体" w:cs="Times New Roman"/>
      <w:b/>
      <w:bCs/>
      <w:szCs w:val="24"/>
    </w:rPr>
  </w:style>
  <w:style w:type="character" w:customStyle="1" w:styleId="14">
    <w:name w:val="批注框文本 字符"/>
    <w:basedOn w:val="8"/>
    <w:link w:val="3"/>
    <w:semiHidden/>
    <w:uiPriority w:val="99"/>
    <w:rPr>
      <w:rFonts w:ascii="Times New Roman" w:hAnsi="Times New Roman" w:eastAsia="宋体" w:cs="Times New Roman"/>
      <w:sz w:val="18"/>
      <w:szCs w:val="18"/>
    </w:rPr>
  </w:style>
  <w:style w:type="paragraph" w:customStyle="1" w:styleId="15">
    <w:name w:val="Revision"/>
    <w:hidden/>
    <w:semiHidden/>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datastoreItem>
</file>

<file path=docProps/app.xml><?xml version="1.0" encoding="utf-8"?>
<Properties xmlns="http://schemas.openxmlformats.org/officeDocument/2006/extended-properties" xmlns:vt="http://schemas.openxmlformats.org/officeDocument/2006/docPropsVTypes">
  <Template>Normal</Template>
  <Pages>5</Pages>
  <Words>3488</Words>
  <Characters>4089</Characters>
  <Lines>30</Lines>
  <Paragraphs>8</Paragraphs>
  <TotalTime>453</TotalTime>
  <ScaleCrop>false</ScaleCrop>
  <LinksUpToDate>false</LinksUpToDate>
  <CharactersWithSpaces>4221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2024-04-19T09:43:00Z</dcterms:created>
  <dc:creator>skd004</dc:creator>
  <cp:lastModifiedBy>张梦华-Menghua Zhang</cp:lastModifiedBy>
  <cp:lastPrinted>2022-02-09T01:17:00Z</cp:lastPrinted>
  <dcterms:modified xsi:type="dcterms:W3CDTF">2025-04-22T09:17:28Z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eyJoZGlkIjoiODNmNjA5ZjY0NmYwODhjYTdlNjIxYTIwY2UyZmU2ODYiLCJ1c2VySWQiOiI1MzU5ODExODgifQ==</vt:lpwstr>
  </property>
  <property fmtid="{D5CDD505-2E9C-101B-9397-08002B2CF9AE}" pid="3" name="KSOProductBuildVer">
    <vt:lpwstr>2052-12.1.0.20784</vt:lpwstr>
  </property>
  <property fmtid="{D5CDD505-2E9C-101B-9397-08002B2CF9AE}" pid="4" name="ICV">
    <vt:lpwstr>61B9C94BFEF340B7957DC27B96F11494_12</vt:lpwstr>
  </property>
</Properties>
</file>