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3A332">
      <w:pPr>
        <w:spacing w:before="156" w:beforeLines="50" w:after="156" w:afterLines="50" w:line="400" w:lineRule="exact"/>
        <w:rPr>
          <w:rFonts w:ascii="宋体" w:hAnsi="宋体"/>
          <w:b/>
          <w:iCs/>
          <w:color w:val="000000"/>
          <w:sz w:val="24"/>
          <w:szCs w:val="22"/>
        </w:rPr>
      </w:pPr>
      <w:r>
        <w:rPr>
          <w:rFonts w:hint="eastAsia" w:ascii="宋体" w:hAnsi="宋体"/>
          <w:b/>
          <w:iCs/>
          <w:color w:val="000000"/>
          <w:sz w:val="24"/>
          <w:szCs w:val="22"/>
        </w:rPr>
        <w:t xml:space="preserve">证券代码：688188                  </w:t>
      </w:r>
      <w:r>
        <w:rPr>
          <w:rFonts w:hint="default" w:ascii="宋体" w:hAnsi="宋体"/>
          <w:b/>
          <w:iCs/>
          <w:color w:val="000000"/>
          <w:sz w:val="24"/>
          <w:szCs w:val="22"/>
          <w:lang w:val="en-US"/>
        </w:rPr>
        <w:t xml:space="preserve"> </w:t>
      </w:r>
      <w:bookmarkStart w:id="0" w:name="_GoBack"/>
      <w:bookmarkEnd w:id="0"/>
      <w:r>
        <w:rPr>
          <w:rFonts w:hint="eastAsia" w:ascii="宋体" w:hAnsi="宋体"/>
          <w:b/>
          <w:iCs/>
          <w:color w:val="000000"/>
          <w:sz w:val="24"/>
          <w:szCs w:val="22"/>
        </w:rPr>
        <w:t xml:space="preserve">     </w:t>
      </w:r>
      <w:r>
        <w:rPr>
          <w:rFonts w:hint="default" w:ascii="宋体" w:hAnsi="宋体"/>
          <w:b/>
          <w:iCs/>
          <w:color w:val="000000"/>
          <w:sz w:val="24"/>
          <w:szCs w:val="22"/>
          <w:lang w:val="en-US"/>
        </w:rPr>
        <w:t xml:space="preserve"> </w:t>
      </w:r>
      <w:r>
        <w:rPr>
          <w:rFonts w:hint="eastAsia" w:ascii="宋体" w:hAnsi="宋体"/>
          <w:b/>
          <w:iCs/>
          <w:color w:val="000000"/>
          <w:sz w:val="24"/>
          <w:szCs w:val="22"/>
        </w:rPr>
        <w:t xml:space="preserve">        </w:t>
      </w:r>
      <w:r>
        <w:rPr>
          <w:rFonts w:ascii="宋体" w:hAnsi="宋体"/>
          <w:b/>
          <w:iCs/>
          <w:color w:val="000000"/>
          <w:sz w:val="24"/>
          <w:szCs w:val="22"/>
        </w:rPr>
        <w:t xml:space="preserve">  </w:t>
      </w:r>
      <w:r>
        <w:rPr>
          <w:rFonts w:hint="eastAsia" w:ascii="宋体" w:hAnsi="宋体"/>
          <w:b/>
          <w:iCs/>
          <w:color w:val="000000"/>
          <w:sz w:val="24"/>
          <w:szCs w:val="22"/>
        </w:rPr>
        <w:t>证券简称：柏楚电子</w:t>
      </w:r>
    </w:p>
    <w:p w14:paraId="4A25741D">
      <w:pPr>
        <w:spacing w:line="360" w:lineRule="auto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上海柏楚电子科技股份有限公司</w:t>
      </w:r>
    </w:p>
    <w:p w14:paraId="6F07B510">
      <w:pPr>
        <w:spacing w:line="360" w:lineRule="auto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6714C3D7">
      <w:pPr>
        <w:spacing w:line="360" w:lineRule="auto"/>
        <w:ind w:firstLine="643" w:firstLineChars="200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</w:p>
    <w:p w14:paraId="3FFE12CF">
      <w:pPr>
        <w:spacing w:line="400" w:lineRule="exact"/>
        <w:ind w:firstLine="480" w:firstLineChars="200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编号：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2025-002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 w14:paraId="7A73E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DCDD9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  <w:p w14:paraId="7B671610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53406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 w14:paraId="48DCF2C1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 w14:paraId="766E16D5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 w14:paraId="0F86A34F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现场参观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ab/>
            </w:r>
          </w:p>
          <w:p w14:paraId="29C0926E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其他 （</w:t>
            </w:r>
            <w:r>
              <w:rPr>
                <w:rFonts w:hint="eastAsia" w:ascii="宋体" w:hAnsi="宋体"/>
                <w:sz w:val="24"/>
                <w:u w:val="single"/>
              </w:rPr>
              <w:t>电话会议）</w:t>
            </w:r>
          </w:p>
        </w:tc>
      </w:tr>
      <w:tr w14:paraId="22B6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69432">
            <w:pPr>
              <w:spacing w:line="360" w:lineRule="auto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及人数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198C8F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易方达基金管理有限公司、交银施罗德基金、南方基金管理股份有限公司、上海瓴仁私募基金管理合伙企业（有限合伙）、汇添富基金、富国基金、GIC PRIVATE LIMITED、TEMASEK FULLERTON ALPHA PTE LTD、、</w:t>
            </w:r>
            <w:r>
              <w:rPr>
                <w:rFonts w:hint="eastAsia"/>
              </w:rPr>
              <w:t>申万宏源证券有限公司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中信证券股份有限公司</w:t>
            </w:r>
            <w:r>
              <w:rPr>
                <w:rFonts w:hint="eastAsia"/>
                <w:lang w:eastAsia="zh-CN"/>
              </w:rPr>
              <w:t>、中信建投证券股份有限公司</w:t>
            </w:r>
            <w:r>
              <w:rPr>
                <w:rFonts w:hint="eastAsia"/>
                <w:lang w:val="en-US" w:eastAsia="zh-CN"/>
              </w:rPr>
              <w:t>等42家机构，共计50人次。</w:t>
            </w:r>
          </w:p>
        </w:tc>
      </w:tr>
      <w:tr w14:paraId="3678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72CC3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77ABAF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日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上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午1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0-1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20</w:t>
            </w:r>
          </w:p>
        </w:tc>
      </w:tr>
      <w:tr w14:paraId="22F5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532B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76072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电话会议</w:t>
            </w:r>
          </w:p>
        </w:tc>
      </w:tr>
      <w:tr w14:paraId="1D52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B9269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E7534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董事会秘书：周荇</w:t>
            </w:r>
          </w:p>
          <w:p w14:paraId="308EE32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证券事务代表：周志禹</w:t>
            </w:r>
          </w:p>
        </w:tc>
      </w:tr>
      <w:tr w14:paraId="2A8B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84BA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58235F92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F54CED">
            <w:pPr>
              <w:spacing w:line="480" w:lineRule="atLeast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交流的主要内容：</w:t>
            </w:r>
          </w:p>
          <w:p w14:paraId="46DBAE3F">
            <w:pPr>
              <w:spacing w:line="480" w:lineRule="atLeast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/>
                <w:b/>
                <w:iCs/>
                <w:color w:val="000000"/>
                <w:sz w:val="24"/>
              </w:rPr>
              <w:t>第一部分：公司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  <w:lang w:val="en-US" w:eastAsia="zh-CN"/>
              </w:rPr>
              <w:t>2025年第一季度</w:t>
            </w: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业绩基本</w:t>
            </w:r>
            <w:r>
              <w:rPr>
                <w:rFonts w:ascii="宋体" w:hAnsi="宋体"/>
                <w:b/>
                <w:iCs/>
                <w:color w:val="000000"/>
                <w:sz w:val="24"/>
              </w:rPr>
              <w:t>情况介绍</w:t>
            </w:r>
          </w:p>
          <w:p w14:paraId="0A8F097D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2025年第一季度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公司主营收入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95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亿元，同比增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长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30.12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%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。归母净利润为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亿元，同比增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长31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99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%。扣非净利润为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.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亿元，同比增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长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31.41%。</w:t>
            </w:r>
          </w:p>
          <w:p w14:paraId="0A18FD3D">
            <w:pPr>
              <w:spacing w:line="480" w:lineRule="atLeast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第二部分：提问与回答环节</w:t>
            </w:r>
          </w:p>
          <w:p w14:paraId="6E2AF4E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1、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公司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相较于竞品而言，竞争力优势是什么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？</w:t>
            </w:r>
          </w:p>
          <w:p w14:paraId="10A8C24A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竞品方案大多为单一或局部能力的覆盖，若想实现长期稳定的场景交付，必须涉及大量的外部资源整合，并且会存在产品兼容性偏差，开发进度不同步，技术布局差异等一系列的问题，也会较大的影响最终方案的落地。</w:t>
            </w:r>
          </w:p>
          <w:p w14:paraId="6CF92651">
            <w:pPr>
              <w:spacing w:line="480" w:lineRule="atLeast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而相较竞品，公司并不是以单一产品或能力为主导，而是通过软硬件一体化的布局，提供整套的产品组合。当面对技术革新或行业需求变化时，公司会基于自主可控的技术体系及产品矩阵，更加及时高效的响应，也能从整体层面提供一揽子的行业解决方案，从根本解决用户痛点，满足具体加工场景需要。</w:t>
            </w:r>
          </w:p>
          <w:p w14:paraId="48E10B5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公司产品所涉及的芯片是否会受外部环境影响，存在一定的缺货风险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？</w:t>
            </w:r>
          </w:p>
          <w:p w14:paraId="219FE64B">
            <w:pPr>
              <w:spacing w:line="480" w:lineRule="atLeast"/>
              <w:rPr>
                <w:rFonts w:hint="default" w:ascii="宋体" w:hAnsi="宋体"/>
                <w:bCs/>
                <w:iCs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公司长期致力于推动供应链的优化工作，目前已完成大部分的国产化替代，且已对关键元器件进行长周期备料，暂时不会受到外部环境的影响。</w:t>
            </w:r>
          </w:p>
          <w:p w14:paraId="68610330">
            <w:pPr>
              <w:spacing w:line="480" w:lineRule="atLeast"/>
              <w:rPr>
                <w:rFonts w:hint="default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3、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现阶段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公司业务涉及到的重工行业有哪些？</w:t>
            </w:r>
          </w:p>
          <w:p w14:paraId="6A88275D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答：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目前终端应用已覆盖建筑钢结构、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船舶、工程机械等方向。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未来我们也希望能将激光切割业务与智能焊接业务形成合力，进一步放大技术优势，更好的解决行业痛点。</w:t>
            </w:r>
          </w:p>
          <w:p w14:paraId="5DB26ACF">
            <w:pPr>
              <w:numPr>
                <w:ilvl w:val="0"/>
                <w:numId w:val="1"/>
              </w:num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介绍下公司未来研发规划？</w:t>
            </w:r>
          </w:p>
          <w:p w14:paraId="4F184FFC">
            <w:pPr>
              <w:spacing w:line="480" w:lineRule="atLeast"/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答：研发人力主要划分：垂直于业务的开发与创新，基于集团化的平台建设与技术预研。长期以来，公司研发投入都是根据实际业务与技术布局高度匹配，因此研发费用率也相对稳定。</w:t>
            </w:r>
          </w:p>
          <w:p w14:paraId="4AD52842">
            <w:pPr>
              <w:widowControl w:val="0"/>
              <w:numPr>
                <w:ilvl w:val="0"/>
                <w:numId w:val="0"/>
              </w:numPr>
              <w:spacing w:line="480" w:lineRule="atLeast"/>
              <w:jc w:val="both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5、公司业务未来发展的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eastAsia="zh-CN"/>
              </w:rPr>
              <w:t>战略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思路？</w:t>
            </w:r>
          </w:p>
          <w:p w14:paraId="31B35F66">
            <w:pPr>
              <w:widowControl w:val="0"/>
              <w:numPr>
                <w:ilvl w:val="0"/>
                <w:numId w:val="0"/>
              </w:numPr>
              <w:spacing w:line="480" w:lineRule="atLeast"/>
              <w:jc w:val="both"/>
              <w:rPr>
                <w:rFonts w:hint="eastAsia" w:ascii="宋体" w:hAnsi="宋体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答：以工业自动化为主线，持续基于自身技术优势，覆盖更多的核心加工环节，提供更加丰富的行业解决方案。</w:t>
            </w:r>
          </w:p>
        </w:tc>
      </w:tr>
      <w:tr w14:paraId="049E0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BC70C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关于本次活动是否涉及应当披露重大信息的说明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0ED9C8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无。</w:t>
            </w:r>
          </w:p>
        </w:tc>
      </w:tr>
      <w:tr w14:paraId="3F26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A049E">
            <w:pPr>
              <w:spacing w:line="360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A445717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60E53F9C">
      <w:pPr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5EC9B6"/>
    <w:multiLevelType w:val="singleLevel"/>
    <w:tmpl w:val="D05EC9B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zYzcxNmFjOWU0MDU0NjVlZWM4NTczMTA1ZTYwMDYifQ=="/>
  </w:docVars>
  <w:rsids>
    <w:rsidRoot w:val="00DB361F"/>
    <w:rsid w:val="00000601"/>
    <w:rsid w:val="0000207D"/>
    <w:rsid w:val="00003F99"/>
    <w:rsid w:val="00005DB8"/>
    <w:rsid w:val="001417C0"/>
    <w:rsid w:val="001A2E1E"/>
    <w:rsid w:val="001D3494"/>
    <w:rsid w:val="00293E36"/>
    <w:rsid w:val="00295CED"/>
    <w:rsid w:val="002A2C74"/>
    <w:rsid w:val="002B0130"/>
    <w:rsid w:val="002C09B8"/>
    <w:rsid w:val="002D7C22"/>
    <w:rsid w:val="002F3005"/>
    <w:rsid w:val="003035EA"/>
    <w:rsid w:val="003609BA"/>
    <w:rsid w:val="003E70FC"/>
    <w:rsid w:val="00412DA5"/>
    <w:rsid w:val="004D6884"/>
    <w:rsid w:val="0054490C"/>
    <w:rsid w:val="005964DF"/>
    <w:rsid w:val="0060334D"/>
    <w:rsid w:val="00652AE8"/>
    <w:rsid w:val="006903D5"/>
    <w:rsid w:val="006A78DE"/>
    <w:rsid w:val="00752966"/>
    <w:rsid w:val="00785F1B"/>
    <w:rsid w:val="007B2ED3"/>
    <w:rsid w:val="008107E8"/>
    <w:rsid w:val="008A37DE"/>
    <w:rsid w:val="008B0754"/>
    <w:rsid w:val="009148ED"/>
    <w:rsid w:val="009967E3"/>
    <w:rsid w:val="009A490D"/>
    <w:rsid w:val="009B0B11"/>
    <w:rsid w:val="009E743C"/>
    <w:rsid w:val="00A247FA"/>
    <w:rsid w:val="00A6539A"/>
    <w:rsid w:val="00AC7C57"/>
    <w:rsid w:val="00AE4ED3"/>
    <w:rsid w:val="00B26A5B"/>
    <w:rsid w:val="00BB2FD4"/>
    <w:rsid w:val="00CF1F10"/>
    <w:rsid w:val="00D039FA"/>
    <w:rsid w:val="00DA041C"/>
    <w:rsid w:val="00DA4F8C"/>
    <w:rsid w:val="00DB361F"/>
    <w:rsid w:val="00E33901"/>
    <w:rsid w:val="00E52443"/>
    <w:rsid w:val="00EB0D2E"/>
    <w:rsid w:val="00ED430E"/>
    <w:rsid w:val="00F514E1"/>
    <w:rsid w:val="030148E2"/>
    <w:rsid w:val="068E795F"/>
    <w:rsid w:val="07A71079"/>
    <w:rsid w:val="09ED10D6"/>
    <w:rsid w:val="0C547201"/>
    <w:rsid w:val="131B45D5"/>
    <w:rsid w:val="1939138F"/>
    <w:rsid w:val="1A397B11"/>
    <w:rsid w:val="1A4268EB"/>
    <w:rsid w:val="1B845309"/>
    <w:rsid w:val="1CF71A15"/>
    <w:rsid w:val="23E34C9B"/>
    <w:rsid w:val="36580854"/>
    <w:rsid w:val="39957106"/>
    <w:rsid w:val="3B992858"/>
    <w:rsid w:val="3DBF6F19"/>
    <w:rsid w:val="481C291E"/>
    <w:rsid w:val="4EB233C7"/>
    <w:rsid w:val="56B84DAE"/>
    <w:rsid w:val="5B065111"/>
    <w:rsid w:val="69465863"/>
    <w:rsid w:val="71FE04BF"/>
    <w:rsid w:val="78FB2611"/>
    <w:rsid w:val="7CD5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17">
    <w:name w:val="font3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EFA9-4F87-439C-AC01-3D44CAB8AF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1021</Words>
  <Characters>1119</Characters>
  <Lines>9</Lines>
  <Paragraphs>2</Paragraphs>
  <TotalTime>44</TotalTime>
  <ScaleCrop>false</ScaleCrop>
  <LinksUpToDate>false</LinksUpToDate>
  <CharactersWithSpaces>1244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2023-10-13T07:56:00Z</dcterms:created>
  <dc:creator>skd004</dc:creator>
  <cp:lastModifiedBy>红牛</cp:lastModifiedBy>
  <dcterms:modified xsi:type="dcterms:W3CDTF">2025-04-23T06:46:42Z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AA3D7A5BA5D74DBDB223F0D9FE5C7CA2_13</vt:lpwstr>
  </property>
  <property fmtid="{D5CDD505-2E9C-101B-9397-08002B2CF9AE}" pid="4" name="KSOTemplateDocerSaveRecord">
    <vt:lpwstr>eyJoZGlkIjoiZjMzYzcxNmFjOWU0MDU0NjVlZWM4NTczMTA1ZTYwMDYifQ==</vt:lpwstr>
  </property>
</Properties>
</file>