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FDD8E">
      <w:pPr>
        <w:pStyle w:val="2"/>
        <w:rPr>
          <w:rFonts w:ascii="宋体" w:hAnsi="宋体" w:eastAsia="宋体" w:cs="宋体"/>
          <w:sz w:val="28"/>
          <w:szCs w:val="28"/>
          <w:lang w:val="en-US"/>
        </w:rPr>
      </w:pPr>
      <w:r>
        <w:rPr>
          <w:rFonts w:hint="eastAsia" w:ascii="宋体" w:hAnsi="宋体" w:eastAsia="宋体" w:cs="宋体"/>
          <w:sz w:val="24"/>
          <w:szCs w:val="24"/>
          <w:lang w:val="en-US"/>
        </w:rPr>
        <w:t>证券代码：600226                                   证券简称：亨通股份</w:t>
      </w:r>
    </w:p>
    <w:p w14:paraId="0B35A471"/>
    <w:p w14:paraId="474D9942">
      <w:pPr>
        <w:spacing w:line="360" w:lineRule="auto"/>
        <w:jc w:val="center"/>
        <w:rPr>
          <w:rFonts w:ascii="宋体" w:hAnsi="宋体" w:eastAsia="宋体" w:cs="宋体"/>
          <w:b/>
          <w:bCs/>
          <w:sz w:val="44"/>
          <w:szCs w:val="44"/>
        </w:rPr>
      </w:pPr>
      <w:r>
        <w:rPr>
          <w:rFonts w:hint="eastAsia" w:ascii="宋体" w:hAnsi="宋体" w:eastAsia="宋体" w:cs="宋体"/>
          <w:b/>
          <w:bCs/>
          <w:sz w:val="44"/>
          <w:szCs w:val="44"/>
          <w:lang w:val="en-US"/>
        </w:rPr>
        <w:t>浙江亨通控股</w:t>
      </w:r>
      <w:r>
        <w:rPr>
          <w:rFonts w:hint="eastAsia" w:ascii="宋体" w:hAnsi="宋体" w:eastAsia="宋体" w:cs="宋体"/>
          <w:b/>
          <w:bCs/>
          <w:sz w:val="44"/>
          <w:szCs w:val="44"/>
        </w:rPr>
        <w:t>股份有限公司</w:t>
      </w:r>
    </w:p>
    <w:p w14:paraId="3359A8AA">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投资者关系活动记录表</w:t>
      </w:r>
    </w:p>
    <w:p w14:paraId="78CC9DE8">
      <w:pPr>
        <w:spacing w:line="360" w:lineRule="auto"/>
        <w:jc w:val="center"/>
        <w:rPr>
          <w:rFonts w:ascii="宋体" w:hAnsi="宋体" w:eastAsia="宋体" w:cs="宋体"/>
          <w:sz w:val="24"/>
          <w:szCs w:val="24"/>
          <w:lang w:val="en-US"/>
        </w:rPr>
      </w:pPr>
      <w:r>
        <w:rPr>
          <w:rFonts w:hint="eastAsia" w:ascii="宋体" w:hAnsi="宋体" w:eastAsia="宋体" w:cs="宋体"/>
          <w:sz w:val="24"/>
          <w:szCs w:val="24"/>
          <w:lang w:val="en-US"/>
        </w:rPr>
        <w:t xml:space="preserve">     </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555"/>
        <w:gridCol w:w="6970"/>
      </w:tblGrid>
      <w:tr w14:paraId="45E2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555" w:type="dxa"/>
            <w:vAlign w:val="center"/>
          </w:tcPr>
          <w:p w14:paraId="1D23B388">
            <w:pPr>
              <w:pStyle w:val="12"/>
              <w:spacing w:before="7"/>
              <w:ind w:firstLine="482"/>
              <w:jc w:val="center"/>
              <w:rPr>
                <w:rFonts w:ascii="宋体" w:hAnsi="宋体" w:eastAsia="宋体" w:cs="宋体"/>
                <w:b/>
                <w:bCs/>
                <w:sz w:val="24"/>
                <w:szCs w:val="24"/>
              </w:rPr>
            </w:pPr>
          </w:p>
          <w:p w14:paraId="157E7326">
            <w:pPr>
              <w:pStyle w:val="12"/>
              <w:spacing w:before="1"/>
              <w:jc w:val="center"/>
              <w:rPr>
                <w:rFonts w:ascii="宋体" w:hAnsi="宋体" w:eastAsia="宋体" w:cs="宋体"/>
                <w:b/>
                <w:bCs/>
                <w:sz w:val="24"/>
                <w:szCs w:val="24"/>
              </w:rPr>
            </w:pPr>
            <w:r>
              <w:rPr>
                <w:rFonts w:hint="eastAsia" w:ascii="宋体" w:hAnsi="宋体" w:eastAsia="宋体" w:cs="宋体"/>
                <w:b/>
                <w:bCs/>
                <w:sz w:val="24"/>
                <w:szCs w:val="24"/>
              </w:rPr>
              <w:t>投资者关系活动类别</w:t>
            </w:r>
          </w:p>
        </w:tc>
        <w:tc>
          <w:tcPr>
            <w:tcW w:w="6970" w:type="dxa"/>
          </w:tcPr>
          <w:p w14:paraId="5E79ABF4">
            <w:pPr>
              <w:pStyle w:val="12"/>
              <w:spacing w:before="7"/>
              <w:rPr>
                <w:rFonts w:ascii="宋体" w:hAnsi="宋体" w:eastAsia="宋体" w:cs="宋体"/>
                <w:sz w:val="24"/>
                <w:szCs w:val="24"/>
              </w:rPr>
            </w:pPr>
          </w:p>
          <w:p w14:paraId="3DFCF3F1">
            <w:pPr>
              <w:pStyle w:val="12"/>
              <w:tabs>
                <w:tab w:val="left" w:pos="2418"/>
              </w:tabs>
              <w:spacing w:before="1"/>
              <w:ind w:left="107"/>
              <w:rPr>
                <w:rFonts w:ascii="宋体" w:hAnsi="宋体" w:eastAsia="宋体" w:cs="宋体"/>
                <w:sz w:val="24"/>
                <w:szCs w:val="24"/>
              </w:rPr>
            </w:pPr>
            <w:sdt>
              <w:sdtPr>
                <w:rPr>
                  <w:rFonts w:hint="eastAsia" w:ascii="宋体" w:hAnsi="宋体" w:eastAsia="宋体" w:cs="宋体"/>
                  <w:sz w:val="24"/>
                  <w:szCs w:val="24"/>
                </w:rPr>
                <w:id w:val="249780449"/>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ascii="Wingdings 2" w:hAnsi="Wingdings 2" w:eastAsia="宋体" w:cs="宋体"/>
                    <w:sz w:val="24"/>
                    <w:szCs w:val="24"/>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r>
              <w:rPr>
                <w:rFonts w:hint="eastAsia" w:ascii="宋体" w:hAnsi="宋体" w:eastAsia="宋体" w:cs="宋体"/>
                <w:sz w:val="24"/>
                <w:szCs w:val="24"/>
                <w:lang w:val="en-US"/>
              </w:rPr>
              <w:t xml:space="preserve"> </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422FB8BC">
            <w:pPr>
              <w:pStyle w:val="12"/>
              <w:spacing w:before="11"/>
              <w:rPr>
                <w:rFonts w:ascii="宋体" w:hAnsi="宋体" w:eastAsia="宋体" w:cs="宋体"/>
                <w:sz w:val="24"/>
                <w:szCs w:val="24"/>
              </w:rPr>
            </w:pPr>
          </w:p>
          <w:p w14:paraId="655EA639">
            <w:pPr>
              <w:pStyle w:val="12"/>
              <w:tabs>
                <w:tab w:val="left" w:pos="2418"/>
              </w:tabs>
              <w:ind w:left="107"/>
              <w:rPr>
                <w:rFonts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ascii="Segoe UI Symbol" w:hAnsi="Segoe UI Symbol" w:eastAsia="宋体" w:cs="Segoe UI Symbol"/>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288E8ADB">
            <w:pPr>
              <w:pStyle w:val="12"/>
              <w:spacing w:before="8"/>
              <w:rPr>
                <w:rFonts w:ascii="宋体" w:hAnsi="宋体" w:eastAsia="宋体" w:cs="宋体"/>
                <w:sz w:val="24"/>
                <w:szCs w:val="24"/>
              </w:rPr>
            </w:pPr>
          </w:p>
          <w:p w14:paraId="4F24B9C1">
            <w:pPr>
              <w:pStyle w:val="12"/>
              <w:tabs>
                <w:tab w:val="left" w:pos="2418"/>
              </w:tabs>
              <w:ind w:left="107"/>
              <w:rPr>
                <w:rFonts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ascii="Segoe UI Symbol" w:hAnsi="Segoe UI Symbol" w:eastAsia="宋体" w:cs="Segoe UI Symbol"/>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15CF758C">
            <w:pPr>
              <w:pStyle w:val="12"/>
              <w:spacing w:before="8"/>
              <w:rPr>
                <w:rFonts w:ascii="宋体" w:hAnsi="宋体" w:eastAsia="宋体" w:cs="宋体"/>
                <w:sz w:val="24"/>
                <w:szCs w:val="24"/>
              </w:rPr>
            </w:pPr>
          </w:p>
          <w:p w14:paraId="4185D354">
            <w:pPr>
              <w:pStyle w:val="12"/>
              <w:tabs>
                <w:tab w:val="left" w:pos="1922"/>
              </w:tabs>
              <w:ind w:left="107"/>
              <w:rPr>
                <w:rFonts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ascii="Segoe UI Symbol" w:hAnsi="Segoe UI Symbol" w:eastAsia="宋体" w:cs="Segoe UI Symbol"/>
                    <w:sz w:val="24"/>
                    <w:szCs w:val="24"/>
                  </w:rPr>
                  <w:t>☐</w:t>
                </w:r>
              </w:sdtContent>
            </w:sdt>
            <w:r>
              <w:rPr>
                <w:rFonts w:hint="eastAsia" w:ascii="宋体" w:hAnsi="宋体" w:eastAsia="宋体" w:cs="宋体"/>
                <w:sz w:val="24"/>
                <w:szCs w:val="24"/>
              </w:rPr>
              <w:t>现场参观</w:t>
            </w:r>
            <w:r>
              <w:rPr>
                <w:rFonts w:hint="eastAsia" w:ascii="宋体" w:hAnsi="宋体" w:eastAsia="宋体" w:cs="宋体"/>
                <w:sz w:val="24"/>
                <w:szCs w:val="24"/>
              </w:rPr>
              <w:tab/>
            </w:r>
            <w:r>
              <w:rPr>
                <w:rFonts w:hint="eastAsia" w:ascii="宋体" w:hAnsi="宋体" w:eastAsia="宋体" w:cs="宋体"/>
                <w:sz w:val="24"/>
                <w:szCs w:val="24"/>
                <w:lang w:val="en-US"/>
              </w:rPr>
              <w:t xml:space="preserve">  </w:t>
            </w:r>
            <w:r>
              <w:rPr>
                <w:rFonts w:hint="eastAsia" w:ascii="宋体" w:hAnsi="宋体" w:eastAsia="宋体" w:cs="宋体"/>
                <w:sz w:val="24"/>
                <w:szCs w:val="24"/>
              </w:rPr>
              <w:tab/>
            </w:r>
            <w:r>
              <w:rPr>
                <w:rFonts w:hint="eastAsia" w:ascii="宋体" w:hAnsi="宋体" w:eastAsia="宋体" w:cs="宋体"/>
                <w:sz w:val="24"/>
                <w:szCs w:val="24"/>
              </w:rPr>
              <w:tab/>
            </w:r>
            <w:sdt>
              <w:sdtPr>
                <w:rPr>
                  <w:rFonts w:hint="eastAsia" w:ascii="宋体" w:hAnsi="宋体" w:eastAsia="宋体" w:cs="宋体"/>
                  <w:sz w:val="24"/>
                  <w:szCs w:val="24"/>
                </w:rPr>
                <w:id w:val="147476407"/>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lang w:val="en-US"/>
              </w:rPr>
              <w:t>一对一沟通</w:t>
            </w:r>
            <w:r>
              <w:rPr>
                <w:rFonts w:hint="eastAsia" w:ascii="宋体" w:hAnsi="宋体" w:eastAsia="宋体" w:cs="宋体"/>
                <w:sz w:val="24"/>
                <w:szCs w:val="24"/>
              </w:rPr>
              <w:tab/>
            </w:r>
          </w:p>
          <w:p w14:paraId="76F39603">
            <w:pPr>
              <w:pStyle w:val="12"/>
              <w:tabs>
                <w:tab w:val="left" w:pos="1922"/>
              </w:tabs>
              <w:ind w:left="107"/>
              <w:rPr>
                <w:rFonts w:ascii="宋体" w:hAnsi="宋体" w:eastAsia="宋体" w:cs="宋体"/>
                <w:sz w:val="24"/>
                <w:szCs w:val="24"/>
              </w:rPr>
            </w:pPr>
          </w:p>
          <w:p w14:paraId="6EC603F4">
            <w:pPr>
              <w:pStyle w:val="12"/>
              <w:tabs>
                <w:tab w:val="left" w:pos="1922"/>
              </w:tabs>
              <w:ind w:left="107"/>
              <w:rPr>
                <w:rFonts w:ascii="宋体" w:hAnsi="宋体" w:eastAsia="宋体" w:cs="宋体"/>
                <w:sz w:val="24"/>
                <w:szCs w:val="24"/>
              </w:rPr>
            </w:pPr>
            <w:sdt>
              <w:sdtPr>
                <w:rPr>
                  <w:rFonts w:hint="eastAsia" w:ascii="宋体" w:hAnsi="宋体" w:eastAsia="宋体" w:cs="宋体"/>
                  <w:sz w:val="24"/>
                  <w:szCs w:val="24"/>
                </w:rPr>
                <w:id w:val="147481697"/>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ascii="Wingdings 2" w:hAnsi="Wingdings 2" w:eastAsia="宋体" w:cs="Segoe UI Symbol"/>
                    <w:sz w:val="24"/>
                    <w:szCs w:val="24"/>
                    <w:lang w:val="zh-CN" w:eastAsia="zh-CN" w:bidi="zh-CN"/>
                  </w:rPr>
                  <w:t>R</w:t>
                </w:r>
              </w:sdtContent>
            </w:sdt>
            <w:r>
              <w:rPr>
                <w:rFonts w:hint="eastAsia" w:ascii="宋体" w:hAnsi="宋体" w:eastAsia="宋体" w:cs="宋体"/>
                <w:sz w:val="24"/>
                <w:szCs w:val="24"/>
                <w:lang w:val="en-US"/>
              </w:rPr>
              <w:t>其他</w:t>
            </w:r>
            <w:r>
              <w:rPr>
                <w:rFonts w:hint="eastAsia" w:ascii="宋体" w:hAnsi="宋体" w:eastAsia="宋体" w:cs="宋体"/>
                <w:sz w:val="24"/>
                <w:szCs w:val="24"/>
              </w:rPr>
              <w:tab/>
            </w:r>
          </w:p>
          <w:p w14:paraId="730B703D">
            <w:pPr>
              <w:pStyle w:val="12"/>
              <w:rPr>
                <w:rFonts w:ascii="宋体" w:hAnsi="宋体" w:eastAsia="宋体" w:cs="宋体"/>
                <w:sz w:val="24"/>
                <w:szCs w:val="24"/>
              </w:rPr>
            </w:pPr>
          </w:p>
        </w:tc>
      </w:tr>
      <w:tr w14:paraId="45A3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96" w:hRule="atLeast"/>
          <w:jc w:val="center"/>
        </w:trPr>
        <w:tc>
          <w:tcPr>
            <w:tcW w:w="1555" w:type="dxa"/>
            <w:vAlign w:val="center"/>
          </w:tcPr>
          <w:p w14:paraId="56F90B33">
            <w:pPr>
              <w:pStyle w:val="12"/>
              <w:keepNext w:val="0"/>
              <w:keepLines w:val="0"/>
              <w:pageBreakBefore w:val="0"/>
              <w:widowControl w:val="0"/>
              <w:tabs>
                <w:tab w:val="left" w:pos="1540"/>
              </w:tabs>
              <w:kinsoku/>
              <w:wordWrap/>
              <w:overflowPunct/>
              <w:topLinePunct w:val="0"/>
              <w:autoSpaceDE/>
              <w:autoSpaceDN/>
              <w:bidi w:val="0"/>
              <w:adjustRightInd/>
              <w:snapToGrid/>
              <w:ind w:right="0"/>
              <w:jc w:val="center"/>
              <w:textAlignment w:val="auto"/>
              <w:rPr>
                <w:rFonts w:ascii="宋体" w:hAnsi="宋体" w:eastAsia="宋体" w:cs="宋体"/>
                <w:b/>
                <w:bCs/>
                <w:sz w:val="24"/>
                <w:szCs w:val="24"/>
              </w:rPr>
            </w:pPr>
            <w:r>
              <w:rPr>
                <w:rFonts w:hint="eastAsia" w:ascii="宋体" w:hAnsi="宋体" w:eastAsia="宋体" w:cs="宋体"/>
                <w:b/>
                <w:bCs/>
                <w:sz w:val="24"/>
                <w:szCs w:val="24"/>
              </w:rPr>
              <w:t>参与单位名称及人员</w:t>
            </w:r>
          </w:p>
        </w:tc>
        <w:tc>
          <w:tcPr>
            <w:tcW w:w="6970" w:type="dxa"/>
            <w:vAlign w:val="center"/>
          </w:tcPr>
          <w:p w14:paraId="220CBD78">
            <w:pPr>
              <w:pStyle w:val="12"/>
              <w:autoSpaceDE/>
              <w:autoSpaceDN/>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民生证券、泰康香港、泰康基金、东吴基金、浙商证券资管、金元顺安基金、国富人寿保险、方正富邦基金、东方红资管、东兴基金、诺德基金、华龙证券、国寿安保基金、中信保诚基金、常春藤私募基金、国融基金、中信理财、易米基金、红土创新基金、中金资管、</w:t>
            </w:r>
          </w:p>
          <w:p w14:paraId="2AD8B7FC">
            <w:pPr>
              <w:pStyle w:val="12"/>
              <w:autoSpaceDE/>
              <w:autoSpaceDN/>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敦信资管、龙全投资、财通证券等</w:t>
            </w:r>
          </w:p>
        </w:tc>
      </w:tr>
      <w:tr w14:paraId="52D3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555" w:type="dxa"/>
            <w:vAlign w:val="center"/>
          </w:tcPr>
          <w:p w14:paraId="79192947">
            <w:pPr>
              <w:pStyle w:val="12"/>
              <w:autoSpaceDE/>
              <w:autoSpaceDN/>
              <w:jc w:val="center"/>
              <w:rPr>
                <w:rFonts w:ascii="宋体" w:hAnsi="宋体" w:eastAsia="宋体" w:cs="宋体"/>
                <w:b/>
                <w:bCs/>
                <w:sz w:val="24"/>
                <w:szCs w:val="24"/>
              </w:rPr>
            </w:pPr>
            <w:r>
              <w:rPr>
                <w:rFonts w:hint="eastAsia" w:ascii="宋体" w:hAnsi="宋体" w:eastAsia="宋体" w:cs="宋体"/>
                <w:b/>
                <w:bCs/>
                <w:sz w:val="24"/>
                <w:szCs w:val="24"/>
              </w:rPr>
              <w:t>时间</w:t>
            </w:r>
          </w:p>
        </w:tc>
        <w:tc>
          <w:tcPr>
            <w:tcW w:w="6970" w:type="dxa"/>
            <w:vAlign w:val="center"/>
          </w:tcPr>
          <w:p w14:paraId="63F8D16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202</w:t>
            </w:r>
            <w:r>
              <w:rPr>
                <w:rFonts w:hint="eastAsia" w:ascii="宋体" w:hAnsi="宋体" w:eastAsia="宋体" w:cs="宋体"/>
                <w:sz w:val="24"/>
                <w:szCs w:val="24"/>
                <w:lang w:val="en-US" w:eastAsia="zh-CN"/>
              </w:rPr>
              <w:t>5</w:t>
            </w:r>
            <w:r>
              <w:rPr>
                <w:rFonts w:hint="eastAsia" w:ascii="宋体" w:hAnsi="宋体" w:eastAsia="宋体" w:cs="宋体"/>
                <w:sz w:val="24"/>
                <w:szCs w:val="24"/>
                <w:lang w:val="en-US"/>
              </w:rPr>
              <w:t>年</w:t>
            </w:r>
            <w:r>
              <w:rPr>
                <w:rFonts w:hint="eastAsia" w:ascii="宋体" w:hAnsi="宋体" w:eastAsia="宋体" w:cs="宋体"/>
                <w:sz w:val="24"/>
                <w:szCs w:val="24"/>
                <w:lang w:val="en-US" w:eastAsia="zh-CN"/>
              </w:rPr>
              <w:t>4</w:t>
            </w:r>
            <w:r>
              <w:rPr>
                <w:rFonts w:hint="eastAsia" w:ascii="宋体" w:hAnsi="宋体" w:eastAsia="宋体" w:cs="宋体"/>
                <w:sz w:val="24"/>
                <w:szCs w:val="24"/>
                <w:lang w:val="en-US"/>
              </w:rPr>
              <w:t>月</w:t>
            </w:r>
            <w:r>
              <w:rPr>
                <w:rFonts w:hint="eastAsia" w:ascii="宋体" w:hAnsi="宋体" w:eastAsia="宋体" w:cs="宋体"/>
                <w:sz w:val="24"/>
                <w:szCs w:val="24"/>
                <w:lang w:val="en-US" w:eastAsia="zh-CN"/>
              </w:rPr>
              <w:t>22</w:t>
            </w:r>
            <w:r>
              <w:rPr>
                <w:rFonts w:hint="eastAsia" w:ascii="宋体" w:hAnsi="宋体" w:eastAsia="宋体" w:cs="宋体"/>
                <w:sz w:val="24"/>
                <w:szCs w:val="24"/>
                <w:lang w:val="en-US"/>
              </w:rPr>
              <w:t xml:space="preserve">日 </w:t>
            </w:r>
            <w:r>
              <w:rPr>
                <w:rFonts w:hint="eastAsia" w:ascii="宋体" w:hAnsi="宋体" w:eastAsia="宋体" w:cs="宋体"/>
                <w:sz w:val="24"/>
                <w:szCs w:val="24"/>
                <w:lang w:val="en-US" w:eastAsia="zh-CN"/>
              </w:rPr>
              <w:t>下午</w:t>
            </w:r>
            <w:r>
              <w:rPr>
                <w:rFonts w:hint="eastAsia" w:ascii="宋体" w:hAnsi="宋体" w:eastAsia="宋体" w:cs="宋体"/>
                <w:sz w:val="24"/>
                <w:szCs w:val="24"/>
                <w:lang w:val="en-US"/>
              </w:rPr>
              <w:t>1</w:t>
            </w:r>
            <w:r>
              <w:rPr>
                <w:rFonts w:hint="eastAsia" w:ascii="宋体" w:hAnsi="宋体" w:eastAsia="宋体" w:cs="宋体"/>
                <w:sz w:val="24"/>
                <w:szCs w:val="24"/>
                <w:lang w:val="en-US" w:eastAsia="zh-CN"/>
              </w:rPr>
              <w:t>6</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eastAsia="宋体" w:cs="宋体"/>
                <w:sz w:val="24"/>
                <w:szCs w:val="24"/>
                <w:lang w:val="en-US"/>
              </w:rPr>
              <w:t>0-1</w:t>
            </w:r>
            <w:r>
              <w:rPr>
                <w:rFonts w:hint="eastAsia" w:ascii="宋体" w:hAnsi="宋体" w:eastAsia="宋体" w:cs="宋体"/>
                <w:sz w:val="24"/>
                <w:szCs w:val="24"/>
                <w:lang w:val="en-US" w:eastAsia="zh-CN"/>
              </w:rPr>
              <w:t>7</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eastAsia="宋体" w:cs="宋体"/>
                <w:sz w:val="24"/>
                <w:szCs w:val="24"/>
                <w:lang w:val="en-US"/>
              </w:rPr>
              <w:t>0</w:t>
            </w:r>
          </w:p>
          <w:p w14:paraId="37136B0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2025年4月24日 上午10:00-11:00</w:t>
            </w:r>
          </w:p>
        </w:tc>
      </w:tr>
      <w:tr w14:paraId="7FFC2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555" w:type="dxa"/>
            <w:vAlign w:val="center"/>
          </w:tcPr>
          <w:p w14:paraId="251A1066">
            <w:pPr>
              <w:pStyle w:val="12"/>
              <w:autoSpaceDE/>
              <w:autoSpaceDN/>
              <w:jc w:val="center"/>
              <w:rPr>
                <w:rFonts w:ascii="宋体" w:hAnsi="宋体" w:eastAsia="宋体" w:cs="宋体"/>
                <w:b/>
                <w:bCs/>
                <w:sz w:val="24"/>
                <w:szCs w:val="24"/>
              </w:rPr>
            </w:pPr>
            <w:r>
              <w:rPr>
                <w:rFonts w:hint="eastAsia" w:ascii="宋体" w:hAnsi="宋体" w:eastAsia="宋体" w:cs="宋体"/>
                <w:b/>
                <w:bCs/>
                <w:sz w:val="24"/>
                <w:szCs w:val="24"/>
              </w:rPr>
              <w:t>地点</w:t>
            </w:r>
          </w:p>
        </w:tc>
        <w:tc>
          <w:tcPr>
            <w:tcW w:w="6970" w:type="dxa"/>
            <w:vAlign w:val="center"/>
          </w:tcPr>
          <w:p w14:paraId="339C0731">
            <w:pPr>
              <w:pStyle w:val="12"/>
              <w:autoSpaceDE/>
              <w:autoSpaceDN/>
              <w:spacing w:before="100" w:beforeAutospacing="1"/>
              <w:rPr>
                <w:rFonts w:ascii="宋体" w:hAnsi="宋体" w:eastAsia="宋体" w:cs="宋体"/>
                <w:sz w:val="24"/>
                <w:szCs w:val="24"/>
                <w:lang w:val="en-US"/>
              </w:rPr>
            </w:pPr>
            <w:r>
              <w:rPr>
                <w:rFonts w:hint="eastAsia" w:ascii="宋体" w:hAnsi="宋体" w:eastAsia="宋体" w:cs="宋体"/>
                <w:sz w:val="24"/>
                <w:szCs w:val="24"/>
                <w:lang w:val="en-US" w:eastAsia="zh-CN"/>
              </w:rPr>
              <w:t>线上会议、</w:t>
            </w:r>
            <w:r>
              <w:rPr>
                <w:rFonts w:hint="eastAsia" w:ascii="宋体" w:hAnsi="宋体" w:eastAsia="宋体" w:cs="宋体"/>
                <w:sz w:val="24"/>
                <w:szCs w:val="24"/>
                <w:lang w:val="en-US"/>
              </w:rPr>
              <w:t>公司会议室</w:t>
            </w:r>
          </w:p>
        </w:tc>
      </w:tr>
      <w:tr w14:paraId="404B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555" w:type="dxa"/>
            <w:vAlign w:val="center"/>
          </w:tcPr>
          <w:p w14:paraId="0FF67036">
            <w:pPr>
              <w:pStyle w:val="12"/>
              <w:autoSpaceDE/>
              <w:autoSpaceDN/>
              <w:spacing w:before="1"/>
              <w:jc w:val="center"/>
              <w:rPr>
                <w:rFonts w:ascii="宋体" w:hAnsi="宋体" w:eastAsia="宋体" w:cs="宋体"/>
                <w:b/>
                <w:bCs/>
                <w:sz w:val="24"/>
                <w:szCs w:val="24"/>
              </w:rPr>
            </w:pPr>
            <w:r>
              <w:rPr>
                <w:rFonts w:hint="eastAsia" w:ascii="宋体" w:hAnsi="宋体" w:eastAsia="宋体" w:cs="宋体"/>
                <w:b/>
                <w:bCs/>
                <w:sz w:val="24"/>
                <w:szCs w:val="24"/>
              </w:rPr>
              <w:t>上市公司接待人员</w:t>
            </w:r>
          </w:p>
        </w:tc>
        <w:tc>
          <w:tcPr>
            <w:tcW w:w="6970" w:type="dxa"/>
            <w:vAlign w:val="center"/>
          </w:tcPr>
          <w:p w14:paraId="2844C6FB">
            <w:pPr>
              <w:pStyle w:val="12"/>
              <w:autoSpaceDE/>
              <w:autoSpaceDN/>
              <w:spacing w:line="360" w:lineRule="auto"/>
              <w:rPr>
                <w:rFonts w:ascii="宋体" w:hAnsi="宋体" w:eastAsia="宋体" w:cs="宋体"/>
                <w:sz w:val="24"/>
                <w:szCs w:val="24"/>
                <w:lang w:val="en-US"/>
              </w:rPr>
            </w:pPr>
            <w:r>
              <w:rPr>
                <w:rFonts w:hint="eastAsia" w:ascii="宋体" w:hAnsi="宋体" w:eastAsia="宋体" w:cs="宋体"/>
                <w:sz w:val="24"/>
                <w:szCs w:val="24"/>
                <w:lang w:val="en-US"/>
              </w:rPr>
              <w:t>董事、财务总监：陆黎明</w:t>
            </w:r>
          </w:p>
          <w:p w14:paraId="2131C2C4">
            <w:pPr>
              <w:pStyle w:val="12"/>
              <w:autoSpaceDE/>
              <w:autoSpaceDN/>
              <w:spacing w:line="360" w:lineRule="auto"/>
              <w:rPr>
                <w:rFonts w:hint="default" w:ascii="宋体" w:hAnsi="宋体" w:eastAsia="宋体" w:cs="宋体"/>
                <w:sz w:val="24"/>
                <w:szCs w:val="24"/>
                <w:lang w:val="en-US" w:eastAsia="zh-CN"/>
              </w:rPr>
            </w:pPr>
            <w:r>
              <w:rPr>
                <w:rFonts w:ascii="宋体" w:hAnsi="宋体" w:eastAsia="宋体" w:cs="宋体"/>
                <w:sz w:val="24"/>
                <w:szCs w:val="24"/>
                <w:lang w:val="en-US"/>
              </w:rPr>
              <w:t>董事会秘书：</w:t>
            </w:r>
            <w:r>
              <w:rPr>
                <w:rFonts w:hint="eastAsia" w:ascii="宋体" w:hAnsi="宋体" w:eastAsia="宋体" w:cs="宋体"/>
                <w:sz w:val="24"/>
                <w:szCs w:val="24"/>
                <w:lang w:val="en-US"/>
              </w:rPr>
              <w:t>景霞</w:t>
            </w:r>
          </w:p>
        </w:tc>
      </w:tr>
      <w:tr w14:paraId="143A1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45" w:hRule="atLeast"/>
          <w:jc w:val="center"/>
        </w:trPr>
        <w:tc>
          <w:tcPr>
            <w:tcW w:w="1555" w:type="dxa"/>
          </w:tcPr>
          <w:p w14:paraId="3E006145">
            <w:pPr>
              <w:pStyle w:val="12"/>
              <w:ind w:firstLine="482"/>
              <w:jc w:val="center"/>
              <w:rPr>
                <w:rFonts w:ascii="宋体" w:hAnsi="宋体" w:eastAsia="宋体" w:cs="宋体"/>
                <w:b/>
                <w:bCs/>
                <w:sz w:val="24"/>
                <w:szCs w:val="24"/>
              </w:rPr>
            </w:pPr>
          </w:p>
          <w:p w14:paraId="70E012DB">
            <w:pPr>
              <w:pStyle w:val="12"/>
              <w:ind w:firstLine="482"/>
              <w:jc w:val="center"/>
              <w:rPr>
                <w:rFonts w:ascii="宋体" w:hAnsi="宋体" w:eastAsia="宋体" w:cs="宋体"/>
                <w:b/>
                <w:bCs/>
                <w:sz w:val="24"/>
                <w:szCs w:val="24"/>
              </w:rPr>
            </w:pPr>
          </w:p>
          <w:p w14:paraId="672A9373">
            <w:pPr>
              <w:pStyle w:val="12"/>
              <w:spacing w:before="5"/>
              <w:ind w:firstLine="482"/>
              <w:jc w:val="center"/>
              <w:rPr>
                <w:rFonts w:ascii="宋体" w:hAnsi="宋体" w:eastAsia="宋体" w:cs="宋体"/>
                <w:b/>
                <w:bCs/>
                <w:sz w:val="24"/>
                <w:szCs w:val="24"/>
              </w:rPr>
            </w:pPr>
          </w:p>
          <w:p w14:paraId="50070AF3">
            <w:pPr>
              <w:pStyle w:val="12"/>
              <w:keepNext w:val="0"/>
              <w:keepLines w:val="0"/>
              <w:pageBreakBefore w:val="0"/>
              <w:widowControl w:val="0"/>
              <w:kinsoku/>
              <w:wordWrap/>
              <w:overflowPunct/>
              <w:topLinePunct w:val="0"/>
              <w:autoSpaceDE w:val="0"/>
              <w:autoSpaceDN w:val="0"/>
              <w:bidi w:val="0"/>
              <w:adjustRightInd/>
              <w:snapToGrid/>
              <w:spacing w:before="1" w:line="500" w:lineRule="auto"/>
              <w:ind w:right="0"/>
              <w:jc w:val="center"/>
              <w:textAlignment w:val="auto"/>
              <w:rPr>
                <w:rFonts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6970" w:type="dxa"/>
          </w:tcPr>
          <w:p w14:paraId="271F58A1">
            <w:pPr>
              <w:pStyle w:val="1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1、公司</w:t>
            </w:r>
            <w:r>
              <w:rPr>
                <w:rFonts w:hint="eastAsia" w:ascii="宋体" w:hAnsi="宋体" w:eastAsia="宋体" w:cs="宋体"/>
                <w:sz w:val="24"/>
                <w:szCs w:val="24"/>
                <w:lang w:val="en-US" w:eastAsia="zh-CN"/>
              </w:rPr>
              <w:t>2024年度和2025年一季度经营业绩情况及经营业绩变动的原因？</w:t>
            </w:r>
          </w:p>
          <w:p w14:paraId="343FAD94">
            <w:pPr>
              <w:pStyle w:val="1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公司2024年实现营业收入</w:t>
            </w:r>
            <w:r>
              <w:rPr>
                <w:rFonts w:hint="eastAsia" w:ascii="宋体" w:hAnsi="宋体" w:eastAsia="宋体" w:cs="宋体"/>
                <w:sz w:val="24"/>
                <w:szCs w:val="24"/>
                <w:lang w:val="en-US" w:eastAsia="zh-CN"/>
              </w:rPr>
              <w:t>13.35亿</w:t>
            </w:r>
            <w:r>
              <w:rPr>
                <w:rFonts w:hint="eastAsia" w:ascii="宋体" w:hAnsi="宋体" w:eastAsia="宋体" w:cs="宋体"/>
                <w:sz w:val="24"/>
                <w:szCs w:val="24"/>
              </w:rPr>
              <w:t>元，同比增加10</w:t>
            </w:r>
            <w:r>
              <w:rPr>
                <w:rFonts w:hint="eastAsia" w:ascii="宋体" w:hAnsi="宋体" w:eastAsia="宋体" w:cs="宋体"/>
                <w:sz w:val="24"/>
                <w:szCs w:val="24"/>
                <w:lang w:val="en-US" w:eastAsia="zh-CN"/>
              </w:rPr>
              <w:t>5.98</w:t>
            </w:r>
            <w:r>
              <w:rPr>
                <w:rFonts w:hint="eastAsia" w:ascii="宋体" w:hAnsi="宋体" w:eastAsia="宋体" w:cs="宋体"/>
                <w:sz w:val="24"/>
                <w:szCs w:val="24"/>
              </w:rPr>
              <w:t>%；实现归属于上市公司股东的净利润为1</w:t>
            </w:r>
            <w:r>
              <w:rPr>
                <w:rFonts w:hint="eastAsia" w:ascii="宋体" w:hAnsi="宋体" w:eastAsia="宋体" w:cs="宋体"/>
                <w:sz w:val="24"/>
                <w:szCs w:val="24"/>
                <w:lang w:val="en-US" w:eastAsia="zh-CN"/>
              </w:rPr>
              <w:t>.89亿</w:t>
            </w:r>
            <w:r>
              <w:rPr>
                <w:rFonts w:hint="eastAsia" w:ascii="宋体" w:hAnsi="宋体" w:eastAsia="宋体" w:cs="宋体"/>
                <w:sz w:val="24"/>
                <w:szCs w:val="24"/>
              </w:rPr>
              <w:t>元,同比增加1</w:t>
            </w:r>
            <w:r>
              <w:rPr>
                <w:rFonts w:hint="eastAsia" w:ascii="宋体" w:hAnsi="宋体" w:eastAsia="宋体" w:cs="宋体"/>
                <w:sz w:val="24"/>
                <w:szCs w:val="24"/>
                <w:lang w:val="en-US" w:eastAsia="zh-CN"/>
              </w:rPr>
              <w:t>4.29</w:t>
            </w:r>
            <w:r>
              <w:rPr>
                <w:rFonts w:hint="eastAsia" w:ascii="宋体" w:hAnsi="宋体" w:eastAsia="宋体" w:cs="宋体"/>
                <w:sz w:val="24"/>
                <w:szCs w:val="24"/>
              </w:rPr>
              <w:t>%。公司2024年营业收入增加主要为公司铜箔产品及兽药、饲料添加剂产品销量增长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2024年公司</w:t>
            </w:r>
            <w:r>
              <w:rPr>
                <w:rFonts w:hint="eastAsia" w:ascii="宋体" w:hAnsi="宋体" w:eastAsia="宋体" w:cs="宋体"/>
                <w:sz w:val="24"/>
                <w:szCs w:val="24"/>
              </w:rPr>
              <w:t>铜箔产能逐步释放，</w:t>
            </w:r>
            <w:r>
              <w:rPr>
                <w:rFonts w:hint="eastAsia" w:ascii="宋体" w:hAnsi="宋体" w:eastAsia="宋体" w:cs="宋体"/>
                <w:sz w:val="24"/>
                <w:szCs w:val="24"/>
                <w:lang w:val="en-US" w:eastAsia="zh-CN"/>
              </w:rPr>
              <w:t>铜箔业务</w:t>
            </w:r>
            <w:r>
              <w:rPr>
                <w:rFonts w:hint="eastAsia" w:ascii="宋体" w:hAnsi="宋体" w:eastAsia="宋体" w:cs="宋体"/>
                <w:sz w:val="24"/>
                <w:szCs w:val="24"/>
              </w:rPr>
              <w:t>实现营业收入6</w:t>
            </w:r>
            <w:r>
              <w:rPr>
                <w:rFonts w:hint="eastAsia" w:ascii="宋体" w:hAnsi="宋体" w:eastAsia="宋体" w:cs="宋体"/>
                <w:sz w:val="24"/>
                <w:szCs w:val="24"/>
                <w:lang w:val="en-US" w:eastAsia="zh-CN"/>
              </w:rPr>
              <w:t>.83亿</w:t>
            </w:r>
            <w:r>
              <w:rPr>
                <w:rFonts w:hint="eastAsia" w:ascii="宋体" w:hAnsi="宋体" w:eastAsia="宋体" w:cs="宋体"/>
                <w:sz w:val="24"/>
                <w:szCs w:val="24"/>
              </w:rPr>
              <w:t>元，</w:t>
            </w:r>
            <w:r>
              <w:rPr>
                <w:rFonts w:hint="eastAsia" w:ascii="宋体" w:hAnsi="宋体" w:eastAsia="宋体" w:cs="宋体"/>
                <w:sz w:val="24"/>
                <w:szCs w:val="24"/>
                <w:lang w:val="en-US" w:eastAsia="zh-CN"/>
              </w:rPr>
              <w:t>同比增加6.40亿元</w:t>
            </w:r>
            <w:r>
              <w:rPr>
                <w:rFonts w:hint="eastAsia" w:ascii="宋体" w:hAnsi="宋体" w:eastAsia="宋体" w:cs="宋体"/>
                <w:sz w:val="24"/>
                <w:szCs w:val="24"/>
                <w:lang w:eastAsia="zh-CN"/>
              </w:rPr>
              <w:t>。</w:t>
            </w:r>
          </w:p>
          <w:p w14:paraId="1C3EC8CD">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公司2025年一季度</w:t>
            </w:r>
            <w:r>
              <w:rPr>
                <w:rFonts w:hint="eastAsia" w:ascii="宋体" w:hAnsi="宋体" w:eastAsia="宋体" w:cs="宋体"/>
                <w:sz w:val="24"/>
                <w:szCs w:val="24"/>
              </w:rPr>
              <w:t>实现营业收入</w:t>
            </w:r>
            <w:r>
              <w:rPr>
                <w:rFonts w:hint="eastAsia" w:ascii="宋体" w:hAnsi="宋体" w:eastAsia="宋体" w:cs="宋体"/>
                <w:sz w:val="24"/>
                <w:szCs w:val="24"/>
                <w:lang w:val="en-US" w:eastAsia="zh-CN"/>
              </w:rPr>
              <w:t>3.82亿元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同比增加86.36%；实现</w:t>
            </w:r>
            <w:r>
              <w:rPr>
                <w:rFonts w:hint="eastAsia" w:ascii="宋体" w:hAnsi="宋体" w:eastAsia="宋体" w:cs="宋体"/>
                <w:sz w:val="24"/>
                <w:szCs w:val="24"/>
              </w:rPr>
              <w:t>归属于上市公司股东的净利润为</w:t>
            </w:r>
            <w:r>
              <w:rPr>
                <w:rFonts w:hint="eastAsia" w:ascii="宋体" w:hAnsi="宋体" w:eastAsia="宋体" w:cs="宋体"/>
                <w:sz w:val="24"/>
                <w:szCs w:val="24"/>
                <w:lang w:val="en-US" w:eastAsia="zh-CN"/>
              </w:rPr>
              <w:t>7,009.80万元，同比增加10.96%</w:t>
            </w:r>
            <w:r>
              <w:rPr>
                <w:rFonts w:hint="eastAsia" w:ascii="宋体" w:hAnsi="宋体" w:eastAsia="宋体" w:cs="宋体"/>
                <w:sz w:val="24"/>
                <w:szCs w:val="24"/>
              </w:rPr>
              <w:t>。</w:t>
            </w:r>
            <w:r>
              <w:rPr>
                <w:rFonts w:hint="eastAsia" w:ascii="宋体" w:hAnsi="宋体" w:eastAsia="宋体" w:cs="宋体"/>
                <w:sz w:val="24"/>
                <w:szCs w:val="24"/>
                <w:lang w:val="en-US" w:eastAsia="zh-CN"/>
              </w:rPr>
              <w:t>公司2025年一季度营业收入增加主要为公司铜箔产品销量上升。2025年一季度</w:t>
            </w:r>
            <w:bookmarkStart w:id="0" w:name="_GoBack"/>
            <w:bookmarkEnd w:id="0"/>
            <w:r>
              <w:rPr>
                <w:rFonts w:hint="eastAsia" w:ascii="宋体" w:hAnsi="宋体" w:eastAsia="宋体" w:cs="宋体"/>
                <w:sz w:val="24"/>
                <w:szCs w:val="24"/>
                <w:lang w:val="en-US" w:eastAsia="zh-CN"/>
              </w:rPr>
              <w:t>铜箔业务实现营业收入2.52亿元，同比增加2.06亿元。</w:t>
            </w:r>
          </w:p>
          <w:p w14:paraId="3CD55A99">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2、公司2024年度及2025年一季度营业收入快速增长，铜箔的产能和业务占比情况？</w:t>
            </w:r>
          </w:p>
          <w:p w14:paraId="2359B534">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截至2024年底，公司标准铜箔产能10,000吨/年，锂电铜箔产能5,000吨/年。目前公司铜箔一期及二阶段在建产能10,000吨/年，铜箔业务产能正在逐步释放。2024年度公司铜箔业务实现营业收入6.83亿元，约占公司营业收入的51%。2025年一季度公司铜箔业务实现营业收入2.52亿元，约占公司营业收入的66%。</w:t>
            </w:r>
          </w:p>
          <w:p w14:paraId="4189767B">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3、公司之前披露了在内蒙古投资建设小品种氨基酸产业基地的计划，项目具体的规划及展望？</w:t>
            </w:r>
          </w:p>
          <w:p w14:paraId="4AD03971">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完善公司氨基酸产业链布局，加快推动公司在合成生物领域的转型升级，公司从原料、能源、配套设施、营商环境等维度对重点区域进行了实地考察。最终确定在内蒙古呼和浩特托克托经济开发区西区建设小品种氨基酸产业基地。托克托经济开发区拥有完善的产业园区基础设施以及丰富的能源与农产品资源，能够为氨基酸生产提供了充足的原材料，具备氨基酸生产综合成本优势。</w:t>
            </w:r>
          </w:p>
          <w:p w14:paraId="37CD939E">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品种氨基酸产业基地项目建成后，公司在现有产能的基础上将新增11,880吨/年氨基酸生产能力（柔性生产线），其中L-色氨酸7,380吨/年（折纯）、L-精氨酸2,100吨/年（折纯）、L-异亮氨酸精品2,400吨/年。项目将有利于发挥公司在生物发酵行业所积累的技术优势、管理优势，进一步提升公司主要氨基酸产品的市场占有率，培育新的利润增长点。</w:t>
            </w:r>
          </w:p>
          <w:p w14:paraId="08C76E42">
            <w:pPr>
              <w:pStyle w:val="12"/>
              <w:spacing w:line="360" w:lineRule="auto"/>
              <w:ind w:firstLine="480" w:firstLineChars="200"/>
              <w:jc w:val="both"/>
              <w:rPr>
                <w:rFonts w:hint="default" w:ascii="宋体" w:hAnsi="宋体" w:eastAsia="宋体" w:cs="宋体"/>
                <w:sz w:val="24"/>
                <w:szCs w:val="24"/>
                <w:lang w:val="en-US"/>
              </w:rPr>
            </w:pPr>
            <w:r>
              <w:rPr>
                <w:rFonts w:hint="eastAsia" w:ascii="宋体" w:hAnsi="宋体" w:eastAsia="宋体" w:cs="宋体"/>
                <w:sz w:val="24"/>
                <w:szCs w:val="24"/>
                <w:lang w:val="en-US" w:eastAsia="zh-CN"/>
              </w:rPr>
              <w:t>4</w:t>
            </w:r>
            <w:r>
              <w:rPr>
                <w:rFonts w:hint="eastAsia" w:ascii="宋体" w:hAnsi="宋体" w:eastAsia="宋体" w:cs="宋体"/>
                <w:sz w:val="24"/>
                <w:szCs w:val="24"/>
              </w:rPr>
              <w:t>、公司</w:t>
            </w:r>
            <w:r>
              <w:rPr>
                <w:rFonts w:hint="eastAsia" w:ascii="宋体" w:hAnsi="宋体" w:eastAsia="宋体" w:cs="宋体"/>
                <w:sz w:val="24"/>
                <w:szCs w:val="24"/>
                <w:lang w:val="en-US" w:eastAsia="zh-CN"/>
              </w:rPr>
              <w:t>研发投入、铜箔产品的开发情况及展望？</w:t>
            </w:r>
          </w:p>
          <w:p w14:paraId="39806B05">
            <w:pPr>
              <w:pStyle w:val="12"/>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公司</w:t>
            </w:r>
            <w:r>
              <w:rPr>
                <w:rFonts w:hint="eastAsia" w:ascii="宋体" w:hAnsi="宋体" w:eastAsia="宋体" w:cs="宋体"/>
                <w:sz w:val="24"/>
                <w:szCs w:val="24"/>
                <w:lang w:val="en-US" w:eastAsia="zh-CN"/>
              </w:rPr>
              <w:t>2024年</w:t>
            </w:r>
            <w:r>
              <w:rPr>
                <w:rFonts w:hint="eastAsia" w:ascii="宋体" w:hAnsi="宋体" w:eastAsia="宋体" w:cs="宋体"/>
                <w:sz w:val="24"/>
                <w:szCs w:val="24"/>
              </w:rPr>
              <w:t>研发费用4</w:t>
            </w:r>
            <w:r>
              <w:rPr>
                <w:rFonts w:hint="eastAsia" w:ascii="宋体" w:hAnsi="宋体" w:eastAsia="宋体" w:cs="宋体"/>
                <w:sz w:val="24"/>
                <w:szCs w:val="24"/>
                <w:lang w:val="en-US" w:eastAsia="zh-CN"/>
              </w:rPr>
              <w:t>,</w:t>
            </w:r>
            <w:r>
              <w:rPr>
                <w:rFonts w:hint="eastAsia" w:ascii="宋体" w:hAnsi="宋体" w:eastAsia="宋体" w:cs="宋体"/>
                <w:sz w:val="24"/>
                <w:szCs w:val="24"/>
              </w:rPr>
              <w:t>076</w:t>
            </w:r>
            <w:r>
              <w:rPr>
                <w:rFonts w:hint="eastAsia" w:ascii="宋体" w:hAnsi="宋体" w:eastAsia="宋体" w:cs="宋体"/>
                <w:sz w:val="24"/>
                <w:szCs w:val="24"/>
                <w:lang w:val="en-US" w:eastAsia="zh-CN"/>
              </w:rPr>
              <w:t>.48</w:t>
            </w:r>
            <w:r>
              <w:rPr>
                <w:rFonts w:hint="eastAsia" w:ascii="宋体" w:hAnsi="宋体" w:eastAsia="宋体" w:cs="宋体"/>
                <w:sz w:val="24"/>
                <w:szCs w:val="24"/>
              </w:rPr>
              <w:t>万元，同比增长132.39%。研发创新的持续投入，将推动公司生产工艺的优化与智能化升级，</w:t>
            </w:r>
            <w:r>
              <w:rPr>
                <w:rFonts w:hint="eastAsia" w:ascii="宋体" w:hAnsi="宋体" w:eastAsia="宋体" w:cs="宋体"/>
                <w:sz w:val="24"/>
                <w:szCs w:val="24"/>
                <w:lang w:val="en-US" w:eastAsia="zh-CN"/>
              </w:rPr>
              <w:t>有效</w:t>
            </w:r>
            <w:r>
              <w:rPr>
                <w:rFonts w:hint="eastAsia" w:ascii="宋体" w:hAnsi="宋体" w:eastAsia="宋体" w:cs="宋体"/>
                <w:sz w:val="24"/>
                <w:szCs w:val="24"/>
              </w:rPr>
              <w:t>提升生产效率</w:t>
            </w:r>
            <w:r>
              <w:rPr>
                <w:rFonts w:hint="eastAsia" w:ascii="宋体" w:hAnsi="宋体" w:eastAsia="宋体" w:cs="宋体"/>
                <w:sz w:val="24"/>
                <w:szCs w:val="24"/>
                <w:lang w:eastAsia="zh-CN"/>
              </w:rPr>
              <w:t>。</w:t>
            </w:r>
          </w:p>
          <w:p w14:paraId="1F009D2F">
            <w:pPr>
              <w:pStyle w:val="1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全资子公司亨通精密铜箔科技（德阳）有限公司</w:t>
            </w:r>
            <w:r>
              <w:rPr>
                <w:rFonts w:hint="eastAsia" w:ascii="宋体" w:hAnsi="宋体" w:eastAsia="宋体" w:cs="宋体"/>
                <w:sz w:val="24"/>
                <w:szCs w:val="24"/>
                <w:lang w:val="en-US" w:eastAsia="zh-CN"/>
              </w:rPr>
              <w:t>聚焦高端铜箔产品布局</w:t>
            </w:r>
            <w:r>
              <w:rPr>
                <w:rFonts w:hint="eastAsia" w:ascii="宋体" w:hAnsi="宋体" w:eastAsia="宋体" w:cs="宋体"/>
                <w:sz w:val="24"/>
                <w:szCs w:val="24"/>
              </w:rPr>
              <w:t>，自主成功开发了高温延伸铜箔（HTE）、低轮廓铜箔（LP）、反转铜箔（RTF）等附加值较高的高端铜箔产品，其中RTF产品实现技术突破、批量供货，成功实现了进口产品替代。</w:t>
            </w:r>
            <w:r>
              <w:rPr>
                <w:rFonts w:hint="eastAsia" w:ascii="宋体" w:hAnsi="宋体" w:eastAsia="宋体" w:cs="宋体"/>
                <w:sz w:val="24"/>
                <w:szCs w:val="24"/>
                <w:lang w:val="en-US" w:eastAsia="zh-CN"/>
              </w:rPr>
              <w:t>公司</w:t>
            </w:r>
            <w:r>
              <w:rPr>
                <w:rFonts w:hint="eastAsia" w:ascii="宋体" w:hAnsi="宋体" w:eastAsia="宋体" w:cs="宋体"/>
                <w:sz w:val="24"/>
                <w:szCs w:val="24"/>
              </w:rPr>
              <w:t>已具备6微米铜箔和4.5微米铜箔生产能力，并已向下游客户批量供货；已掌握3.5微米铜箔生产技术，正在开展产品下游客户验证</w:t>
            </w:r>
            <w:r>
              <w:rPr>
                <w:rFonts w:hint="eastAsia" w:ascii="宋体" w:hAnsi="宋体" w:eastAsia="宋体" w:cs="宋体"/>
                <w:sz w:val="24"/>
                <w:szCs w:val="24"/>
                <w:lang w:eastAsia="zh-CN"/>
              </w:rPr>
              <w:t>。</w:t>
            </w:r>
          </w:p>
          <w:p w14:paraId="0766A299">
            <w:pPr>
              <w:pStyle w:val="1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当前下游国内外巨头持续投入加码AI，由于AI应用场景涉及高频高速传输，对传输损耗的要求高，高端电子铜箔需求</w:t>
            </w:r>
            <w:r>
              <w:rPr>
                <w:rFonts w:hint="eastAsia" w:ascii="宋体" w:hAnsi="宋体" w:eastAsia="宋体" w:cs="宋体"/>
                <w:sz w:val="24"/>
                <w:szCs w:val="24"/>
                <w:lang w:val="en-US" w:eastAsia="zh-CN"/>
              </w:rPr>
              <w:t>有望提升</w:t>
            </w:r>
            <w:r>
              <w:rPr>
                <w:rFonts w:hint="eastAsia" w:ascii="宋体" w:hAnsi="宋体" w:eastAsia="宋体" w:cs="宋体"/>
                <w:sz w:val="24"/>
                <w:szCs w:val="24"/>
                <w:lang w:eastAsia="zh-CN"/>
              </w:rPr>
              <w:t>。</w:t>
            </w:r>
          </w:p>
          <w:p w14:paraId="34B028BA">
            <w:pPr>
              <w:pStyle w:val="12"/>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5、公司2025年主要经营计划？</w:t>
            </w:r>
          </w:p>
          <w:p w14:paraId="7209E863">
            <w:pPr>
              <w:pStyle w:val="12"/>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2025年，公司将继续围绕高质量发展为主线，坚定转型发展信心，聚焦生物科技与能源产业业务板块，深耕主责主业，充分挖掘自身优势与发展潜力，加快产品结构调整、优化产业布局，构建绿色产业协调发展新格局。</w:t>
            </w:r>
          </w:p>
          <w:p w14:paraId="6B7A1D75">
            <w:pPr>
              <w:pStyle w:val="12"/>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聚焦生物科技与能源产业业务方向，加强与高校、科研院所的产学研合作，建立科技创新平台，开展前瞻性项目课题研究，布局新产品、新技术的研发，持续推进工艺、设备、生产技术的进步，促进新能源材料、生物科技产品技术创新及成果转换，提升公司氨基酸产品生产能力和高端铜箔产品的开发及量产应用。</w:t>
            </w:r>
          </w:p>
          <w:p w14:paraId="65833ABE">
            <w:pPr>
              <w:pStyle w:val="12"/>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子公司</w:t>
            </w:r>
            <w:r>
              <w:rPr>
                <w:rFonts w:hint="eastAsia" w:ascii="宋体" w:hAnsi="宋体" w:eastAsia="宋体" w:cs="宋体"/>
                <w:sz w:val="24"/>
                <w:szCs w:val="24"/>
                <w:lang w:val="en-US" w:eastAsia="zh-CN"/>
              </w:rPr>
              <w:t>浙江</w:t>
            </w:r>
            <w:r>
              <w:rPr>
                <w:rFonts w:hint="default" w:ascii="宋体" w:hAnsi="宋体" w:eastAsia="宋体" w:cs="宋体"/>
                <w:sz w:val="24"/>
                <w:szCs w:val="24"/>
                <w:lang w:val="en-US" w:eastAsia="zh-CN"/>
              </w:rPr>
              <w:t>拜克生物</w:t>
            </w:r>
            <w:r>
              <w:rPr>
                <w:rFonts w:hint="eastAsia" w:ascii="宋体" w:hAnsi="宋体" w:eastAsia="宋体" w:cs="宋体"/>
                <w:sz w:val="24"/>
                <w:szCs w:val="24"/>
                <w:lang w:val="en-US" w:eastAsia="zh-CN"/>
              </w:rPr>
              <w:t>科技有限公司</w:t>
            </w:r>
            <w:r>
              <w:rPr>
                <w:rFonts w:hint="default" w:ascii="宋体" w:hAnsi="宋体" w:eastAsia="宋体" w:cs="宋体"/>
                <w:sz w:val="24"/>
                <w:szCs w:val="24"/>
                <w:lang w:val="en-US" w:eastAsia="zh-CN"/>
              </w:rPr>
              <w:t>将加快内蒙古氨基酸产业基地项目建设。子公司</w:t>
            </w:r>
            <w:r>
              <w:rPr>
                <w:rFonts w:hint="eastAsia" w:ascii="宋体" w:hAnsi="宋体" w:eastAsia="宋体" w:cs="宋体"/>
                <w:sz w:val="24"/>
                <w:szCs w:val="24"/>
              </w:rPr>
              <w:t>亨通精密铜箔科技（德阳）有限公司</w:t>
            </w:r>
            <w:r>
              <w:rPr>
                <w:rFonts w:hint="default" w:ascii="宋体" w:hAnsi="宋体" w:eastAsia="宋体" w:cs="宋体"/>
                <w:sz w:val="24"/>
                <w:szCs w:val="24"/>
                <w:lang w:val="en-US" w:eastAsia="zh-CN"/>
              </w:rPr>
              <w:t>将立足自身优势，围绕产品结构优化，以“进口替代+高端迭代”为路径，加强RTF-Ⅲ型、超低轮廓HVLP铜箔、超厚铜箔和中抗拉强度锂电铜箔等高端产品的研发与市场认证，提升公司产品市场竞争力。在稳固公司产品现有客户的基础上，积极拓展产品应用领域，整合资源进一步加强国内外市场开拓与客户合作，提高高端铜箔的销售占比，提升公司产品品牌知名度和影响力。</w:t>
            </w:r>
          </w:p>
        </w:tc>
      </w:tr>
      <w:tr w14:paraId="685D0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47" w:hRule="atLeast"/>
          <w:jc w:val="center"/>
        </w:trPr>
        <w:tc>
          <w:tcPr>
            <w:tcW w:w="1555" w:type="dxa"/>
            <w:vAlign w:val="center"/>
          </w:tcPr>
          <w:p w14:paraId="3B74E04C">
            <w:pPr>
              <w:pStyle w:val="12"/>
              <w:spacing w:before="1"/>
              <w:jc w:val="center"/>
              <w:rPr>
                <w:rFonts w:ascii="宋体" w:hAnsi="宋体" w:eastAsia="宋体" w:cs="宋体"/>
                <w:b/>
                <w:bCs/>
                <w:sz w:val="24"/>
                <w:szCs w:val="24"/>
                <w:lang w:val="en-US"/>
              </w:rPr>
            </w:pPr>
            <w:r>
              <w:rPr>
                <w:rFonts w:hint="eastAsia" w:ascii="宋体" w:hAnsi="宋体" w:eastAsia="宋体" w:cs="宋体"/>
                <w:b/>
                <w:bCs/>
                <w:sz w:val="24"/>
                <w:szCs w:val="24"/>
                <w:lang w:val="en-US"/>
              </w:rPr>
              <w:t>备注</w:t>
            </w:r>
          </w:p>
        </w:tc>
        <w:tc>
          <w:tcPr>
            <w:tcW w:w="6970" w:type="dxa"/>
            <w:vAlign w:val="center"/>
          </w:tcPr>
          <w:p w14:paraId="57F3F0E0">
            <w:pPr>
              <w:pStyle w:val="12"/>
              <w:spacing w:before="100" w:beforeAutospacing="1"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接待过程中，公司与投资者进行了充分的交流与沟通，并严格按照公司《信息披露制度》等规定，保证信息披露的真实、准确、完整、及时、公平，没有出现未公开重大信息泄露等情况。</w:t>
            </w:r>
          </w:p>
        </w:tc>
      </w:tr>
    </w:tbl>
    <w:p w14:paraId="622D5363">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lYzc1M2UzZGYyOTMxNDlmM2ZmM2RiYjgwYjlkMTgifQ=="/>
  </w:docVars>
  <w:rsids>
    <w:rsidRoot w:val="00301D32"/>
    <w:rsid w:val="00015389"/>
    <w:rsid w:val="00022CCA"/>
    <w:rsid w:val="00026CC3"/>
    <w:rsid w:val="00036089"/>
    <w:rsid w:val="00053CFA"/>
    <w:rsid w:val="000633EC"/>
    <w:rsid w:val="00063804"/>
    <w:rsid w:val="000665A2"/>
    <w:rsid w:val="000877AB"/>
    <w:rsid w:val="00096B4B"/>
    <w:rsid w:val="000B7C08"/>
    <w:rsid w:val="000D12CF"/>
    <w:rsid w:val="000D2D88"/>
    <w:rsid w:val="000E4B20"/>
    <w:rsid w:val="0011418F"/>
    <w:rsid w:val="00133CA7"/>
    <w:rsid w:val="00172C24"/>
    <w:rsid w:val="001E59D1"/>
    <w:rsid w:val="001E5EA4"/>
    <w:rsid w:val="002042A7"/>
    <w:rsid w:val="00205911"/>
    <w:rsid w:val="002146AD"/>
    <w:rsid w:val="00275CB6"/>
    <w:rsid w:val="002800B5"/>
    <w:rsid w:val="00295B29"/>
    <w:rsid w:val="002D4073"/>
    <w:rsid w:val="002E48A8"/>
    <w:rsid w:val="002E7098"/>
    <w:rsid w:val="00301D32"/>
    <w:rsid w:val="00366FAD"/>
    <w:rsid w:val="0037105B"/>
    <w:rsid w:val="003975BA"/>
    <w:rsid w:val="003A74E6"/>
    <w:rsid w:val="003B73DD"/>
    <w:rsid w:val="003D011C"/>
    <w:rsid w:val="003D2856"/>
    <w:rsid w:val="004108C7"/>
    <w:rsid w:val="00412DC2"/>
    <w:rsid w:val="00440041"/>
    <w:rsid w:val="00451268"/>
    <w:rsid w:val="004515AD"/>
    <w:rsid w:val="00451857"/>
    <w:rsid w:val="00453516"/>
    <w:rsid w:val="00457548"/>
    <w:rsid w:val="00470DB2"/>
    <w:rsid w:val="00475377"/>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B6AD0"/>
    <w:rsid w:val="008C6AED"/>
    <w:rsid w:val="008C7604"/>
    <w:rsid w:val="008E1B27"/>
    <w:rsid w:val="00902910"/>
    <w:rsid w:val="00903379"/>
    <w:rsid w:val="00906975"/>
    <w:rsid w:val="00917F0B"/>
    <w:rsid w:val="00917F8B"/>
    <w:rsid w:val="00960964"/>
    <w:rsid w:val="00965E4D"/>
    <w:rsid w:val="009B1D5C"/>
    <w:rsid w:val="009C2E31"/>
    <w:rsid w:val="009E1955"/>
    <w:rsid w:val="00A45641"/>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A2D41"/>
    <w:rsid w:val="00CD1788"/>
    <w:rsid w:val="00CE1A54"/>
    <w:rsid w:val="00CF5FB6"/>
    <w:rsid w:val="00D02518"/>
    <w:rsid w:val="00D17454"/>
    <w:rsid w:val="00D33FBC"/>
    <w:rsid w:val="00D7535C"/>
    <w:rsid w:val="00D76302"/>
    <w:rsid w:val="00DA5CE2"/>
    <w:rsid w:val="00DD3372"/>
    <w:rsid w:val="00DE10E8"/>
    <w:rsid w:val="00E16FDA"/>
    <w:rsid w:val="00E35F58"/>
    <w:rsid w:val="00E45BD9"/>
    <w:rsid w:val="00E66FFC"/>
    <w:rsid w:val="00E759D6"/>
    <w:rsid w:val="00E84A8C"/>
    <w:rsid w:val="00E976DE"/>
    <w:rsid w:val="00EC0F83"/>
    <w:rsid w:val="00EC24A3"/>
    <w:rsid w:val="00ED1E2A"/>
    <w:rsid w:val="00EE3187"/>
    <w:rsid w:val="00EF499B"/>
    <w:rsid w:val="00F14977"/>
    <w:rsid w:val="00FB4A08"/>
    <w:rsid w:val="00FC02BF"/>
    <w:rsid w:val="00FC0C2A"/>
    <w:rsid w:val="00FD7F8E"/>
    <w:rsid w:val="00FF11E4"/>
    <w:rsid w:val="0160485B"/>
    <w:rsid w:val="01A4421B"/>
    <w:rsid w:val="021358C1"/>
    <w:rsid w:val="02963DFC"/>
    <w:rsid w:val="02BF77F6"/>
    <w:rsid w:val="049F01BB"/>
    <w:rsid w:val="04B072D4"/>
    <w:rsid w:val="052865C1"/>
    <w:rsid w:val="059D3AA1"/>
    <w:rsid w:val="05F575D4"/>
    <w:rsid w:val="064249C6"/>
    <w:rsid w:val="06893C02"/>
    <w:rsid w:val="06AC786D"/>
    <w:rsid w:val="07DD49A7"/>
    <w:rsid w:val="08641132"/>
    <w:rsid w:val="09167D8D"/>
    <w:rsid w:val="09186774"/>
    <w:rsid w:val="09257DF8"/>
    <w:rsid w:val="0945438F"/>
    <w:rsid w:val="09490488"/>
    <w:rsid w:val="095E38C5"/>
    <w:rsid w:val="09842F5B"/>
    <w:rsid w:val="0A3C34DB"/>
    <w:rsid w:val="0A71587A"/>
    <w:rsid w:val="0ABE2142"/>
    <w:rsid w:val="0AF52007"/>
    <w:rsid w:val="0B792C38"/>
    <w:rsid w:val="0B845C72"/>
    <w:rsid w:val="0BED7182"/>
    <w:rsid w:val="0C28640C"/>
    <w:rsid w:val="0CAF268A"/>
    <w:rsid w:val="0DB53CD0"/>
    <w:rsid w:val="0E90599A"/>
    <w:rsid w:val="0ED720CD"/>
    <w:rsid w:val="0F39623B"/>
    <w:rsid w:val="0F5B7630"/>
    <w:rsid w:val="11276484"/>
    <w:rsid w:val="11276C93"/>
    <w:rsid w:val="11A46535"/>
    <w:rsid w:val="12070CAE"/>
    <w:rsid w:val="1299596E"/>
    <w:rsid w:val="135B70C7"/>
    <w:rsid w:val="136305FD"/>
    <w:rsid w:val="13927ABF"/>
    <w:rsid w:val="13ED41C3"/>
    <w:rsid w:val="1407288D"/>
    <w:rsid w:val="145533A6"/>
    <w:rsid w:val="145F688C"/>
    <w:rsid w:val="146D1F11"/>
    <w:rsid w:val="14972381"/>
    <w:rsid w:val="14B46A8F"/>
    <w:rsid w:val="14E56A35"/>
    <w:rsid w:val="15202377"/>
    <w:rsid w:val="15512530"/>
    <w:rsid w:val="158741A4"/>
    <w:rsid w:val="15DD2205"/>
    <w:rsid w:val="15F80BFE"/>
    <w:rsid w:val="16BF34C9"/>
    <w:rsid w:val="16DD7778"/>
    <w:rsid w:val="17072842"/>
    <w:rsid w:val="173E4D36"/>
    <w:rsid w:val="17A67110"/>
    <w:rsid w:val="18297794"/>
    <w:rsid w:val="1864189B"/>
    <w:rsid w:val="18D73A7D"/>
    <w:rsid w:val="19557370"/>
    <w:rsid w:val="195E16BF"/>
    <w:rsid w:val="19CA28B1"/>
    <w:rsid w:val="1AB01AA7"/>
    <w:rsid w:val="1B0B07CE"/>
    <w:rsid w:val="1B481CDF"/>
    <w:rsid w:val="1B9413C8"/>
    <w:rsid w:val="1BBC26CD"/>
    <w:rsid w:val="1BD06B6A"/>
    <w:rsid w:val="1C965875"/>
    <w:rsid w:val="1CB57848"/>
    <w:rsid w:val="1CCC6940"/>
    <w:rsid w:val="1F444EB4"/>
    <w:rsid w:val="1F782BDE"/>
    <w:rsid w:val="1FF71F26"/>
    <w:rsid w:val="20401B1F"/>
    <w:rsid w:val="204A6A53"/>
    <w:rsid w:val="21FE759C"/>
    <w:rsid w:val="22916662"/>
    <w:rsid w:val="22BB469A"/>
    <w:rsid w:val="22EB39EC"/>
    <w:rsid w:val="23317869"/>
    <w:rsid w:val="235F050E"/>
    <w:rsid w:val="23A67EEB"/>
    <w:rsid w:val="23BA310D"/>
    <w:rsid w:val="24080473"/>
    <w:rsid w:val="25650CAE"/>
    <w:rsid w:val="26393E42"/>
    <w:rsid w:val="26406598"/>
    <w:rsid w:val="27C41307"/>
    <w:rsid w:val="28080056"/>
    <w:rsid w:val="28480D9A"/>
    <w:rsid w:val="28583774"/>
    <w:rsid w:val="28642123"/>
    <w:rsid w:val="286454FC"/>
    <w:rsid w:val="28734C1A"/>
    <w:rsid w:val="28887BBF"/>
    <w:rsid w:val="28C606E7"/>
    <w:rsid w:val="28C72DDD"/>
    <w:rsid w:val="298A5BB9"/>
    <w:rsid w:val="298C7B83"/>
    <w:rsid w:val="29B844D4"/>
    <w:rsid w:val="29EE0E64"/>
    <w:rsid w:val="2A306760"/>
    <w:rsid w:val="2A473AAA"/>
    <w:rsid w:val="2ACB46DB"/>
    <w:rsid w:val="2AFA4A52"/>
    <w:rsid w:val="2BC4020A"/>
    <w:rsid w:val="2C027C88"/>
    <w:rsid w:val="2D6A1F89"/>
    <w:rsid w:val="2DDA5A60"/>
    <w:rsid w:val="2E293BF2"/>
    <w:rsid w:val="2E910BC8"/>
    <w:rsid w:val="2E933762"/>
    <w:rsid w:val="2EF90F16"/>
    <w:rsid w:val="2F125C63"/>
    <w:rsid w:val="2F4E2C97"/>
    <w:rsid w:val="2FA5374C"/>
    <w:rsid w:val="302C3D0A"/>
    <w:rsid w:val="306E7FE2"/>
    <w:rsid w:val="30E42053"/>
    <w:rsid w:val="3104598F"/>
    <w:rsid w:val="312D39F9"/>
    <w:rsid w:val="31682C84"/>
    <w:rsid w:val="321E77E6"/>
    <w:rsid w:val="32AC7161"/>
    <w:rsid w:val="32BF2D77"/>
    <w:rsid w:val="32FB6EC5"/>
    <w:rsid w:val="33022C64"/>
    <w:rsid w:val="330C763F"/>
    <w:rsid w:val="33DE31BB"/>
    <w:rsid w:val="33E6468F"/>
    <w:rsid w:val="34406259"/>
    <w:rsid w:val="34563267"/>
    <w:rsid w:val="35374E47"/>
    <w:rsid w:val="35F9034E"/>
    <w:rsid w:val="36511F38"/>
    <w:rsid w:val="372238D5"/>
    <w:rsid w:val="372633C5"/>
    <w:rsid w:val="37337890"/>
    <w:rsid w:val="37425D25"/>
    <w:rsid w:val="379917D7"/>
    <w:rsid w:val="37EA5114"/>
    <w:rsid w:val="37F67A54"/>
    <w:rsid w:val="389C49C0"/>
    <w:rsid w:val="38BD4D14"/>
    <w:rsid w:val="393671C3"/>
    <w:rsid w:val="39BC78F4"/>
    <w:rsid w:val="3A843F26"/>
    <w:rsid w:val="3B35486F"/>
    <w:rsid w:val="3C1063F2"/>
    <w:rsid w:val="3CAA0814"/>
    <w:rsid w:val="3CEC1737"/>
    <w:rsid w:val="3DE713D4"/>
    <w:rsid w:val="3E247F32"/>
    <w:rsid w:val="3E742C68"/>
    <w:rsid w:val="3EF1250A"/>
    <w:rsid w:val="3F9B10D5"/>
    <w:rsid w:val="3FA05CDE"/>
    <w:rsid w:val="3FDE4546"/>
    <w:rsid w:val="40567DB0"/>
    <w:rsid w:val="40CC6A7C"/>
    <w:rsid w:val="40D519B8"/>
    <w:rsid w:val="40F938F8"/>
    <w:rsid w:val="40FF5CD2"/>
    <w:rsid w:val="418404A3"/>
    <w:rsid w:val="420A5691"/>
    <w:rsid w:val="420A5B11"/>
    <w:rsid w:val="4223798F"/>
    <w:rsid w:val="42334BE8"/>
    <w:rsid w:val="42755200"/>
    <w:rsid w:val="42772D26"/>
    <w:rsid w:val="42DB40B0"/>
    <w:rsid w:val="4369689A"/>
    <w:rsid w:val="4391606A"/>
    <w:rsid w:val="43B71B0A"/>
    <w:rsid w:val="43E443EC"/>
    <w:rsid w:val="43F32881"/>
    <w:rsid w:val="44FA0589"/>
    <w:rsid w:val="45A663E3"/>
    <w:rsid w:val="469F09AF"/>
    <w:rsid w:val="46D1742C"/>
    <w:rsid w:val="46DB5DAF"/>
    <w:rsid w:val="47404AE4"/>
    <w:rsid w:val="47855EE6"/>
    <w:rsid w:val="47994122"/>
    <w:rsid w:val="48474A35"/>
    <w:rsid w:val="48A71E8C"/>
    <w:rsid w:val="49184B37"/>
    <w:rsid w:val="49425710"/>
    <w:rsid w:val="4954466E"/>
    <w:rsid w:val="4AC21442"/>
    <w:rsid w:val="4AE178D7"/>
    <w:rsid w:val="4B756271"/>
    <w:rsid w:val="4B8D35BB"/>
    <w:rsid w:val="4C5371E0"/>
    <w:rsid w:val="4C8E1CA8"/>
    <w:rsid w:val="4D6D36A4"/>
    <w:rsid w:val="4DB82445"/>
    <w:rsid w:val="4E1A4EAE"/>
    <w:rsid w:val="4E310469"/>
    <w:rsid w:val="4E710F72"/>
    <w:rsid w:val="4FA64C4B"/>
    <w:rsid w:val="4FAC2153"/>
    <w:rsid w:val="50047BC4"/>
    <w:rsid w:val="50416722"/>
    <w:rsid w:val="50785A9F"/>
    <w:rsid w:val="50B43398"/>
    <w:rsid w:val="510903EF"/>
    <w:rsid w:val="515626A1"/>
    <w:rsid w:val="51974175"/>
    <w:rsid w:val="520270DE"/>
    <w:rsid w:val="52543479"/>
    <w:rsid w:val="52B14033"/>
    <w:rsid w:val="53177C0E"/>
    <w:rsid w:val="53CC0892"/>
    <w:rsid w:val="53F137F4"/>
    <w:rsid w:val="53F57F4F"/>
    <w:rsid w:val="543A6906"/>
    <w:rsid w:val="552F56E3"/>
    <w:rsid w:val="55546EF7"/>
    <w:rsid w:val="560C332E"/>
    <w:rsid w:val="565C0957"/>
    <w:rsid w:val="56850CBB"/>
    <w:rsid w:val="569E3E33"/>
    <w:rsid w:val="56A619D5"/>
    <w:rsid w:val="56CA2004"/>
    <w:rsid w:val="573174F0"/>
    <w:rsid w:val="578A1D00"/>
    <w:rsid w:val="579E7BAE"/>
    <w:rsid w:val="5875340D"/>
    <w:rsid w:val="59C56616"/>
    <w:rsid w:val="59D8738A"/>
    <w:rsid w:val="59DD570D"/>
    <w:rsid w:val="59E40D48"/>
    <w:rsid w:val="5A666D76"/>
    <w:rsid w:val="5A6D7E64"/>
    <w:rsid w:val="5B2253C2"/>
    <w:rsid w:val="5B372BFB"/>
    <w:rsid w:val="5B4B2B4A"/>
    <w:rsid w:val="5B7E7008"/>
    <w:rsid w:val="5B9E711E"/>
    <w:rsid w:val="5BA858A7"/>
    <w:rsid w:val="5BCC5A39"/>
    <w:rsid w:val="5C090A3C"/>
    <w:rsid w:val="5CE13766"/>
    <w:rsid w:val="5CF02E0F"/>
    <w:rsid w:val="5D5850AB"/>
    <w:rsid w:val="5E8A398A"/>
    <w:rsid w:val="5F6D12E1"/>
    <w:rsid w:val="603269D2"/>
    <w:rsid w:val="604C071C"/>
    <w:rsid w:val="61A52BCA"/>
    <w:rsid w:val="62165C60"/>
    <w:rsid w:val="622C5484"/>
    <w:rsid w:val="62C3746A"/>
    <w:rsid w:val="62DC160A"/>
    <w:rsid w:val="631B5735"/>
    <w:rsid w:val="63AD3417"/>
    <w:rsid w:val="63B3128D"/>
    <w:rsid w:val="63BA2AC7"/>
    <w:rsid w:val="63C416EC"/>
    <w:rsid w:val="649E1F3D"/>
    <w:rsid w:val="664B7EA3"/>
    <w:rsid w:val="668A4527"/>
    <w:rsid w:val="66C20165"/>
    <w:rsid w:val="67095496"/>
    <w:rsid w:val="67896ED4"/>
    <w:rsid w:val="67C63C85"/>
    <w:rsid w:val="67ED7463"/>
    <w:rsid w:val="67F65BEC"/>
    <w:rsid w:val="68162749"/>
    <w:rsid w:val="681A546A"/>
    <w:rsid w:val="68295FC1"/>
    <w:rsid w:val="69CB37D4"/>
    <w:rsid w:val="69DC778F"/>
    <w:rsid w:val="6A0D5B9B"/>
    <w:rsid w:val="6A0F5AE1"/>
    <w:rsid w:val="6A3B23B1"/>
    <w:rsid w:val="6A503CD9"/>
    <w:rsid w:val="6AEA32DC"/>
    <w:rsid w:val="6BE7241B"/>
    <w:rsid w:val="6BEC358E"/>
    <w:rsid w:val="6CAE6A95"/>
    <w:rsid w:val="6CC24AB5"/>
    <w:rsid w:val="6D003795"/>
    <w:rsid w:val="6D0C2A35"/>
    <w:rsid w:val="6D1A1752"/>
    <w:rsid w:val="6D512242"/>
    <w:rsid w:val="6D9271B2"/>
    <w:rsid w:val="6DCA5B51"/>
    <w:rsid w:val="6E657628"/>
    <w:rsid w:val="6E775CD9"/>
    <w:rsid w:val="6EE113A4"/>
    <w:rsid w:val="6F134790"/>
    <w:rsid w:val="6FCC795E"/>
    <w:rsid w:val="6FE81F5F"/>
    <w:rsid w:val="70025A76"/>
    <w:rsid w:val="70B54896"/>
    <w:rsid w:val="717F4B7D"/>
    <w:rsid w:val="71B27028"/>
    <w:rsid w:val="72446028"/>
    <w:rsid w:val="72BF2EC9"/>
    <w:rsid w:val="73076EC0"/>
    <w:rsid w:val="732B52E4"/>
    <w:rsid w:val="736425A4"/>
    <w:rsid w:val="73C117A4"/>
    <w:rsid w:val="74210CA6"/>
    <w:rsid w:val="74611848"/>
    <w:rsid w:val="746F4E76"/>
    <w:rsid w:val="749D5D6D"/>
    <w:rsid w:val="751E3C0B"/>
    <w:rsid w:val="755E374E"/>
    <w:rsid w:val="75DF5F11"/>
    <w:rsid w:val="766301EB"/>
    <w:rsid w:val="76F37EC6"/>
    <w:rsid w:val="777F5BFE"/>
    <w:rsid w:val="788C25F5"/>
    <w:rsid w:val="78B01A17"/>
    <w:rsid w:val="790A599B"/>
    <w:rsid w:val="793A1DDD"/>
    <w:rsid w:val="79D97847"/>
    <w:rsid w:val="79F72AA9"/>
    <w:rsid w:val="7A144529"/>
    <w:rsid w:val="7A9279F6"/>
    <w:rsid w:val="7B263E32"/>
    <w:rsid w:val="7BB73BB8"/>
    <w:rsid w:val="7DD37FAE"/>
    <w:rsid w:val="7E056A65"/>
    <w:rsid w:val="7E5A7B34"/>
    <w:rsid w:val="7EFE1AFE"/>
    <w:rsid w:val="7F080287"/>
    <w:rsid w:val="7F2350C1"/>
    <w:rsid w:val="7F36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7"/>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autoRedefine/>
    <w:qFormat/>
    <w:uiPriority w:val="0"/>
    <w:rPr>
      <w:b/>
      <w:bCs/>
    </w:rPr>
  </w:style>
  <w:style w:type="character" w:styleId="11">
    <w:name w:val="annotation reference"/>
    <w:basedOn w:val="10"/>
    <w:autoRedefine/>
    <w:qFormat/>
    <w:uiPriority w:val="0"/>
    <w:rPr>
      <w:sz w:val="21"/>
      <w:szCs w:val="21"/>
    </w:rPr>
  </w:style>
  <w:style w:type="paragraph" w:customStyle="1" w:styleId="12">
    <w:name w:val="Table Paragraph"/>
    <w:basedOn w:val="1"/>
    <w:autoRedefine/>
    <w:qFormat/>
    <w:uiPriority w:val="1"/>
  </w:style>
  <w:style w:type="character" w:customStyle="1" w:styleId="13">
    <w:name w:val="页眉 字符"/>
    <w:basedOn w:val="10"/>
    <w:link w:val="7"/>
    <w:autoRedefine/>
    <w:qFormat/>
    <w:uiPriority w:val="0"/>
    <w:rPr>
      <w:rFonts w:ascii="仿宋" w:hAnsi="仿宋" w:eastAsia="仿宋" w:cs="仿宋"/>
      <w:sz w:val="18"/>
      <w:szCs w:val="18"/>
      <w:lang w:val="zh-CN" w:bidi="zh-CN"/>
    </w:rPr>
  </w:style>
  <w:style w:type="character" w:customStyle="1" w:styleId="14">
    <w:name w:val="页脚 字符"/>
    <w:basedOn w:val="10"/>
    <w:link w:val="6"/>
    <w:autoRedefine/>
    <w:qFormat/>
    <w:uiPriority w:val="0"/>
    <w:rPr>
      <w:rFonts w:ascii="仿宋" w:hAnsi="仿宋" w:eastAsia="仿宋" w:cs="仿宋"/>
      <w:sz w:val="18"/>
      <w:szCs w:val="18"/>
      <w:lang w:val="zh-CN" w:bidi="zh-CN"/>
    </w:rPr>
  </w:style>
  <w:style w:type="character" w:customStyle="1" w:styleId="15">
    <w:name w:val="批注文字 字符"/>
    <w:basedOn w:val="10"/>
    <w:link w:val="3"/>
    <w:autoRedefine/>
    <w:qFormat/>
    <w:uiPriority w:val="0"/>
    <w:rPr>
      <w:rFonts w:ascii="仿宋" w:hAnsi="仿宋" w:eastAsia="仿宋" w:cs="仿宋"/>
      <w:sz w:val="22"/>
      <w:szCs w:val="22"/>
      <w:lang w:val="zh-CN" w:bidi="zh-CN"/>
    </w:rPr>
  </w:style>
  <w:style w:type="character" w:customStyle="1" w:styleId="16">
    <w:name w:val="批注主题 字符"/>
    <w:basedOn w:val="15"/>
    <w:link w:val="8"/>
    <w:autoRedefine/>
    <w:qFormat/>
    <w:uiPriority w:val="0"/>
    <w:rPr>
      <w:rFonts w:ascii="仿宋" w:hAnsi="仿宋" w:eastAsia="仿宋" w:cs="仿宋"/>
      <w:b/>
      <w:bCs/>
      <w:sz w:val="22"/>
      <w:szCs w:val="22"/>
      <w:lang w:val="zh-CN" w:bidi="zh-CN"/>
    </w:rPr>
  </w:style>
  <w:style w:type="character" w:customStyle="1" w:styleId="17">
    <w:name w:val="批注框文本 字符"/>
    <w:basedOn w:val="10"/>
    <w:link w:val="5"/>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1925</Words>
  <Characters>2133</Characters>
  <Lines>13</Lines>
  <Paragraphs>3</Paragraphs>
  <TotalTime>0</TotalTime>
  <ScaleCrop>false</ScaleCrop>
  <LinksUpToDate>false</LinksUpToDate>
  <CharactersWithSpaces>2199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2024-03-19T10:18:00Z</dcterms:created>
  <dc:creator>jie.huang</dc:creator>
  <cp:lastModifiedBy>Aylin</cp:lastModifiedBy>
  <dcterms:modified xsi:type="dcterms:W3CDTF">2025-04-25T08:40:32Z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1CE43F71710F4ECE96DE08E2BACAAB1F_13</vt:lpwstr>
  </property>
  <property fmtid="{D5CDD505-2E9C-101B-9397-08002B2CF9AE}" pid="4" name="KSOTemplateDocerSaveRecord">
    <vt:lpwstr>eyJoZGlkIjoiNGMxZWQ1NWRlNGZiMTI3OWM2OGY2NmM4MzUwYTQ4ODgiLCJ1c2VySWQiOiIxMDAyMDA0MDEzIn0=</vt:lpwstr>
  </property>
</Properties>
</file>