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EA0F">
      <w:pPr>
        <w:ind w:firstLine="480"/>
        <w:rPr>
          <w:rFonts w:hint="eastAsia" w:ascii="Times New Roman" w:hAnsi="Times New Roman" w:eastAsia="宋体" w:cs="Times New Roman"/>
          <w:b/>
          <w:bCs/>
          <w:iCs/>
          <w:color w:val="000000"/>
        </w:rPr>
      </w:pPr>
      <w:r>
        <w:rPr>
          <w:rFonts w:ascii="Times New Roman" w:hAnsi="Times New Roman" w:eastAsia="宋体" w:cs="Times New Roman"/>
          <w:bCs/>
          <w:iCs/>
          <w:color w:val="000000"/>
        </w:rPr>
        <w:t>证券代码：</w:t>
      </w:r>
      <w:r>
        <w:rPr>
          <w:rFonts w:hint="eastAsia" w:ascii="Times New Roman" w:hAnsi="Times New Roman" w:eastAsia="宋体" w:cs="Times New Roman"/>
          <w:bCs/>
          <w:iCs/>
          <w:color w:val="000000"/>
        </w:rPr>
        <w:t xml:space="preserve">688213                               </w:t>
      </w:r>
      <w:r>
        <w:rPr>
          <w:rFonts w:ascii="Times New Roman" w:hAnsi="Times New Roman" w:eastAsia="宋体" w:cs="Times New Roman"/>
          <w:bCs/>
          <w:iCs/>
          <w:color w:val="000000"/>
        </w:rPr>
        <w:t>证券简称：</w:t>
      </w:r>
      <w:r>
        <w:rPr>
          <w:rFonts w:hint="eastAsia" w:ascii="Times New Roman" w:hAnsi="Times New Roman" w:eastAsia="宋体" w:cs="Times New Roman"/>
          <w:bCs/>
          <w:iCs/>
          <w:color w:val="000000"/>
        </w:rPr>
        <w:t>思特威</w:t>
      </w:r>
    </w:p>
    <w:p w14:paraId="164E0E54">
      <w:pPr>
        <w:ind w:firstLine="482"/>
        <w:jc w:val="center"/>
        <w:rPr>
          <w:rFonts w:hint="eastAsia" w:ascii="Times New Roman" w:hAnsi="Times New Roman" w:eastAsia="宋体" w:cs="Times New Roman"/>
          <w:b/>
          <w:bCs/>
          <w:iCs/>
          <w:color w:val="000000"/>
        </w:rPr>
      </w:pPr>
    </w:p>
    <w:p w14:paraId="4B886DED">
      <w:pPr>
        <w:ind w:firstLine="562"/>
        <w:jc w:val="center"/>
        <w:rPr>
          <w:rFonts w:hint="eastAsia" w:ascii="Times New Roman" w:hAnsi="Times New Roman" w:eastAsia="宋体" w:cs="Times New Roman"/>
          <w:b/>
          <w:bCs/>
          <w:iCs/>
          <w:color w:val="000000"/>
          <w:sz w:val="28"/>
          <w:szCs w:val="28"/>
        </w:rPr>
      </w:pPr>
      <w:r>
        <w:rPr>
          <w:rFonts w:hint="eastAsia" w:ascii="Times New Roman" w:hAnsi="Times New Roman" w:eastAsia="宋体" w:cs="Times New Roman"/>
          <w:b/>
          <w:bCs/>
          <w:iCs/>
          <w:color w:val="000000"/>
          <w:sz w:val="28"/>
          <w:szCs w:val="28"/>
        </w:rPr>
        <w:t>思特威（上海）电子科技股份有限公司</w:t>
      </w:r>
    </w:p>
    <w:p w14:paraId="4BEE0CE4">
      <w:pPr>
        <w:ind w:firstLine="562"/>
        <w:jc w:val="center"/>
        <w:rPr>
          <w:rFonts w:hint="eastAsia" w:ascii="Times New Roman" w:hAnsi="Times New Roman" w:eastAsia="宋体" w:cs="Times New Roman"/>
          <w:b/>
          <w:bCs/>
          <w:iCs/>
          <w:color w:val="000000"/>
          <w:sz w:val="28"/>
          <w:szCs w:val="28"/>
        </w:rPr>
      </w:pPr>
      <w:r>
        <w:rPr>
          <w:rFonts w:hint="eastAsia" w:ascii="Times New Roman" w:hAnsi="Times New Roman" w:eastAsia="宋体" w:cs="Times New Roman"/>
          <w:b/>
          <w:bCs/>
          <w:iCs/>
          <w:color w:val="000000"/>
          <w:sz w:val="28"/>
          <w:szCs w:val="28"/>
        </w:rPr>
        <w:t>投资者关系活动记录表</w:t>
      </w:r>
    </w:p>
    <w:p w14:paraId="067160F8">
      <w:pPr>
        <w:spacing w:line="400" w:lineRule="exact"/>
        <w:ind w:firstLine="480"/>
        <w:jc w:val="right"/>
        <w:rPr>
          <w:rFonts w:hint="eastAsia" w:ascii="Times New Roman" w:hAnsi="Times New Roman" w:eastAsia="宋体" w:cs="Times New Roman"/>
          <w:bCs/>
          <w:iCs/>
          <w:color w:val="000000"/>
          <w:lang w:eastAsia="zh-CN"/>
        </w:rPr>
      </w:pPr>
      <w:r>
        <w:rPr>
          <w:rFonts w:hint="eastAsia" w:ascii="Times New Roman" w:hAnsi="Times New Roman" w:eastAsia="宋体" w:cs="Times New Roman"/>
          <w:bCs/>
          <w:iCs/>
          <w:color w:val="000000"/>
        </w:rPr>
        <w:t>编号：202</w:t>
      </w:r>
      <w:r>
        <w:rPr>
          <w:rFonts w:hint="eastAsia" w:ascii="Times New Roman" w:hAnsi="Times New Roman" w:eastAsia="宋体" w:cs="Times New Roman"/>
          <w:bCs/>
          <w:iCs/>
          <w:color w:val="000000"/>
          <w:lang w:val="en-US" w:eastAsia="zh-CN"/>
        </w:rPr>
        <w:t>5</w:t>
      </w:r>
      <w:r>
        <w:rPr>
          <w:rFonts w:hint="eastAsia" w:ascii="Times New Roman" w:hAnsi="Times New Roman" w:eastAsia="宋体" w:cs="Times New Roman"/>
          <w:bCs/>
          <w:iCs/>
          <w:color w:val="000000"/>
        </w:rPr>
        <w:t>-</w:t>
      </w:r>
      <w:r>
        <w:rPr>
          <w:rFonts w:hint="eastAsia" w:cs="Times New Roman"/>
          <w:bCs/>
          <w:iCs/>
          <w:color w:val="000000"/>
          <w:lang w:val="en-US" w:eastAsia="zh-CN"/>
        </w:rPr>
        <w:t>4</w:t>
      </w:r>
      <w:r>
        <w:rPr>
          <w:rFonts w:hint="eastAsia" w:ascii="Times New Roman" w:hAnsi="Times New Roman" w:eastAsia="宋体" w:cs="Times New Roman"/>
          <w:bCs/>
          <w:iCs/>
          <w:color w:val="000000"/>
        </w:rPr>
        <w:t>-</w:t>
      </w:r>
      <w:r>
        <w:rPr>
          <w:rFonts w:hint="eastAsia" w:cs="Times New Roman"/>
          <w:bCs/>
          <w:iCs/>
          <w:color w:val="000000"/>
          <w:lang w:val="en-US" w:eastAsia="zh-CN"/>
        </w:rPr>
        <w:t>2</w:t>
      </w:r>
    </w:p>
    <w:tbl>
      <w:tblPr>
        <w:tblStyle w:val="11"/>
        <w:tblW w:w="928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370"/>
      </w:tblGrid>
      <w:tr w14:paraId="6EE8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A1D147">
            <w:pPr>
              <w:ind w:firstLine="0" w:firstLineChars="0"/>
              <w:jc w:val="center"/>
              <w:rPr>
                <w:rFonts w:ascii="Times New Roman" w:hAnsi="Times New Roman" w:eastAsia="宋体" w:cs="Times New Roman"/>
              </w:rPr>
            </w:pPr>
            <w:r>
              <w:rPr>
                <w:rFonts w:ascii="Times New Roman" w:hAnsi="Times New Roman" w:eastAsia="宋体" w:cs="Times New Roman"/>
              </w:rPr>
              <w:t>投资者关系</w:t>
            </w:r>
          </w:p>
          <w:p w14:paraId="48E659B3">
            <w:pPr>
              <w:ind w:firstLine="0" w:firstLineChars="0"/>
              <w:jc w:val="center"/>
              <w:rPr>
                <w:rFonts w:ascii="Times New Roman" w:hAnsi="Times New Roman" w:eastAsia="宋体" w:cs="Times New Roman"/>
              </w:rPr>
            </w:pPr>
            <w:r>
              <w:rPr>
                <w:rFonts w:ascii="Times New Roman" w:hAnsi="Times New Roman" w:eastAsia="宋体" w:cs="Times New Roman"/>
              </w:rPr>
              <w:t>活动类别</w:t>
            </w:r>
          </w:p>
          <w:p w14:paraId="480BF7C0">
            <w:pPr>
              <w:ind w:firstLine="480"/>
              <w:rPr>
                <w:rFonts w:ascii="Times New Roman" w:hAnsi="Times New Roman" w:eastAsia="宋体" w:cs="Times New Roman"/>
              </w:rPr>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0E2C64C8">
            <w:pPr>
              <w:ind w:firstLine="480"/>
              <w:jc w:val="left"/>
              <w:rPr>
                <w:rFonts w:ascii="Times New Roman" w:hAnsi="Times New Roman" w:eastAsia="宋体" w:cs="Times New Roman"/>
              </w:rPr>
            </w:pPr>
            <w:r>
              <w:rPr>
                <w:rFonts w:ascii="Times New Roman" w:hAnsi="Times New Roman" w:eastAsia="宋体" w:cs="Times New Roman"/>
              </w:rPr>
              <w:sym w:font="Wingdings 2" w:char="0052"/>
            </w:r>
            <w:r>
              <w:rPr>
                <w:rFonts w:ascii="Times New Roman" w:hAnsi="Times New Roman" w:eastAsia="宋体" w:cs="Times New Roman"/>
              </w:rPr>
              <w:t xml:space="preserve">特定对象调研        </w:t>
            </w:r>
            <w:r>
              <w:rPr>
                <w:rFonts w:ascii="Times New Roman" w:hAnsi="Times New Roman" w:eastAsia="宋体" w:cs="Times New Roman"/>
              </w:rPr>
              <w:sym w:font="Wingdings 2" w:char="00A3"/>
            </w:r>
            <w:r>
              <w:rPr>
                <w:rFonts w:ascii="Times New Roman" w:hAnsi="Times New Roman" w:eastAsia="宋体" w:cs="Times New Roman"/>
              </w:rPr>
              <w:t>分析师会议</w:t>
            </w:r>
          </w:p>
          <w:p w14:paraId="582312F0">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 xml:space="preserve">媒体采访            </w:t>
            </w:r>
            <w:r>
              <w:rPr>
                <w:rFonts w:ascii="Times New Roman" w:hAnsi="Times New Roman" w:eastAsia="宋体" w:cs="Times New Roman"/>
              </w:rPr>
              <w:sym w:font="Wingdings 2" w:char="00A3"/>
            </w:r>
            <w:r>
              <w:rPr>
                <w:rFonts w:ascii="Times New Roman" w:hAnsi="Times New Roman" w:eastAsia="宋体" w:cs="Times New Roman"/>
              </w:rPr>
              <w:t>业绩说明会</w:t>
            </w:r>
          </w:p>
          <w:p w14:paraId="549A6990">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 xml:space="preserve">新闻发布会          </w:t>
            </w:r>
            <w:r>
              <w:rPr>
                <w:rFonts w:ascii="Times New Roman" w:hAnsi="Times New Roman" w:eastAsia="宋体" w:cs="Times New Roman"/>
              </w:rPr>
              <w:sym w:font="Wingdings 2" w:char="0052"/>
            </w:r>
            <w:r>
              <w:rPr>
                <w:rFonts w:ascii="Times New Roman" w:hAnsi="Times New Roman" w:eastAsia="宋体" w:cs="Times New Roman"/>
              </w:rPr>
              <w:t>路演活动</w:t>
            </w:r>
          </w:p>
          <w:p w14:paraId="42D09420">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现场参观</w:t>
            </w:r>
          </w:p>
          <w:p w14:paraId="56CF6F28">
            <w:pPr>
              <w:ind w:firstLine="480"/>
              <w:jc w:val="left"/>
              <w:rPr>
                <w:rFonts w:ascii="Times New Roman" w:hAnsi="Times New Roman" w:eastAsia="宋体" w:cs="Times New Roman"/>
              </w:rPr>
            </w:pPr>
            <w:r>
              <w:rPr>
                <w:rFonts w:ascii="Times New Roman" w:hAnsi="Times New Roman" w:eastAsia="宋体" w:cs="Times New Roman"/>
              </w:rPr>
              <w:sym w:font="Wingdings 2" w:char="00A3"/>
            </w:r>
            <w:r>
              <w:rPr>
                <w:rFonts w:ascii="Times New Roman" w:hAnsi="Times New Roman" w:eastAsia="宋体" w:cs="Times New Roman"/>
              </w:rPr>
              <w:t>其他（请文字说明其他活动内容）</w:t>
            </w:r>
          </w:p>
        </w:tc>
      </w:tr>
      <w:tr w14:paraId="7D3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3BA5FF">
            <w:pPr>
              <w:ind w:firstLine="0" w:firstLineChars="0"/>
              <w:jc w:val="center"/>
              <w:rPr>
                <w:rFonts w:ascii="Times New Roman" w:hAnsi="Times New Roman" w:eastAsia="宋体" w:cs="Times New Roman"/>
              </w:rPr>
            </w:pPr>
            <w:r>
              <w:rPr>
                <w:rFonts w:ascii="Times New Roman" w:hAnsi="Times New Roman" w:eastAsia="宋体" w:cs="Times New Roman"/>
              </w:rPr>
              <w:t>参与单位名称</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7E35DEEC">
            <w:pPr>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中邮证券</w:t>
            </w:r>
            <w:r>
              <w:rPr>
                <w:rFonts w:hint="eastAsia" w:cs="Times New Roman"/>
                <w:lang w:val="en-US" w:eastAsia="zh-CN"/>
              </w:rPr>
              <w:t>、</w:t>
            </w:r>
            <w:r>
              <w:rPr>
                <w:rFonts w:hint="default" w:ascii="Times New Roman" w:hAnsi="Times New Roman" w:eastAsia="宋体" w:cs="Times New Roman"/>
                <w:lang w:val="en-US" w:eastAsia="zh-CN"/>
              </w:rPr>
              <w:t>国联安基金</w:t>
            </w:r>
            <w:r>
              <w:rPr>
                <w:rFonts w:hint="eastAsia" w:cs="Times New Roman"/>
                <w:lang w:val="en-US" w:eastAsia="zh-CN"/>
              </w:rPr>
              <w:t>、</w:t>
            </w:r>
            <w:r>
              <w:rPr>
                <w:rFonts w:hint="default" w:ascii="Times New Roman" w:hAnsi="Times New Roman" w:eastAsia="宋体" w:cs="Times New Roman"/>
                <w:lang w:val="en-US" w:eastAsia="zh-CN"/>
              </w:rPr>
              <w:t>华商基金</w:t>
            </w:r>
            <w:r>
              <w:rPr>
                <w:rFonts w:hint="eastAsia" w:cs="Times New Roman"/>
                <w:lang w:val="en-US" w:eastAsia="zh-CN"/>
              </w:rPr>
              <w:t>、</w:t>
            </w:r>
            <w:r>
              <w:rPr>
                <w:rFonts w:hint="default" w:ascii="Times New Roman" w:hAnsi="Times New Roman" w:eastAsia="宋体" w:cs="Times New Roman"/>
                <w:lang w:val="en-US" w:eastAsia="zh-CN"/>
              </w:rPr>
              <w:t>中金资管</w:t>
            </w:r>
            <w:r>
              <w:rPr>
                <w:rFonts w:hint="eastAsia" w:cs="Times New Roman"/>
                <w:lang w:val="en-US" w:eastAsia="zh-CN"/>
              </w:rPr>
              <w:t>、</w:t>
            </w:r>
            <w:r>
              <w:rPr>
                <w:rFonts w:hint="default" w:ascii="Times New Roman" w:hAnsi="Times New Roman" w:eastAsia="宋体" w:cs="Times New Roman"/>
                <w:lang w:val="en-US" w:eastAsia="zh-CN"/>
              </w:rPr>
              <w:t>泰信基金</w:t>
            </w:r>
            <w:r>
              <w:rPr>
                <w:rFonts w:hint="eastAsia" w:cs="Times New Roman"/>
                <w:lang w:val="en-US" w:eastAsia="zh-CN"/>
              </w:rPr>
              <w:t>、</w:t>
            </w:r>
            <w:r>
              <w:rPr>
                <w:rFonts w:hint="default" w:ascii="Times New Roman" w:hAnsi="Times New Roman" w:eastAsia="宋体" w:cs="Times New Roman"/>
                <w:lang w:val="en-US" w:eastAsia="zh-CN"/>
              </w:rPr>
              <w:t>浦银安盛基金</w:t>
            </w:r>
            <w:r>
              <w:rPr>
                <w:rFonts w:hint="eastAsia" w:cs="Times New Roman"/>
                <w:lang w:val="en-US" w:eastAsia="zh-CN"/>
              </w:rPr>
              <w:t>、</w:t>
            </w:r>
            <w:r>
              <w:rPr>
                <w:rFonts w:hint="default" w:ascii="Times New Roman" w:hAnsi="Times New Roman" w:eastAsia="宋体" w:cs="Times New Roman"/>
                <w:lang w:val="en-US" w:eastAsia="zh-CN"/>
              </w:rPr>
              <w:t>申万菱信基金</w:t>
            </w:r>
            <w:r>
              <w:rPr>
                <w:rFonts w:hint="eastAsia" w:cs="Times New Roman"/>
                <w:lang w:val="en-US" w:eastAsia="zh-CN"/>
              </w:rPr>
              <w:t>、</w:t>
            </w:r>
            <w:r>
              <w:rPr>
                <w:rFonts w:hint="default" w:ascii="Times New Roman" w:hAnsi="Times New Roman" w:eastAsia="宋体" w:cs="Times New Roman"/>
                <w:lang w:val="en-US" w:eastAsia="zh-CN"/>
              </w:rPr>
              <w:t>中信证券</w:t>
            </w:r>
            <w:r>
              <w:rPr>
                <w:rFonts w:hint="eastAsia" w:cs="Times New Roman"/>
                <w:lang w:val="en-US" w:eastAsia="zh-CN"/>
              </w:rPr>
              <w:t>、</w:t>
            </w:r>
            <w:r>
              <w:rPr>
                <w:rFonts w:hint="default" w:ascii="Times New Roman" w:hAnsi="Times New Roman" w:eastAsia="宋体" w:cs="Times New Roman"/>
                <w:lang w:val="en-US" w:eastAsia="zh-CN"/>
              </w:rPr>
              <w:t>富国基金</w:t>
            </w:r>
            <w:r>
              <w:rPr>
                <w:rFonts w:hint="eastAsia" w:cs="Times New Roman"/>
                <w:lang w:val="en-US" w:eastAsia="zh-CN"/>
              </w:rPr>
              <w:t>、</w:t>
            </w:r>
            <w:r>
              <w:rPr>
                <w:rFonts w:hint="default" w:ascii="Times New Roman" w:hAnsi="Times New Roman" w:eastAsia="宋体" w:cs="Times New Roman"/>
                <w:lang w:val="en-US" w:eastAsia="zh-CN"/>
              </w:rPr>
              <w:t>中泰证券</w:t>
            </w:r>
            <w:r>
              <w:rPr>
                <w:rFonts w:hint="eastAsia" w:cs="Times New Roman"/>
                <w:lang w:val="en-US" w:eastAsia="zh-CN"/>
              </w:rPr>
              <w:t>、</w:t>
            </w:r>
            <w:r>
              <w:rPr>
                <w:rFonts w:hint="default" w:ascii="Times New Roman" w:hAnsi="Times New Roman" w:eastAsia="宋体" w:cs="Times New Roman"/>
                <w:lang w:val="en-US" w:eastAsia="zh-CN"/>
              </w:rPr>
              <w:t>华商基金</w:t>
            </w:r>
            <w:r>
              <w:rPr>
                <w:rFonts w:hint="eastAsia" w:cs="Times New Roman"/>
                <w:lang w:val="en-US" w:eastAsia="zh-CN"/>
              </w:rPr>
              <w:t>、</w:t>
            </w:r>
            <w:r>
              <w:rPr>
                <w:rFonts w:hint="default" w:ascii="Times New Roman" w:hAnsi="Times New Roman" w:eastAsia="宋体" w:cs="Times New Roman"/>
                <w:lang w:val="en-US" w:eastAsia="zh-CN"/>
              </w:rPr>
              <w:t>开源证券</w:t>
            </w:r>
            <w:r>
              <w:rPr>
                <w:rFonts w:hint="eastAsia" w:cs="Times New Roman"/>
                <w:lang w:val="en-US" w:eastAsia="zh-CN"/>
              </w:rPr>
              <w:t>、</w:t>
            </w:r>
            <w:r>
              <w:rPr>
                <w:rFonts w:hint="default" w:ascii="Times New Roman" w:hAnsi="Times New Roman" w:eastAsia="宋体" w:cs="Times New Roman"/>
                <w:lang w:val="en-US" w:eastAsia="zh-CN"/>
              </w:rPr>
              <w:t>国海证券</w:t>
            </w:r>
            <w:r>
              <w:rPr>
                <w:rFonts w:hint="eastAsia" w:cs="Times New Roman"/>
                <w:lang w:val="en-US" w:eastAsia="zh-CN"/>
              </w:rPr>
              <w:t>、</w:t>
            </w:r>
            <w:r>
              <w:rPr>
                <w:rFonts w:hint="default" w:ascii="Times New Roman" w:hAnsi="Times New Roman" w:eastAsia="宋体" w:cs="Times New Roman"/>
                <w:lang w:val="en-US" w:eastAsia="zh-CN"/>
              </w:rPr>
              <w:t>东吴基金</w:t>
            </w:r>
            <w:r>
              <w:rPr>
                <w:rFonts w:hint="eastAsia" w:cs="Times New Roman"/>
                <w:lang w:val="en-US" w:eastAsia="zh-CN"/>
              </w:rPr>
              <w:t>、</w:t>
            </w:r>
            <w:r>
              <w:rPr>
                <w:rFonts w:hint="default" w:ascii="Times New Roman" w:hAnsi="Times New Roman" w:eastAsia="宋体" w:cs="Times New Roman"/>
                <w:lang w:val="en-US" w:eastAsia="zh-CN"/>
              </w:rPr>
              <w:t>汇添富基金</w:t>
            </w:r>
            <w:r>
              <w:rPr>
                <w:rFonts w:hint="eastAsia" w:cs="Times New Roman"/>
                <w:lang w:val="en-US" w:eastAsia="zh-CN"/>
              </w:rPr>
              <w:t>、</w:t>
            </w:r>
            <w:r>
              <w:rPr>
                <w:rFonts w:hint="default" w:ascii="Times New Roman" w:hAnsi="Times New Roman" w:eastAsia="宋体" w:cs="Times New Roman"/>
                <w:lang w:val="en-US" w:eastAsia="zh-CN"/>
              </w:rPr>
              <w:t>睿远基金</w:t>
            </w:r>
            <w:r>
              <w:rPr>
                <w:rFonts w:hint="eastAsia" w:cs="Times New Roman"/>
                <w:lang w:val="en-US" w:eastAsia="zh-CN"/>
              </w:rPr>
              <w:t>、</w:t>
            </w:r>
            <w:r>
              <w:rPr>
                <w:rFonts w:hint="default" w:ascii="Times New Roman" w:hAnsi="Times New Roman" w:eastAsia="宋体" w:cs="Times New Roman"/>
                <w:lang w:val="en-US" w:eastAsia="zh-CN"/>
              </w:rPr>
              <w:t>永赢基金</w:t>
            </w:r>
            <w:r>
              <w:rPr>
                <w:rFonts w:hint="eastAsia" w:cs="Times New Roman"/>
                <w:lang w:val="en-US" w:eastAsia="zh-CN"/>
              </w:rPr>
              <w:t>、</w:t>
            </w:r>
            <w:r>
              <w:rPr>
                <w:rFonts w:hint="default" w:ascii="Times New Roman" w:hAnsi="Times New Roman" w:eastAsia="宋体" w:cs="Times New Roman"/>
                <w:lang w:val="en-US" w:eastAsia="zh-CN"/>
              </w:rPr>
              <w:t>华泰保险资管</w:t>
            </w:r>
            <w:r>
              <w:rPr>
                <w:rFonts w:hint="eastAsia" w:cs="Times New Roman"/>
                <w:lang w:val="en-US" w:eastAsia="zh-CN"/>
              </w:rPr>
              <w:t>、</w:t>
            </w:r>
            <w:r>
              <w:rPr>
                <w:rFonts w:hint="default" w:ascii="Times New Roman" w:hAnsi="Times New Roman" w:eastAsia="宋体" w:cs="Times New Roman"/>
                <w:lang w:val="en-US" w:eastAsia="zh-CN"/>
              </w:rPr>
              <w:t>国投瑞银基金</w:t>
            </w:r>
            <w:r>
              <w:rPr>
                <w:rFonts w:hint="eastAsia" w:cs="Times New Roman"/>
                <w:lang w:val="en-US" w:eastAsia="zh-CN"/>
              </w:rPr>
              <w:t>、</w:t>
            </w:r>
            <w:r>
              <w:rPr>
                <w:rFonts w:hint="default" w:ascii="Times New Roman" w:hAnsi="Times New Roman" w:eastAsia="宋体" w:cs="Times New Roman"/>
                <w:highlight w:val="none"/>
                <w:lang w:val="en-US" w:eastAsia="zh-CN"/>
              </w:rPr>
              <w:t>中银基金</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摩根基金</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百年资管</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海富通基金</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招商基金</w:t>
            </w:r>
            <w:r>
              <w:rPr>
                <w:rFonts w:hint="eastAsia" w:cs="Times New Roman"/>
                <w:highlight w:val="none"/>
                <w:lang w:val="en-US" w:eastAsia="zh-CN"/>
              </w:rPr>
              <w:t>、长信基金、国联民生证券、宝盈基金、招商资管、融通基金、摩根大通、方瀛投资</w:t>
            </w:r>
          </w:p>
        </w:tc>
      </w:tr>
      <w:tr w14:paraId="144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5842F4">
            <w:pPr>
              <w:ind w:firstLine="0" w:firstLineChars="0"/>
              <w:jc w:val="center"/>
              <w:rPr>
                <w:rFonts w:ascii="Times New Roman" w:hAnsi="Times New Roman" w:eastAsia="宋体" w:cs="Times New Roman"/>
              </w:rPr>
            </w:pPr>
            <w:r>
              <w:rPr>
                <w:rFonts w:ascii="Times New Roman" w:hAnsi="Times New Roman" w:eastAsia="宋体" w:cs="Times New Roman"/>
              </w:rPr>
              <w:t>时间</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580D60E2">
            <w:pPr>
              <w:ind w:firstLine="480"/>
              <w:jc w:val="left"/>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lang w:val="en-US" w:eastAsia="zh-CN"/>
              </w:rPr>
              <w:t>5</w:t>
            </w:r>
            <w:r>
              <w:rPr>
                <w:rFonts w:ascii="Times New Roman" w:hAnsi="Times New Roman" w:eastAsia="宋体" w:cs="Times New Roman"/>
              </w:rPr>
              <w:t>年</w:t>
            </w:r>
            <w:r>
              <w:rPr>
                <w:rFonts w:hint="eastAsia" w:cs="Times New Roman"/>
                <w:lang w:val="en-US" w:eastAsia="zh-CN"/>
              </w:rPr>
              <w:t>4</w:t>
            </w:r>
            <w:r>
              <w:rPr>
                <w:rFonts w:ascii="Times New Roman" w:hAnsi="Times New Roman" w:eastAsia="宋体" w:cs="Times New Roman"/>
              </w:rPr>
              <w:t>月</w:t>
            </w:r>
            <w:r>
              <w:rPr>
                <w:rFonts w:hint="eastAsia" w:cs="Times New Roman"/>
                <w:lang w:val="en-US" w:eastAsia="zh-CN"/>
              </w:rPr>
              <w:t>21</w:t>
            </w:r>
            <w:r>
              <w:rPr>
                <w:rFonts w:ascii="Times New Roman" w:hAnsi="Times New Roman" w:eastAsia="宋体" w:cs="Times New Roman"/>
              </w:rPr>
              <w:t>日</w:t>
            </w:r>
            <w:r>
              <w:rPr>
                <w:rFonts w:hint="eastAsia" w:ascii="Times New Roman" w:hAnsi="Times New Roman" w:eastAsia="宋体" w:cs="Times New Roman"/>
              </w:rPr>
              <w:t>-</w:t>
            </w:r>
            <w:r>
              <w:rPr>
                <w:rFonts w:hint="eastAsia" w:cs="Times New Roman"/>
                <w:lang w:val="en-US" w:eastAsia="zh-CN"/>
              </w:rPr>
              <w:t>4</w:t>
            </w:r>
            <w:r>
              <w:rPr>
                <w:rFonts w:hint="eastAsia" w:ascii="Times New Roman" w:hAnsi="Times New Roman" w:eastAsia="宋体" w:cs="Times New Roman"/>
              </w:rPr>
              <w:t>月</w:t>
            </w:r>
            <w:r>
              <w:rPr>
                <w:rFonts w:hint="eastAsia" w:cs="Times New Roman"/>
                <w:lang w:val="en-US" w:eastAsia="zh-CN"/>
              </w:rPr>
              <w:t>25</w:t>
            </w:r>
            <w:r>
              <w:rPr>
                <w:rFonts w:hint="eastAsia" w:ascii="Times New Roman" w:hAnsi="Times New Roman" w:eastAsia="宋体" w:cs="Times New Roman"/>
              </w:rPr>
              <w:t>日</w:t>
            </w:r>
          </w:p>
        </w:tc>
      </w:tr>
      <w:tr w14:paraId="7D6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D1865B3">
            <w:pPr>
              <w:ind w:firstLine="0" w:firstLineChars="0"/>
              <w:jc w:val="center"/>
              <w:rPr>
                <w:rFonts w:ascii="Times New Roman" w:hAnsi="Times New Roman" w:eastAsia="宋体" w:cs="Times New Roman"/>
              </w:rPr>
            </w:pPr>
            <w:r>
              <w:rPr>
                <w:rFonts w:ascii="Times New Roman" w:hAnsi="Times New Roman" w:eastAsia="宋体" w:cs="Times New Roman"/>
              </w:rPr>
              <w:t>地点</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7C024044">
            <w:pPr>
              <w:ind w:firstLine="480"/>
              <w:jc w:val="left"/>
              <w:rPr>
                <w:rFonts w:hint="default" w:ascii="Times New Roman" w:hAnsi="Times New Roman" w:eastAsia="宋体" w:cs="Times New Roman"/>
                <w:lang w:val="en-US" w:eastAsia="zh-CN"/>
              </w:rPr>
            </w:pPr>
            <w:r>
              <w:rPr>
                <w:rFonts w:ascii="Times New Roman" w:hAnsi="Times New Roman" w:eastAsia="宋体" w:cs="Times New Roman"/>
              </w:rPr>
              <w:t>线下</w:t>
            </w:r>
            <w:r>
              <w:rPr>
                <w:rFonts w:hint="eastAsia" w:ascii="Times New Roman" w:hAnsi="Times New Roman" w:eastAsia="宋体" w:cs="Times New Roman"/>
              </w:rPr>
              <w:t>交流</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线上交流</w:t>
            </w:r>
          </w:p>
        </w:tc>
      </w:tr>
      <w:tr w14:paraId="00E4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AF9C371">
            <w:pPr>
              <w:ind w:firstLine="0" w:firstLineChars="0"/>
              <w:jc w:val="center"/>
              <w:rPr>
                <w:rFonts w:ascii="Times New Roman" w:hAnsi="Times New Roman" w:eastAsia="宋体" w:cs="Times New Roman"/>
              </w:rPr>
            </w:pPr>
            <w:r>
              <w:rPr>
                <w:rFonts w:ascii="Times New Roman" w:hAnsi="Times New Roman" w:eastAsia="宋体" w:cs="Times New Roman"/>
              </w:rPr>
              <w:t>上市公司接待人员姓名</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4ACBA0CA">
            <w:pPr>
              <w:ind w:firstLine="480"/>
              <w:jc w:val="left"/>
              <w:rPr>
                <w:rFonts w:ascii="Times New Roman" w:hAnsi="Times New Roman" w:eastAsia="宋体" w:cs="Times New Roman"/>
              </w:rPr>
            </w:pPr>
            <w:r>
              <w:rPr>
                <w:rFonts w:hint="eastAsia" w:ascii="Times New Roman" w:hAnsi="Times New Roman" w:eastAsia="宋体" w:cs="Times New Roman"/>
              </w:rPr>
              <w:t>康俊、黄敏珺、李烨陶</w:t>
            </w:r>
          </w:p>
        </w:tc>
      </w:tr>
      <w:tr w14:paraId="2311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F296194">
            <w:pPr>
              <w:ind w:firstLine="0" w:firstLineChars="0"/>
              <w:jc w:val="center"/>
              <w:rPr>
                <w:rFonts w:ascii="Times New Roman" w:hAnsi="Times New Roman" w:eastAsia="宋体" w:cs="Times New Roman"/>
              </w:rPr>
            </w:pPr>
            <w:r>
              <w:rPr>
                <w:rFonts w:ascii="Times New Roman" w:hAnsi="Times New Roman" w:eastAsia="宋体" w:cs="Times New Roman"/>
              </w:rPr>
              <w:t>投资者关系活动主要内容介绍</w:t>
            </w:r>
          </w:p>
          <w:p w14:paraId="01913D7E">
            <w:pPr>
              <w:ind w:firstLine="480"/>
              <w:rPr>
                <w:rFonts w:ascii="Times New Roman" w:hAnsi="Times New Roman" w:eastAsia="宋体" w:cs="Times New Roman"/>
              </w:rPr>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3BF0B7BB">
            <w:pPr>
              <w:ind w:firstLine="482"/>
              <w:rPr>
                <w:rFonts w:ascii="Times New Roman" w:hAnsi="Times New Roman" w:eastAsia="宋体" w:cs="Times New Roman"/>
                <w:b/>
                <w:bCs/>
              </w:rPr>
            </w:pPr>
            <w:r>
              <w:rPr>
                <w:rFonts w:ascii="Times New Roman" w:hAnsi="Times New Roman" w:eastAsia="宋体" w:cs="Times New Roman"/>
                <w:b/>
                <w:bCs/>
              </w:rPr>
              <w:t>围绕公司近期的发展情况，公司管理层与投资者进行了充分交流，主要涉及以下方面：</w:t>
            </w:r>
          </w:p>
          <w:p w14:paraId="113DBFEB">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请简单介绍一下公司2024年的业绩情况</w:t>
            </w:r>
          </w:p>
          <w:p w14:paraId="08F855F2">
            <w:pPr>
              <w:ind w:firstLine="480"/>
            </w:pPr>
            <w:r>
              <w:rPr>
                <w:rFonts w:hint="eastAsia"/>
              </w:rPr>
              <w:t>答：2024</w:t>
            </w:r>
            <w:r>
              <w:rPr>
                <w:rFonts w:hint="eastAsia"/>
                <w:lang w:val="en-US" w:eastAsia="zh-CN"/>
              </w:rPr>
              <w:t>年</w:t>
            </w:r>
            <w:r>
              <w:rPr>
                <w:rFonts w:hint="eastAsia"/>
              </w:rPr>
              <w:t>，公司坚持“智慧安防+智能手机+汽车电子”三足鼎立发展方向的同时，在各个市场尤其是智能手机和汽车电子领域持续深耕，加强产品研发和市场推广，促进产品销售，共实现营业收入59.68亿元，较上年同期增长108.87%；实现归属于母公司所有者的净利润3.93亿元，较上年同期增长2,662.76%，盈利能力得到有效改善，净利润率显著提升。</w:t>
            </w:r>
          </w:p>
          <w:p w14:paraId="3A05D88A">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2、公司2025年第一季度的业绩情况如何？</w:t>
            </w:r>
          </w:p>
          <w:p w14:paraId="0D5105BF">
            <w:pPr>
              <w:ind w:firstLine="480"/>
            </w:pPr>
            <w:r>
              <w:rPr>
                <w:rFonts w:hint="eastAsia"/>
              </w:rPr>
              <w:t>答：2025年第一季度，公司实现营收17.50亿元，较上年同期增长108.94%，实现归属于母公司所有者的净利润1.91亿元，较</w:t>
            </w:r>
            <w:r>
              <w:rPr>
                <w:rFonts w:hint="eastAsia" w:ascii="Calibri"/>
              </w:rPr>
              <w:t>上年</w:t>
            </w:r>
            <w:r>
              <w:rPr>
                <w:rFonts w:hint="eastAsia"/>
              </w:rPr>
              <w:t>同期增长1,264.97%。</w:t>
            </w:r>
          </w:p>
          <w:p w14:paraId="78561B2B">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公司营收实现快速增长的原因是什么？</w:t>
            </w:r>
          </w:p>
          <w:p w14:paraId="1A5D35F6">
            <w:pPr>
              <w:ind w:firstLine="480"/>
            </w:pPr>
            <w:r>
              <w:rPr>
                <w:rFonts w:hint="eastAsia"/>
              </w:rPr>
              <w:t>答：公司坚持“智慧安防+智能手机+汽车电子”三足鼎立发展方向的同时，在各个市场尤其是智能手机和汽车电子领域持续深耕，加强产品研发和市场推广，促进产品销售。在智能手机领域，公司与多家客户的合作全面加深、产品满足更多的应用需求，应用于高阶旗舰手机主摄、广角、长焦和前摄镜头的数颗高阶5000万像素产品、应用于普通智能手机主摄的5000万像素高性价比产品出货量均同比大幅上升，带动公司智能手机领域营业收入显著增长；在智慧安防领域，公司新推出的迭代产品具备更优异的性能和竞争力，产品销量有较大的上升，销售收入增加较为显著；在汽车电子领域，公司应用于智能驾驶（包括环视、周视和前视）和舱内等多款产品出货量亦同比大幅上升。</w:t>
            </w:r>
          </w:p>
          <w:p w14:paraId="6F0BB5A5">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bookmarkStart w:id="0" w:name="_GoBack"/>
            <w:bookmarkEnd w:id="0"/>
            <w:r>
              <w:rPr>
                <w:rFonts w:hint="eastAsia" w:ascii="Times New Roman" w:hAnsi="Times New Roman" w:eastAsia="宋体" w:cs="Times New Roman"/>
                <w:sz w:val="24"/>
                <w:szCs w:val="24"/>
              </w:rPr>
              <w:t>、请简单介绍2024年智能手机业务的发展情况</w:t>
            </w:r>
          </w:p>
          <w:p w14:paraId="2F447C45">
            <w:pPr>
              <w:ind w:firstLine="480"/>
            </w:pPr>
            <w:r>
              <w:rPr>
                <w:rFonts w:hint="eastAsia"/>
              </w:rPr>
              <w:t>答：2024年，公司智能手机收入329,115.57万元，占主营收入的比例为55.15%。在智能手机领域，公司与多家客户的合作全面加深、产品满足更多的应用需求，应用于高阶旗舰手机主摄、广角、长焦和前摄镜头的数颗高阶5000万像素产品、应用于普通智能手机主摄的5000万像素高性价比产品出货量均同比大幅上升，带动公司智能手机领域营业收入显著增长。公司应用于高阶旗舰手机的产品在智能手机业务中营收占比已超过50%，驱动公司智能手机业务营收同比增长269.05%。</w:t>
            </w:r>
            <w:r>
              <w:t xml:space="preserve"> </w:t>
            </w:r>
          </w:p>
          <w:p w14:paraId="7FD82630">
            <w:pPr>
              <w:pStyle w:val="2"/>
              <w:spacing w:before="0" w:after="0" w:line="360" w:lineRule="auto"/>
              <w:ind w:left="480" w:leftChars="200" w:firstLine="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5、请简单介绍2024年智慧安防业务的发展情况</w:t>
            </w:r>
          </w:p>
          <w:p w14:paraId="76730322">
            <w:pPr>
              <w:ind w:firstLine="480"/>
            </w:pPr>
            <w:r>
              <w:rPr>
                <w:rFonts w:hint="eastAsia"/>
              </w:rPr>
              <w:t>答：2024年，公司智慧安防行业收入215,005.84万元，占主营收入的比例为36.03%。公司以完善的产品矩阵、卓越的研发实力以及快速的响应能力，继续保持全球市场领先地位。公司新推出的迭代产品和新产品均具备更优异的性能和竞争力，推动营收同比增长28.64%。</w:t>
            </w:r>
          </w:p>
          <w:p w14:paraId="71602A52">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、请简单介绍2024年汽车电子业务的发展情况</w:t>
            </w:r>
          </w:p>
          <w:p w14:paraId="21476F6A">
            <w:pPr>
              <w:ind w:firstLine="480"/>
              <w:rPr>
                <w:rFonts w:hint="eastAsia"/>
              </w:rPr>
            </w:pPr>
            <w:r>
              <w:rPr>
                <w:rFonts w:hint="eastAsia"/>
              </w:rPr>
              <w:t>答：2024年，公司汽车电子收入52,693.39万元，占主营收入的比例为8.83%。公司与多家主流车厂继续深化合作，行业解决方案能力、影响力显著提升，覆盖车型项目数量持续增加，应用于智能驾驶（包括环视、周视和前视）和舱内等多款产品出货量亦同比大幅上升。报告期内，公司汽车电子业务营收同比增长79.09%，未来也将持续助力汽车智能化趋势和车企智驾平权方案并从增量市场中获益。</w:t>
            </w:r>
          </w:p>
        </w:tc>
      </w:tr>
      <w:tr w14:paraId="5E6B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080EB60">
            <w:pPr>
              <w:ind w:firstLine="0" w:firstLineChars="0"/>
              <w:jc w:val="center"/>
              <w:rPr>
                <w:rFonts w:ascii="Times New Roman" w:hAnsi="Times New Roman" w:eastAsia="宋体" w:cs="Times New Roman"/>
              </w:rPr>
            </w:pPr>
            <w:r>
              <w:rPr>
                <w:rFonts w:ascii="Times New Roman" w:hAnsi="Times New Roman" w:eastAsia="宋体" w:cs="Times New Roman"/>
              </w:rPr>
              <w:t>附件清单（如有）</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6CD264A4">
            <w:pPr>
              <w:ind w:firstLine="480"/>
              <w:jc w:val="left"/>
              <w:rPr>
                <w:rFonts w:ascii="Times New Roman" w:hAnsi="Times New Roman" w:eastAsia="宋体" w:cs="Times New Roman"/>
              </w:rPr>
            </w:pPr>
            <w:r>
              <w:rPr>
                <w:rFonts w:ascii="Times New Roman" w:hAnsi="Times New Roman" w:eastAsia="宋体" w:cs="Times New Roman"/>
              </w:rPr>
              <w:t>无</w:t>
            </w:r>
          </w:p>
        </w:tc>
      </w:tr>
    </w:tbl>
    <w:p w14:paraId="6885F088">
      <w:pPr>
        <w:spacing w:line="240" w:lineRule="auto"/>
        <w:ind w:firstLine="0" w:firstLineChars="0"/>
        <w:rPr>
          <w:rFonts w:ascii="Times New Roman" w:hAnsi="Times New Roman" w:eastAsia="宋体"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16DE">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3E6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E37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9930">
    <w:pPr>
      <w:pStyle w:val="9"/>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1788">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C265">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630B"/>
    <w:rsid w:val="000808EF"/>
    <w:rsid w:val="00136EE7"/>
    <w:rsid w:val="00172A27"/>
    <w:rsid w:val="00195281"/>
    <w:rsid w:val="001A350C"/>
    <w:rsid w:val="001F66A1"/>
    <w:rsid w:val="00206C41"/>
    <w:rsid w:val="00207F6B"/>
    <w:rsid w:val="00257E96"/>
    <w:rsid w:val="002A110A"/>
    <w:rsid w:val="002A4B18"/>
    <w:rsid w:val="002E5395"/>
    <w:rsid w:val="002F3CA7"/>
    <w:rsid w:val="0034587E"/>
    <w:rsid w:val="003465EA"/>
    <w:rsid w:val="00352D64"/>
    <w:rsid w:val="003712EE"/>
    <w:rsid w:val="00377EDB"/>
    <w:rsid w:val="0041037E"/>
    <w:rsid w:val="00416868"/>
    <w:rsid w:val="004439BD"/>
    <w:rsid w:val="00462C94"/>
    <w:rsid w:val="00464595"/>
    <w:rsid w:val="0047378A"/>
    <w:rsid w:val="00486BF8"/>
    <w:rsid w:val="004F14F5"/>
    <w:rsid w:val="005016F4"/>
    <w:rsid w:val="00546E0A"/>
    <w:rsid w:val="005E50C3"/>
    <w:rsid w:val="005F02F7"/>
    <w:rsid w:val="00642A2F"/>
    <w:rsid w:val="00653938"/>
    <w:rsid w:val="006A62CD"/>
    <w:rsid w:val="006A7259"/>
    <w:rsid w:val="0074092B"/>
    <w:rsid w:val="007722EA"/>
    <w:rsid w:val="007900F5"/>
    <w:rsid w:val="00791969"/>
    <w:rsid w:val="007B64C4"/>
    <w:rsid w:val="007D30D4"/>
    <w:rsid w:val="007E4187"/>
    <w:rsid w:val="00854016"/>
    <w:rsid w:val="008B69F5"/>
    <w:rsid w:val="008D37A1"/>
    <w:rsid w:val="008F52B8"/>
    <w:rsid w:val="008F671E"/>
    <w:rsid w:val="0091766B"/>
    <w:rsid w:val="00953C04"/>
    <w:rsid w:val="00957F7B"/>
    <w:rsid w:val="0097551F"/>
    <w:rsid w:val="009D2555"/>
    <w:rsid w:val="009E3AD8"/>
    <w:rsid w:val="009F5205"/>
    <w:rsid w:val="00A0003E"/>
    <w:rsid w:val="00A009AB"/>
    <w:rsid w:val="00A33951"/>
    <w:rsid w:val="00A44BDC"/>
    <w:rsid w:val="00A637D1"/>
    <w:rsid w:val="00AA5828"/>
    <w:rsid w:val="00AF3A1D"/>
    <w:rsid w:val="00B27D44"/>
    <w:rsid w:val="00B30CCD"/>
    <w:rsid w:val="00B633BF"/>
    <w:rsid w:val="00B76EEB"/>
    <w:rsid w:val="00BD766B"/>
    <w:rsid w:val="00C33E5F"/>
    <w:rsid w:val="00C33E79"/>
    <w:rsid w:val="00C50113"/>
    <w:rsid w:val="00CE085B"/>
    <w:rsid w:val="00CF5B7F"/>
    <w:rsid w:val="00D730C4"/>
    <w:rsid w:val="00D74140"/>
    <w:rsid w:val="00DE5BC2"/>
    <w:rsid w:val="00DF069E"/>
    <w:rsid w:val="00DF65C2"/>
    <w:rsid w:val="00E6548E"/>
    <w:rsid w:val="00E853F2"/>
    <w:rsid w:val="00E936B6"/>
    <w:rsid w:val="00EA4436"/>
    <w:rsid w:val="00EB73BF"/>
    <w:rsid w:val="00F566CC"/>
    <w:rsid w:val="00F56A5E"/>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2F4402E"/>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867E2"/>
    <w:rsid w:val="072E2ADC"/>
    <w:rsid w:val="07317CAF"/>
    <w:rsid w:val="0756767D"/>
    <w:rsid w:val="0794702E"/>
    <w:rsid w:val="07BB67DE"/>
    <w:rsid w:val="080E48B8"/>
    <w:rsid w:val="081231D7"/>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456833"/>
    <w:rsid w:val="0A6A38DF"/>
    <w:rsid w:val="0A784893"/>
    <w:rsid w:val="0AA478EC"/>
    <w:rsid w:val="0AA54D4A"/>
    <w:rsid w:val="0AA63B68"/>
    <w:rsid w:val="0AE8271A"/>
    <w:rsid w:val="0B2F6E81"/>
    <w:rsid w:val="0B336B81"/>
    <w:rsid w:val="0B3F5786"/>
    <w:rsid w:val="0B574A70"/>
    <w:rsid w:val="0B754EBD"/>
    <w:rsid w:val="0BA7170A"/>
    <w:rsid w:val="0BB23954"/>
    <w:rsid w:val="0BF91A69"/>
    <w:rsid w:val="0C3E5D0A"/>
    <w:rsid w:val="0C3F255B"/>
    <w:rsid w:val="0C4777CB"/>
    <w:rsid w:val="0CAC4948"/>
    <w:rsid w:val="0CB2393F"/>
    <w:rsid w:val="0CB73BC8"/>
    <w:rsid w:val="0CFC65C2"/>
    <w:rsid w:val="0D331D41"/>
    <w:rsid w:val="0D3C1E4A"/>
    <w:rsid w:val="0D4977A2"/>
    <w:rsid w:val="0D586092"/>
    <w:rsid w:val="0D8E04F1"/>
    <w:rsid w:val="0DAE1F38"/>
    <w:rsid w:val="0DB577F2"/>
    <w:rsid w:val="0DC61A39"/>
    <w:rsid w:val="0DED25F6"/>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626A0"/>
    <w:rsid w:val="143D06DE"/>
    <w:rsid w:val="143E66F8"/>
    <w:rsid w:val="14706BA3"/>
    <w:rsid w:val="1527455E"/>
    <w:rsid w:val="152C2AC9"/>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352151"/>
    <w:rsid w:val="1753255E"/>
    <w:rsid w:val="176E3905"/>
    <w:rsid w:val="17900C69"/>
    <w:rsid w:val="1797464F"/>
    <w:rsid w:val="17E165B7"/>
    <w:rsid w:val="180429C4"/>
    <w:rsid w:val="18266D3F"/>
    <w:rsid w:val="1833416F"/>
    <w:rsid w:val="18493212"/>
    <w:rsid w:val="184E6707"/>
    <w:rsid w:val="188655E3"/>
    <w:rsid w:val="18D8177E"/>
    <w:rsid w:val="18E72C92"/>
    <w:rsid w:val="19165065"/>
    <w:rsid w:val="19481100"/>
    <w:rsid w:val="19A60BA5"/>
    <w:rsid w:val="19B5395B"/>
    <w:rsid w:val="19C06599"/>
    <w:rsid w:val="19EE73F5"/>
    <w:rsid w:val="1A6E681F"/>
    <w:rsid w:val="1AA37116"/>
    <w:rsid w:val="1AB119E7"/>
    <w:rsid w:val="1B0E67CD"/>
    <w:rsid w:val="1B6A4A2E"/>
    <w:rsid w:val="1B896827"/>
    <w:rsid w:val="1BAB478B"/>
    <w:rsid w:val="1BB24CF2"/>
    <w:rsid w:val="1BF34408"/>
    <w:rsid w:val="1C4D6134"/>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93432D"/>
    <w:rsid w:val="1EA36E2C"/>
    <w:rsid w:val="1F2E644A"/>
    <w:rsid w:val="1F5A3B6E"/>
    <w:rsid w:val="1F8B3B8B"/>
    <w:rsid w:val="1FA136BE"/>
    <w:rsid w:val="1FB56853"/>
    <w:rsid w:val="1FBD2E0F"/>
    <w:rsid w:val="1FD030D3"/>
    <w:rsid w:val="1FD433BB"/>
    <w:rsid w:val="1FE4501E"/>
    <w:rsid w:val="20C5141C"/>
    <w:rsid w:val="20DD502F"/>
    <w:rsid w:val="20FB77F4"/>
    <w:rsid w:val="210B273E"/>
    <w:rsid w:val="215F73EA"/>
    <w:rsid w:val="21B46C7A"/>
    <w:rsid w:val="21D553E7"/>
    <w:rsid w:val="21E37E67"/>
    <w:rsid w:val="21F43ABB"/>
    <w:rsid w:val="22184D77"/>
    <w:rsid w:val="229976A0"/>
    <w:rsid w:val="22A3585D"/>
    <w:rsid w:val="231F144B"/>
    <w:rsid w:val="23237091"/>
    <w:rsid w:val="2350612F"/>
    <w:rsid w:val="237F25CE"/>
    <w:rsid w:val="238528F8"/>
    <w:rsid w:val="243D7F13"/>
    <w:rsid w:val="245A71CF"/>
    <w:rsid w:val="24691587"/>
    <w:rsid w:val="247A4D13"/>
    <w:rsid w:val="24893FAB"/>
    <w:rsid w:val="24952A74"/>
    <w:rsid w:val="249B154A"/>
    <w:rsid w:val="24BB4B12"/>
    <w:rsid w:val="24D20BF3"/>
    <w:rsid w:val="24D27FF5"/>
    <w:rsid w:val="25216C5B"/>
    <w:rsid w:val="25971C42"/>
    <w:rsid w:val="25AE2D68"/>
    <w:rsid w:val="25C26F45"/>
    <w:rsid w:val="260B27E7"/>
    <w:rsid w:val="261F3B09"/>
    <w:rsid w:val="26733D00"/>
    <w:rsid w:val="26C83CEF"/>
    <w:rsid w:val="26FC458B"/>
    <w:rsid w:val="26FC7CDF"/>
    <w:rsid w:val="27201DB5"/>
    <w:rsid w:val="27521DE6"/>
    <w:rsid w:val="277F3214"/>
    <w:rsid w:val="279544FE"/>
    <w:rsid w:val="27B25A4E"/>
    <w:rsid w:val="27B931BF"/>
    <w:rsid w:val="27BC6F8B"/>
    <w:rsid w:val="27C732C3"/>
    <w:rsid w:val="27EA0D51"/>
    <w:rsid w:val="27EA4CD2"/>
    <w:rsid w:val="281737E8"/>
    <w:rsid w:val="284C2082"/>
    <w:rsid w:val="284C7467"/>
    <w:rsid w:val="286D7A74"/>
    <w:rsid w:val="28754585"/>
    <w:rsid w:val="28CA1B43"/>
    <w:rsid w:val="28D81C9F"/>
    <w:rsid w:val="28DE3326"/>
    <w:rsid w:val="291B0D03"/>
    <w:rsid w:val="29287CE8"/>
    <w:rsid w:val="29607747"/>
    <w:rsid w:val="29A266C5"/>
    <w:rsid w:val="29B939E7"/>
    <w:rsid w:val="29D502FB"/>
    <w:rsid w:val="2A096496"/>
    <w:rsid w:val="2A8D1131"/>
    <w:rsid w:val="2A9F1E29"/>
    <w:rsid w:val="2AB83EBA"/>
    <w:rsid w:val="2AF6047A"/>
    <w:rsid w:val="2B436740"/>
    <w:rsid w:val="2B4F6601"/>
    <w:rsid w:val="2B5D3F67"/>
    <w:rsid w:val="2B6B0458"/>
    <w:rsid w:val="2BAC62BA"/>
    <w:rsid w:val="2BB21D6B"/>
    <w:rsid w:val="2BC419C2"/>
    <w:rsid w:val="2BF47D7B"/>
    <w:rsid w:val="2BF732F3"/>
    <w:rsid w:val="2C3167C0"/>
    <w:rsid w:val="2C7C5209"/>
    <w:rsid w:val="2C9B5E00"/>
    <w:rsid w:val="2CE12625"/>
    <w:rsid w:val="2D362A2D"/>
    <w:rsid w:val="2D6745FE"/>
    <w:rsid w:val="2D941716"/>
    <w:rsid w:val="2DBD14A3"/>
    <w:rsid w:val="2DCC7F41"/>
    <w:rsid w:val="2DE84511"/>
    <w:rsid w:val="2E077CEB"/>
    <w:rsid w:val="2E354F40"/>
    <w:rsid w:val="2E5844D8"/>
    <w:rsid w:val="2E8D2504"/>
    <w:rsid w:val="2EB55486"/>
    <w:rsid w:val="2EB72749"/>
    <w:rsid w:val="2EC2095F"/>
    <w:rsid w:val="2F3C3A3F"/>
    <w:rsid w:val="2F7767B0"/>
    <w:rsid w:val="2FB51FE9"/>
    <w:rsid w:val="2FC13AAC"/>
    <w:rsid w:val="2FDE6C75"/>
    <w:rsid w:val="2FF93EEC"/>
    <w:rsid w:val="2FFF68C3"/>
    <w:rsid w:val="30085F1C"/>
    <w:rsid w:val="300928A1"/>
    <w:rsid w:val="301A0EFB"/>
    <w:rsid w:val="303314BA"/>
    <w:rsid w:val="304E19C1"/>
    <w:rsid w:val="30783642"/>
    <w:rsid w:val="30841275"/>
    <w:rsid w:val="30AF49FD"/>
    <w:rsid w:val="3199238B"/>
    <w:rsid w:val="31C928BC"/>
    <w:rsid w:val="328274A7"/>
    <w:rsid w:val="329C72F8"/>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7041D5"/>
    <w:rsid w:val="34977F25"/>
    <w:rsid w:val="351E63DD"/>
    <w:rsid w:val="359262DF"/>
    <w:rsid w:val="35A67C61"/>
    <w:rsid w:val="361E2E7C"/>
    <w:rsid w:val="365D24F5"/>
    <w:rsid w:val="36B91204"/>
    <w:rsid w:val="36DB66FA"/>
    <w:rsid w:val="36EE7787"/>
    <w:rsid w:val="36F72464"/>
    <w:rsid w:val="37025AC8"/>
    <w:rsid w:val="37A77D2B"/>
    <w:rsid w:val="37C511DD"/>
    <w:rsid w:val="37E95E38"/>
    <w:rsid w:val="381C0842"/>
    <w:rsid w:val="383D7513"/>
    <w:rsid w:val="38451629"/>
    <w:rsid w:val="3889027D"/>
    <w:rsid w:val="389318CB"/>
    <w:rsid w:val="38C46C41"/>
    <w:rsid w:val="38DD5D05"/>
    <w:rsid w:val="38F3765B"/>
    <w:rsid w:val="38FA38FD"/>
    <w:rsid w:val="39540B2A"/>
    <w:rsid w:val="39562851"/>
    <w:rsid w:val="39965751"/>
    <w:rsid w:val="39C944DB"/>
    <w:rsid w:val="39D81656"/>
    <w:rsid w:val="3A0D1B30"/>
    <w:rsid w:val="3A2B64BA"/>
    <w:rsid w:val="3A426A4C"/>
    <w:rsid w:val="3A6E266D"/>
    <w:rsid w:val="3A7E1793"/>
    <w:rsid w:val="3AF771DF"/>
    <w:rsid w:val="3B0A3891"/>
    <w:rsid w:val="3B18052B"/>
    <w:rsid w:val="3B3B0E06"/>
    <w:rsid w:val="3BB02D7C"/>
    <w:rsid w:val="3C112F8A"/>
    <w:rsid w:val="3C2A743B"/>
    <w:rsid w:val="3C3B5B95"/>
    <w:rsid w:val="3CA05E05"/>
    <w:rsid w:val="3CB674C6"/>
    <w:rsid w:val="3CF10852"/>
    <w:rsid w:val="3CF36FB5"/>
    <w:rsid w:val="3D23275A"/>
    <w:rsid w:val="3D2E17CA"/>
    <w:rsid w:val="3D7D7E5B"/>
    <w:rsid w:val="3DC845EF"/>
    <w:rsid w:val="3DD47EFF"/>
    <w:rsid w:val="3DF655D4"/>
    <w:rsid w:val="3E465893"/>
    <w:rsid w:val="3EB65F9B"/>
    <w:rsid w:val="3EBD5B05"/>
    <w:rsid w:val="3EC22781"/>
    <w:rsid w:val="3EC263EA"/>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0C7C85"/>
    <w:rsid w:val="41230F76"/>
    <w:rsid w:val="41531602"/>
    <w:rsid w:val="417A3802"/>
    <w:rsid w:val="4251418C"/>
    <w:rsid w:val="42587410"/>
    <w:rsid w:val="428D0B18"/>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507883"/>
    <w:rsid w:val="459715A6"/>
    <w:rsid w:val="45A02594"/>
    <w:rsid w:val="45CF5DC3"/>
    <w:rsid w:val="45D10C67"/>
    <w:rsid w:val="45D46B6F"/>
    <w:rsid w:val="466409ED"/>
    <w:rsid w:val="467E7FA4"/>
    <w:rsid w:val="46CE1383"/>
    <w:rsid w:val="46F25714"/>
    <w:rsid w:val="472265C3"/>
    <w:rsid w:val="475A7970"/>
    <w:rsid w:val="47755530"/>
    <w:rsid w:val="47861873"/>
    <w:rsid w:val="47906BA6"/>
    <w:rsid w:val="47F97F94"/>
    <w:rsid w:val="4830555C"/>
    <w:rsid w:val="4883614D"/>
    <w:rsid w:val="48906A69"/>
    <w:rsid w:val="48B6041B"/>
    <w:rsid w:val="48B66823"/>
    <w:rsid w:val="48BC3476"/>
    <w:rsid w:val="48EB3EFE"/>
    <w:rsid w:val="491935CB"/>
    <w:rsid w:val="49394074"/>
    <w:rsid w:val="49722352"/>
    <w:rsid w:val="49AE56CA"/>
    <w:rsid w:val="49E503E1"/>
    <w:rsid w:val="4A2125C5"/>
    <w:rsid w:val="4A262B85"/>
    <w:rsid w:val="4A2F7392"/>
    <w:rsid w:val="4A6E1D21"/>
    <w:rsid w:val="4AA23A8D"/>
    <w:rsid w:val="4AF61407"/>
    <w:rsid w:val="4B80387A"/>
    <w:rsid w:val="4B9A53A5"/>
    <w:rsid w:val="4BDD7B44"/>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3C5083"/>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8A1A6E"/>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DD7786"/>
    <w:rsid w:val="5B073F40"/>
    <w:rsid w:val="5B734753"/>
    <w:rsid w:val="5BA97E2D"/>
    <w:rsid w:val="5BFC534A"/>
    <w:rsid w:val="5C01066C"/>
    <w:rsid w:val="5C0F29E5"/>
    <w:rsid w:val="5C1B21B5"/>
    <w:rsid w:val="5C980D28"/>
    <w:rsid w:val="5CAA12E7"/>
    <w:rsid w:val="5CB36E99"/>
    <w:rsid w:val="5CF32170"/>
    <w:rsid w:val="5D035418"/>
    <w:rsid w:val="5D0F745E"/>
    <w:rsid w:val="5D5E00ED"/>
    <w:rsid w:val="5D8E5F10"/>
    <w:rsid w:val="5DA01A68"/>
    <w:rsid w:val="5DF943F4"/>
    <w:rsid w:val="5E1B78BB"/>
    <w:rsid w:val="5E2336EC"/>
    <w:rsid w:val="5E5628E3"/>
    <w:rsid w:val="5EBC62A8"/>
    <w:rsid w:val="5EBF3633"/>
    <w:rsid w:val="5ED32523"/>
    <w:rsid w:val="5F021399"/>
    <w:rsid w:val="5F1E5F5B"/>
    <w:rsid w:val="5F714FF4"/>
    <w:rsid w:val="5FAD7930"/>
    <w:rsid w:val="5FB55714"/>
    <w:rsid w:val="5FE16947"/>
    <w:rsid w:val="603B4F3C"/>
    <w:rsid w:val="6073279B"/>
    <w:rsid w:val="609D0F90"/>
    <w:rsid w:val="60DD03E1"/>
    <w:rsid w:val="60E730EB"/>
    <w:rsid w:val="61262235"/>
    <w:rsid w:val="612C2AD6"/>
    <w:rsid w:val="61474730"/>
    <w:rsid w:val="61515168"/>
    <w:rsid w:val="61615E08"/>
    <w:rsid w:val="61AE7BC4"/>
    <w:rsid w:val="61E57855"/>
    <w:rsid w:val="61E72BEC"/>
    <w:rsid w:val="625D0F94"/>
    <w:rsid w:val="625E7EBB"/>
    <w:rsid w:val="628C4DBB"/>
    <w:rsid w:val="62B93C55"/>
    <w:rsid w:val="62C85D66"/>
    <w:rsid w:val="62CC35EB"/>
    <w:rsid w:val="62EE2739"/>
    <w:rsid w:val="63037A20"/>
    <w:rsid w:val="63163A3E"/>
    <w:rsid w:val="634113E9"/>
    <w:rsid w:val="63615055"/>
    <w:rsid w:val="63750D66"/>
    <w:rsid w:val="63905096"/>
    <w:rsid w:val="63AA4459"/>
    <w:rsid w:val="63D954D3"/>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5BB1D5E"/>
    <w:rsid w:val="66283729"/>
    <w:rsid w:val="6659611C"/>
    <w:rsid w:val="66636AB9"/>
    <w:rsid w:val="667800BA"/>
    <w:rsid w:val="66D529D1"/>
    <w:rsid w:val="66E33816"/>
    <w:rsid w:val="66E53109"/>
    <w:rsid w:val="6731162E"/>
    <w:rsid w:val="67317420"/>
    <w:rsid w:val="67536467"/>
    <w:rsid w:val="675D5DBC"/>
    <w:rsid w:val="676D324D"/>
    <w:rsid w:val="67891494"/>
    <w:rsid w:val="68352AF9"/>
    <w:rsid w:val="68376930"/>
    <w:rsid w:val="683975EA"/>
    <w:rsid w:val="685C2EAD"/>
    <w:rsid w:val="68663B55"/>
    <w:rsid w:val="686723EB"/>
    <w:rsid w:val="686E0E64"/>
    <w:rsid w:val="68943AAC"/>
    <w:rsid w:val="68C5210E"/>
    <w:rsid w:val="68CE3643"/>
    <w:rsid w:val="68EA14B1"/>
    <w:rsid w:val="690D48A3"/>
    <w:rsid w:val="69230C63"/>
    <w:rsid w:val="69453654"/>
    <w:rsid w:val="696434DB"/>
    <w:rsid w:val="69964E94"/>
    <w:rsid w:val="6A1074F7"/>
    <w:rsid w:val="6A1526D6"/>
    <w:rsid w:val="6A4C5023"/>
    <w:rsid w:val="6A5F3B4B"/>
    <w:rsid w:val="6A8C7A20"/>
    <w:rsid w:val="6AA83A17"/>
    <w:rsid w:val="6AC20063"/>
    <w:rsid w:val="6AC431C7"/>
    <w:rsid w:val="6AD07963"/>
    <w:rsid w:val="6B1F6996"/>
    <w:rsid w:val="6B582042"/>
    <w:rsid w:val="6B8C1C30"/>
    <w:rsid w:val="6B9F3A1B"/>
    <w:rsid w:val="6BB713A0"/>
    <w:rsid w:val="6BB804D0"/>
    <w:rsid w:val="6C0C15EF"/>
    <w:rsid w:val="6C113BB4"/>
    <w:rsid w:val="6D0609E6"/>
    <w:rsid w:val="6D2A0812"/>
    <w:rsid w:val="6D405B13"/>
    <w:rsid w:val="6D577AA5"/>
    <w:rsid w:val="6D632980"/>
    <w:rsid w:val="6DFF4322"/>
    <w:rsid w:val="6E0F5BD9"/>
    <w:rsid w:val="6E533D98"/>
    <w:rsid w:val="6E5F461D"/>
    <w:rsid w:val="6E732015"/>
    <w:rsid w:val="6E7A184A"/>
    <w:rsid w:val="6EF634B7"/>
    <w:rsid w:val="6F0F7267"/>
    <w:rsid w:val="6F5953DE"/>
    <w:rsid w:val="6F7A6D8C"/>
    <w:rsid w:val="6F8A1A3C"/>
    <w:rsid w:val="6FE07671"/>
    <w:rsid w:val="6FE91028"/>
    <w:rsid w:val="70150E0D"/>
    <w:rsid w:val="70151979"/>
    <w:rsid w:val="706C3987"/>
    <w:rsid w:val="70A41DEC"/>
    <w:rsid w:val="70B0488B"/>
    <w:rsid w:val="70C65160"/>
    <w:rsid w:val="70DD36C8"/>
    <w:rsid w:val="70FC294E"/>
    <w:rsid w:val="710169EE"/>
    <w:rsid w:val="710669AC"/>
    <w:rsid w:val="710C5236"/>
    <w:rsid w:val="713A39CC"/>
    <w:rsid w:val="71837A19"/>
    <w:rsid w:val="720542C3"/>
    <w:rsid w:val="722317DB"/>
    <w:rsid w:val="72C0166C"/>
    <w:rsid w:val="72CC4119"/>
    <w:rsid w:val="730C2D14"/>
    <w:rsid w:val="73165749"/>
    <w:rsid w:val="73244795"/>
    <w:rsid w:val="73275EED"/>
    <w:rsid w:val="73A77DB9"/>
    <w:rsid w:val="73AF42AF"/>
    <w:rsid w:val="73F53C66"/>
    <w:rsid w:val="741F3448"/>
    <w:rsid w:val="743A19BF"/>
    <w:rsid w:val="74564C98"/>
    <w:rsid w:val="746D4602"/>
    <w:rsid w:val="74811FAE"/>
    <w:rsid w:val="7497789D"/>
    <w:rsid w:val="74AF0266"/>
    <w:rsid w:val="74D36D42"/>
    <w:rsid w:val="74DE12C2"/>
    <w:rsid w:val="74E21280"/>
    <w:rsid w:val="755F5223"/>
    <w:rsid w:val="75731DE4"/>
    <w:rsid w:val="75875DBF"/>
    <w:rsid w:val="75AC4A24"/>
    <w:rsid w:val="76B830FE"/>
    <w:rsid w:val="76DC560E"/>
    <w:rsid w:val="76E3071E"/>
    <w:rsid w:val="76FD5F03"/>
    <w:rsid w:val="770844AD"/>
    <w:rsid w:val="774C3E15"/>
    <w:rsid w:val="77530D68"/>
    <w:rsid w:val="776D5B5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B1CC6"/>
    <w:rsid w:val="7ADF39A8"/>
    <w:rsid w:val="7AEA338E"/>
    <w:rsid w:val="7AFF0B90"/>
    <w:rsid w:val="7B2E2AF6"/>
    <w:rsid w:val="7B3A054B"/>
    <w:rsid w:val="7B4F4292"/>
    <w:rsid w:val="7B801174"/>
    <w:rsid w:val="7B894049"/>
    <w:rsid w:val="7BD03867"/>
    <w:rsid w:val="7BFC7DE1"/>
    <w:rsid w:val="7C021FA7"/>
    <w:rsid w:val="7C486BBE"/>
    <w:rsid w:val="7C503D93"/>
    <w:rsid w:val="7C597158"/>
    <w:rsid w:val="7D245671"/>
    <w:rsid w:val="7D3D633F"/>
    <w:rsid w:val="7D440915"/>
    <w:rsid w:val="7D4B62EB"/>
    <w:rsid w:val="7D8E5D5D"/>
    <w:rsid w:val="7D902DBD"/>
    <w:rsid w:val="7DA46C49"/>
    <w:rsid w:val="7E2B3A18"/>
    <w:rsid w:val="7E5D2521"/>
    <w:rsid w:val="7E7C4C45"/>
    <w:rsid w:val="7E92342D"/>
    <w:rsid w:val="7EEE6FF3"/>
    <w:rsid w:val="7EFD6E22"/>
    <w:rsid w:val="7F4C286A"/>
    <w:rsid w:val="7F791185"/>
    <w:rsid w:val="7FA25DA6"/>
    <w:rsid w:val="7FB039CB"/>
    <w:rsid w:val="7FC93EBA"/>
    <w:rsid w:val="7FD9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 w:type="paragraph" w:customStyle="1" w:styleId="22">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1478</Words>
  <Characters>1638</Characters>
  <Lines>383</Lines>
  <Paragraphs>125</Paragraphs>
  <TotalTime>0</TotalTime>
  <ScaleCrop>false</ScaleCrop>
  <LinksUpToDate>false</LinksUpToDate>
  <CharactersWithSpaces>1700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2023-03-28T07:16:00Z</dcterms:created>
  <dc:creator>砚</dc:creator>
  <cp:lastModifiedBy>Toya</cp:lastModifiedBy>
  <dcterms:modified xsi:type="dcterms:W3CDTF">2025-04-25T07:41:31Z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F8CAE2E1364941018055238C51C9A2F5_13</vt:lpwstr>
  </property>
  <property fmtid="{D5CDD505-2E9C-101B-9397-08002B2CF9AE}" pid="4" name="KSOTemplateDocerSaveRecord">
    <vt:lpwstr>eyJoZGlkIjoiZTE3NjUxYTg0OWYyYzMyMTZhZDE4NmFlMTMyYjFiMjQiLCJ1c2VySWQiOiI3MjgwODk1MTYifQ==</vt:lpwstr>
  </property>
</Properties>
</file>