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证券代码：</w:t>
      </w:r>
      <w:r>
        <w:rPr>
          <w:rFonts w:asciiTheme="minorEastAsia" w:hAnsiTheme="minorEastAsia"/>
          <w:color w:val="000000" w:themeColor="text1"/>
          <w:sz w:val="28"/>
          <w:szCs w:val="28"/>
          <w14:textFill>
            <w14:solidFill>
              <w14:schemeClr w14:val="tx1"/>
            </w14:solidFill>
          </w14:textFill>
        </w:rPr>
        <w:t>600129</w:t>
      </w:r>
      <w:r>
        <w:rPr>
          <w:rFonts w:hint="eastAsia" w:asciiTheme="minorEastAsia" w:hAnsiTheme="minorEastAsia"/>
          <w:color w:val="000000" w:themeColor="text1"/>
          <w:sz w:val="28"/>
          <w:szCs w:val="28"/>
          <w14:textFill>
            <w14:solidFill>
              <w14:schemeClr w14:val="tx1"/>
            </w14:solidFill>
          </w14:textFill>
        </w:rPr>
        <w:t xml:space="preserve">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证券简称：太极集团</w:t>
      </w:r>
    </w:p>
    <w:p>
      <w:pPr>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重庆太极实业（集团）股份有限公司投资者关系活动记录表</w:t>
      </w:r>
    </w:p>
    <w:p>
      <w:pPr>
        <w:jc w:val="right"/>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编号：202</w:t>
      </w:r>
      <w:r>
        <w:rPr>
          <w:rFonts w:hint="eastAsia" w:asciiTheme="minorEastAsia" w:hAnsiTheme="minorEastAsia"/>
          <w:color w:val="000000" w:themeColor="text1"/>
          <w:sz w:val="28"/>
          <w:szCs w:val="28"/>
          <w:lang w:val="en-US" w:eastAsia="zh-CN"/>
          <w14:textFill>
            <w14:solidFill>
              <w14:schemeClr w14:val="tx1"/>
            </w14:solidFill>
          </w14:textFill>
        </w:rPr>
        <w:t>5-1</w:t>
      </w:r>
    </w:p>
    <w:tbl>
      <w:tblPr>
        <w:tblStyle w:val="11"/>
        <w:tblW w:w="10065"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2"/>
        <w:gridCol w:w="7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2" w:type="dxa"/>
          </w:tcPr>
          <w:p>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投资者关系活动类别</w:t>
            </w:r>
          </w:p>
        </w:tc>
        <w:tc>
          <w:tcPr>
            <w:tcW w:w="7003" w:type="dxa"/>
          </w:tcPr>
          <w:p>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√特定对象调研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√分析师会议</w:t>
            </w:r>
          </w:p>
          <w:p>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□媒体采访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□业绩说明会（电话会议）</w:t>
            </w:r>
          </w:p>
          <w:p>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□新闻发布会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□路演活动</w:t>
            </w:r>
          </w:p>
          <w:p>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□现场参观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2" w:type="dxa"/>
          </w:tcPr>
          <w:p>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参与单位名称及人员名称</w:t>
            </w:r>
          </w:p>
        </w:tc>
        <w:tc>
          <w:tcPr>
            <w:tcW w:w="7003" w:type="dxa"/>
            <w:vAlign w:val="center"/>
          </w:tcPr>
          <w:p>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中信证券、中信建投证券、国泰海通证券、东吴证券、兴业证券、中泰证券、国海证券、招商证券、国金证券、国联民生证券、西南证券、信达证券、天风证券、华福证券、银河证券、中邮证券、华源证券、华创证券、平安证券、开源证券、国投证券、富国基金、博时基金、银华基金、景顺长城基金、华安基金、国泰基金、和谐汇一、国君资管、摩根基金、高毅资产、华安财报资产、宁银理财、淳厚基金、固禾资产、明汯投资、奇盛基金、永安国富、上海崇山投资、冠达泰泽基金</w:t>
            </w:r>
            <w:r>
              <w:rPr>
                <w:rFonts w:hint="eastAsia" w:asciiTheme="minorEastAsia" w:hAnsiTheme="minorEastAsia"/>
                <w:color w:val="000000" w:themeColor="text1"/>
                <w:sz w:val="28"/>
                <w:szCs w:val="28"/>
                <w14:textFill>
                  <w14:solidFill>
                    <w14:schemeClr w14:val="tx1"/>
                  </w14:solidFill>
                </w14:textFill>
              </w:rPr>
              <w:t>等</w:t>
            </w:r>
            <w:r>
              <w:rPr>
                <w:rFonts w:hint="eastAsia" w:asciiTheme="minorEastAsia" w:hAnsiTheme="minorEastAsia"/>
                <w:color w:val="000000" w:themeColor="text1"/>
                <w:sz w:val="28"/>
                <w:szCs w:val="28"/>
                <w:lang w:val="en-US" w:eastAsia="zh-CN"/>
                <w14:textFill>
                  <w14:solidFill>
                    <w14:schemeClr w14:val="tx1"/>
                  </w14:solidFill>
                </w14:textFill>
              </w:rPr>
              <w:t>机构投资者及</w:t>
            </w:r>
            <w:bookmarkStart w:id="0" w:name="_GoBack"/>
            <w:bookmarkEnd w:id="0"/>
            <w:r>
              <w:rPr>
                <w:rFonts w:hint="eastAsia" w:asciiTheme="minorEastAsia" w:hAnsiTheme="minorEastAsia"/>
                <w:color w:val="000000" w:themeColor="text1"/>
                <w:sz w:val="28"/>
                <w:szCs w:val="28"/>
                <w14:textFill>
                  <w14:solidFill>
                    <w14:schemeClr w14:val="tx1"/>
                  </w14:solidFill>
                </w14:textFill>
              </w:rPr>
              <w:t>分析师。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2" w:type="dxa"/>
          </w:tcPr>
          <w:p>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时间</w:t>
            </w:r>
          </w:p>
        </w:tc>
        <w:tc>
          <w:tcPr>
            <w:tcW w:w="7003" w:type="dxa"/>
          </w:tcPr>
          <w:p>
            <w:pPr>
              <w:jc w:val="left"/>
              <w:rPr>
                <w:rFonts w:asciiTheme="minorEastAsia" w:hAnsiTheme="minorEastAsia"/>
                <w:color w:val="000000" w:themeColor="text1"/>
                <w:sz w:val="28"/>
                <w:szCs w:val="28"/>
                <w:lang w:val="en-US"/>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w:t>
            </w:r>
            <w:r>
              <w:rPr>
                <w:rFonts w:asciiTheme="minorEastAsia" w:hAnsiTheme="minorEastAsia"/>
                <w:color w:val="000000" w:themeColor="text1"/>
                <w:sz w:val="28"/>
                <w:szCs w:val="28"/>
                <w14:textFill>
                  <w14:solidFill>
                    <w14:schemeClr w14:val="tx1"/>
                  </w14:solidFill>
                </w14:textFill>
              </w:rPr>
              <w:t>02</w:t>
            </w:r>
            <w:r>
              <w:rPr>
                <w:rFonts w:hint="eastAsia" w:asciiTheme="minorEastAsia" w:hAnsiTheme="minorEastAsia"/>
                <w:color w:val="000000" w:themeColor="text1"/>
                <w:sz w:val="28"/>
                <w:szCs w:val="28"/>
                <w:lang w:val="en-US" w:eastAsia="zh-CN"/>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年</w:t>
            </w:r>
            <w:r>
              <w:rPr>
                <w:rFonts w:hint="eastAsia" w:asciiTheme="minorEastAsia" w:hAnsiTheme="minorEastAsia"/>
                <w:color w:val="000000" w:themeColor="text1"/>
                <w:sz w:val="28"/>
                <w:szCs w:val="28"/>
                <w:lang w:val="en-US" w:eastAsia="zh-CN"/>
                <w14:textFill>
                  <w14:solidFill>
                    <w14:schemeClr w14:val="tx1"/>
                  </w14:solidFill>
                </w14:textFill>
              </w:rPr>
              <w:t>4</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17日-25日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2" w:type="dxa"/>
          </w:tcPr>
          <w:p>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地点</w:t>
            </w:r>
          </w:p>
        </w:tc>
        <w:tc>
          <w:tcPr>
            <w:tcW w:w="7003" w:type="dxa"/>
          </w:tcPr>
          <w:p>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2" w:type="dxa"/>
          </w:tcPr>
          <w:p>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上市公司接待人员名称</w:t>
            </w:r>
          </w:p>
        </w:tc>
        <w:tc>
          <w:tcPr>
            <w:tcW w:w="7003" w:type="dxa"/>
            <w:tcBorders>
              <w:bottom w:val="single" w:color="auto" w:sz="4" w:space="0"/>
            </w:tcBorders>
          </w:tcPr>
          <w:p>
            <w:pPr>
              <w:ind w:right="28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董事长：俞敏先生</w:t>
            </w:r>
          </w:p>
          <w:p>
            <w:pPr>
              <w:ind w:right="28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总经理：于宗斌先生</w:t>
            </w:r>
          </w:p>
          <w:p>
            <w:pPr>
              <w:ind w:right="280"/>
              <w:jc w:val="left"/>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董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秘</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蒋茜女士</w:t>
            </w:r>
          </w:p>
          <w:p>
            <w:pPr>
              <w:ind w:right="28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财务总监：刘尊义先生</w:t>
            </w:r>
          </w:p>
          <w:p>
            <w:pPr>
              <w:ind w:right="28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证券事务代表：徐旺女士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062" w:type="dxa"/>
          </w:tcPr>
          <w:p>
            <w:pPr>
              <w:keepNext w:val="0"/>
              <w:keepLines w:val="0"/>
              <w:widowControl/>
              <w:suppressLineNumbers w:val="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投资者关系活动</w:t>
            </w:r>
          </w:p>
          <w:p>
            <w:pPr>
              <w:keepNext w:val="0"/>
              <w:keepLines w:val="0"/>
              <w:widowControl/>
              <w:suppressLineNumbers w:val="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主要内容介绍</w:t>
            </w:r>
          </w:p>
        </w:tc>
        <w:tc>
          <w:tcPr>
            <w:tcW w:w="7003" w:type="dxa"/>
            <w:tcBorders>
              <w:bottom w:val="single" w:color="auto" w:sz="4" w:space="0"/>
            </w:tcBorders>
          </w:tcPr>
          <w:p>
            <w:pPr>
              <w:keepNext w:val="0"/>
              <w:keepLines w:val="0"/>
              <w:widowControl/>
              <w:suppressLineNumbers w:val="0"/>
              <w:ind w:firstLine="560" w:firstLineChars="20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公司总经理于宗斌先生介绍公司相关情况，公司参会领导与分析师问答交流。</w:t>
            </w:r>
          </w:p>
          <w:p>
            <w:pPr>
              <w:keepNext w:val="0"/>
              <w:keepLines w:val="0"/>
              <w:widowControl/>
              <w:suppressLineNumbers w:val="0"/>
              <w:ind w:firstLine="560" w:firstLineChars="20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主要问答如下：</w:t>
            </w:r>
          </w:p>
          <w:p>
            <w:pPr>
              <w:keepNext w:val="0"/>
              <w:keepLines w:val="0"/>
              <w:widowControl/>
              <w:suppressLineNumbers w:val="0"/>
              <w:ind w:firstLine="562" w:firstLineChars="200"/>
              <w:jc w:val="left"/>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一、公司近年来在经营管理上开展了哪些突出工作，2025年的主要工作计划及措施？</w:t>
            </w:r>
          </w:p>
          <w:p>
            <w:pPr>
              <w:keepNext w:val="0"/>
              <w:keepLines w:val="0"/>
              <w:widowControl/>
              <w:suppressLineNumbers w:val="0"/>
              <w:ind w:firstLine="562" w:firstLineChars="200"/>
              <w:jc w:val="both"/>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回答：</w:t>
            </w:r>
            <w:r>
              <w:rPr>
                <w:rFonts w:hint="eastAsia" w:asciiTheme="minorEastAsia" w:hAnsiTheme="minorEastAsia"/>
                <w:color w:val="000000" w:themeColor="text1"/>
                <w:sz w:val="28"/>
                <w:szCs w:val="28"/>
                <w:lang w:val="en-US" w:eastAsia="zh-CN"/>
                <w14:textFill>
                  <w14:solidFill>
                    <w14:schemeClr w14:val="tx1"/>
                  </w14:solidFill>
                </w14:textFill>
              </w:rPr>
              <w:t>近4年来，公司通过央地合作加入国药集团开展融合重塑，从体制与机制、治理与管理、人才与技术、平台与业务、资金与资源等方面进行改革。一方面通过“变易”在战略上、管理上深化变革，规范治理，按照国务院国资委以及上市公司的规范要求完善制度，落实三项制度改革重点任务；精简总部机构、压缩管理层级、缩减管理人员，总部职能管理部门由29个减至16个，全公司人员减至1.2万人，科学管理，提升组织效能。另一方面通过“简易”，实施聚焦战略，集中优势做到“四个聚焦”：聚焦医药主业，把非主业非盈利资产及业务剥离掉，尽快处置退出；聚焦工业，进一步优化医药工业布局；聚焦中药，立足中药材资源优势，完善中药产业链；聚焦主品，主品就是像太极藿香正气口服液、急支糖浆这样疗效好、口碑佳的品种，我们把这些资源再梳理、再整合、再提炼、再拔高，进一步拓展应用场景。同时，加快数字化演进，以数据驱动全产业链升级，不断提升管理数字化水平；强化工商协同，整合内外部平台和资源。</w:t>
            </w:r>
          </w:p>
          <w:p>
            <w:pPr>
              <w:keepNext w:val="0"/>
              <w:keepLines w:val="0"/>
              <w:widowControl/>
              <w:suppressLineNumbers w:val="0"/>
              <w:ind w:firstLine="560" w:firstLineChars="200"/>
              <w:jc w:val="both"/>
              <w:rPr>
                <w:rFonts w:hint="eastAsia" w:asciiTheme="minorEastAsia" w:hAnsiTheme="minorEastAsia" w:eastAsiaTheme="maj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2025年，公司将围绕“两聚焦、两创新，做强做优中药大品种”的工作方针，即：聚焦中成药大品种、聚焦中药材大品种，科技创新与营销创新。科技创新方面，完善科研创新体系，聚焦中药大品种，主要是中成药、中药材；聚焦重点领域，主要是消化系统、呼吸系统、心脑血管、肿瘤和抗衰、治未病领域；聚焦商业转化，以市场为导向，与生产、销售链接，转化为生产力。营销创新方面，实现“营”“销”结合，做好医疗终端，发力第二、第三终端（药店、基层医药），扩大第四、第五终端（线上、海外），形成“根深叶茂花繁”的药品营销模式；加大品牌传播，精准品牌定位，通过与人民网、央视、国医大师的合作，提升官媒声量和权威学术背书，提升品牌学术影响力。</w:t>
            </w:r>
          </w:p>
          <w:p>
            <w:pPr>
              <w:keepNext w:val="0"/>
              <w:keepLines w:val="0"/>
              <w:widowControl/>
              <w:suppressLineNumbers w:val="0"/>
              <w:ind w:firstLine="560" w:firstLineChars="200"/>
              <w:jc w:val="both"/>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2025年，公司将持续深化改革，完善体制机制，以科技创新培育新质生产力，以营销创新促进业绩恢复性增长。</w:t>
            </w:r>
          </w:p>
          <w:p>
            <w:pPr>
              <w:keepNext w:val="0"/>
              <w:keepLines w:val="0"/>
              <w:widowControl/>
              <w:numPr>
                <w:ilvl w:val="0"/>
                <w:numId w:val="1"/>
              </w:numPr>
              <w:suppressLineNumbers w:val="0"/>
              <w:ind w:firstLine="562" w:firstLineChars="200"/>
              <w:jc w:val="left"/>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公司对研发体系的规划及相应的激励措施？</w:t>
            </w:r>
          </w:p>
          <w:p>
            <w:pPr>
              <w:keepNext w:val="0"/>
              <w:keepLines w:val="0"/>
              <w:widowControl/>
              <w:numPr>
                <w:ilvl w:val="0"/>
                <w:numId w:val="0"/>
              </w:numPr>
              <w:suppressLineNumbers w:val="0"/>
              <w:ind w:firstLine="562" w:firstLineChars="200"/>
              <w:jc w:val="both"/>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回答：</w:t>
            </w:r>
            <w:r>
              <w:rPr>
                <w:rFonts w:hint="eastAsia" w:asciiTheme="minorEastAsia" w:hAnsiTheme="minorEastAsia"/>
                <w:color w:val="000000" w:themeColor="text1"/>
                <w:sz w:val="28"/>
                <w:szCs w:val="28"/>
                <w:lang w:val="en-US" w:eastAsia="zh-CN"/>
                <w14:textFill>
                  <w14:solidFill>
                    <w14:schemeClr w14:val="tx1"/>
                  </w14:solidFill>
                </w14:textFill>
              </w:rPr>
              <w:t>公司创新科研模式，以中医理论、人用经验、临床试验为核心，建立中药特点的科技创新体系，用西医和西方人听得懂的语言及可以接受的方式来解析中医、开发中药，实现中药现代化和国际化；</w:t>
            </w:r>
          </w:p>
          <w:p>
            <w:pPr>
              <w:keepNext w:val="0"/>
              <w:keepLines w:val="0"/>
              <w:widowControl/>
              <w:numPr>
                <w:ilvl w:val="0"/>
                <w:numId w:val="0"/>
              </w:numPr>
              <w:suppressLineNumbers w:val="0"/>
              <w:ind w:firstLine="560" w:firstLineChars="200"/>
              <w:jc w:val="both"/>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强化聚焦，聚焦中药大品种，主要是中成药、中药材；聚焦重点领域，主要是消化系统、呼吸系统、心脑血管、肿瘤和抗衰、治未病领域；聚焦重大项目，结合战略规划，充分利用公司优势资源，着眼未来突破性大项目；聚焦商业转化，以市场为导向，与生产、销售链接，转化为生产力；</w:t>
            </w:r>
          </w:p>
          <w:p>
            <w:pPr>
              <w:keepNext w:val="0"/>
              <w:keepLines w:val="0"/>
              <w:widowControl/>
              <w:numPr>
                <w:ilvl w:val="0"/>
                <w:numId w:val="0"/>
              </w:numPr>
              <w:suppressLineNumbers w:val="0"/>
              <w:ind w:firstLine="560" w:firstLineChars="200"/>
              <w:jc w:val="both"/>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强化内外协同，持续构建开放协同的科技创新体系，内部科研与营销及全产业链协同发展，外部与顶级院校合作，以院士为引领，与陈士林院士合作建立“中药创新研究院士工作站”、与国医大师林天东合作建立“国医大师传承工作室”，抓实科研项目，加快项目进度，完善科研创新体系，内外协同打造高质量科创平台；</w:t>
            </w:r>
          </w:p>
          <w:p>
            <w:pPr>
              <w:keepNext w:val="0"/>
              <w:keepLines w:val="0"/>
              <w:widowControl/>
              <w:numPr>
                <w:ilvl w:val="0"/>
                <w:numId w:val="0"/>
              </w:numPr>
              <w:suppressLineNumbers w:val="0"/>
              <w:ind w:firstLine="560" w:firstLineChars="200"/>
              <w:jc w:val="both"/>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以市场化的运作将科研项目进行全流程战略重构，推动科研项目制、公司化，强化科研激励机制，使科研和营销联动、风险与收益挂钩，建立太极的“铁三角”即：科研、销售、市场，三方联动，推动科技创新。</w:t>
            </w:r>
          </w:p>
          <w:p>
            <w:pPr>
              <w:keepNext w:val="0"/>
              <w:keepLines w:val="0"/>
              <w:widowControl/>
              <w:numPr>
                <w:ilvl w:val="0"/>
                <w:numId w:val="1"/>
              </w:numPr>
              <w:suppressLineNumbers w:val="0"/>
              <w:ind w:left="0" w:leftChars="0" w:firstLine="562" w:firstLineChars="200"/>
              <w:jc w:val="left"/>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公司目前在大健康品类上的规划及相关工作？</w:t>
            </w:r>
          </w:p>
          <w:p>
            <w:pPr>
              <w:keepNext w:val="0"/>
              <w:keepLines w:val="0"/>
              <w:widowControl/>
              <w:numPr>
                <w:ilvl w:val="0"/>
                <w:numId w:val="0"/>
              </w:numPr>
              <w:suppressLineNumbers w:val="0"/>
              <w:ind w:firstLine="562" w:firstLineChars="20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回答：</w:t>
            </w:r>
            <w:r>
              <w:rPr>
                <w:rFonts w:hint="eastAsia" w:asciiTheme="minorEastAsia" w:hAnsiTheme="minorEastAsia"/>
                <w:color w:val="000000" w:themeColor="text1"/>
                <w:sz w:val="28"/>
                <w:szCs w:val="28"/>
                <w:lang w:val="en-US" w:eastAsia="zh-CN"/>
                <w14:textFill>
                  <w14:solidFill>
                    <w14:schemeClr w14:val="tx1"/>
                  </w14:solidFill>
                </w14:textFill>
              </w:rPr>
              <w:t>公司构建大健康产品矩阵，聚焦三大类别，以太极上草、贵细等为代表的高端精制饮片，以中药轻养生茶饮、藿香小可乐、藿香个护产品、急支润喉糖等为代表的大品种衍生品，以还少丹、补肾益寿胶囊、丹参口服液等为代表的补益类中成药。以线上线下相结合的经营模式积极开展相关工作，在线下：推动“太极上草”在川渝、中国香港、新加坡等市场上市，同步布局SPD专业药房的上柜，今年线下首家太极上草体验店重庆星光68店开业，通过消费者对产品的实际体验，提升太极上草的品牌影响力；在线上：逐步构建私域运营体系，探索微博话题、直播带货等创新形式，提升销量，并携手自媒体平台，转流量为销量。</w:t>
            </w:r>
          </w:p>
          <w:p>
            <w:pPr>
              <w:keepNext w:val="0"/>
              <w:keepLines w:val="0"/>
              <w:widowControl/>
              <w:numPr>
                <w:ilvl w:val="0"/>
                <w:numId w:val="1"/>
              </w:numPr>
              <w:suppressLineNumbers w:val="0"/>
              <w:ind w:left="0" w:leftChars="0" w:firstLine="562" w:firstLineChars="200"/>
              <w:jc w:val="left"/>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公司今年在营销管理上将持续开展哪些工作，如何提升管理效能？</w:t>
            </w:r>
          </w:p>
          <w:p>
            <w:pPr>
              <w:keepNext w:val="0"/>
              <w:keepLines w:val="0"/>
              <w:widowControl/>
              <w:numPr>
                <w:ilvl w:val="0"/>
                <w:numId w:val="0"/>
              </w:numPr>
              <w:suppressLineNumbers w:val="0"/>
              <w:ind w:firstLine="560" w:firstLineChars="20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回答：公司在2024年重塑营销组织，撤销原营销管理中心，成立市场中心和销售中心，</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销售中心负责团队管理，市场中心负责学术赋能。</w:t>
            </w:r>
            <w:r>
              <w:rPr>
                <w:rFonts w:hint="eastAsia" w:asciiTheme="minorEastAsia" w:hAnsiTheme="minorEastAsia"/>
                <w:color w:val="000000" w:themeColor="text1"/>
                <w:sz w:val="28"/>
                <w:szCs w:val="28"/>
                <w:lang w:val="en-US" w:eastAsia="zh-CN"/>
                <w14:textFill>
                  <w14:solidFill>
                    <w14:schemeClr w14:val="tx1"/>
                  </w14:solidFill>
                </w14:textFill>
              </w:rPr>
              <w:t>整合普药产品群、新零售部，优化组织机构；实现干部调整、轮岗，优化人员配置；完善绩效考核标准模式，优化激励淘汰机制</w:t>
            </w: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注重专业学术背景和营销管理经验人才，赋能营销团队建设</w:t>
            </w:r>
            <w:r>
              <w:rPr>
                <w:rFonts w:hint="eastAsia" w:asciiTheme="minorEastAsia" w:hAnsiTheme="minorEastAsia"/>
                <w:color w:val="000000" w:themeColor="text1"/>
                <w:sz w:val="28"/>
                <w:szCs w:val="28"/>
                <w:lang w:val="en-US" w:eastAsia="zh-CN"/>
                <w14:textFill>
                  <w14:solidFill>
                    <w14:schemeClr w14:val="tx1"/>
                  </w14:solidFill>
                </w14:textFill>
              </w:rPr>
              <w:t>。</w:t>
            </w:r>
          </w:p>
          <w:p>
            <w:pPr>
              <w:pStyle w:val="3"/>
              <w:spacing w:after="0"/>
              <w:ind w:left="0" w:leftChars="0" w:firstLine="560" w:firstLineChars="200"/>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2025年，公司工业营销以利润和结果为导向，强化市场职能，提升销售能力，以提升效率、效果为目标，持续推进营销组织进化。一是建立以临床价值为中心、以市场需求为导向的战略市场体系。充分发挥产品的临床价值，建立以临床价值为中心、以市场需求为导向的专业学术化推广体系，实现“营”“销”结合，做好医疗终端，发力第二、第三终端（药店、基层医药），扩大第四、第五终端（线上、海外），形成“根深叶茂花繁”的药品营销模式。二是加强渠道整合和终端拓展。整合优化一级经销商，合理布局二级经销商；加快五个终端的拓展和纯销上量，强化等级医院学术推广，抓好准入基础，聚焦重点终端，探索院企合作模式；加强连锁药店品牌建设，聚焦百强连锁，扩大品牌声量，强化终端动销；提高基层医疗销量，加速库存消化，选好高价值产品，借力主题行动开拓市场；积极推进线上销售重整合，升级头部平台合作，深化线上行销标准，线上线下协同增效；同时推进团购、海外出口补充，拓展团购业务。三是加快产品和品类导入。做好多产品在各个渠道中迅速导入及上量，尤其是医疗终端，以大品种带小品种，强势品种带弱势品种，强化自营和代理相结合。</w:t>
            </w:r>
          </w:p>
          <w:p>
            <w:pPr>
              <w:keepNext w:val="0"/>
              <w:keepLines w:val="0"/>
              <w:widowControl/>
              <w:numPr>
                <w:ilvl w:val="0"/>
                <w:numId w:val="0"/>
              </w:numPr>
              <w:suppressLineNumbers w:val="0"/>
              <w:ind w:firstLine="562" w:firstLineChars="20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五、公司在回报股东方面的计划？</w:t>
            </w:r>
          </w:p>
          <w:p>
            <w:pPr>
              <w:keepNext w:val="0"/>
              <w:keepLines w:val="0"/>
              <w:widowControl/>
              <w:numPr>
                <w:ilvl w:val="0"/>
                <w:numId w:val="0"/>
              </w:numPr>
              <w:suppressLineNumbers w:val="0"/>
              <w:ind w:firstLine="562" w:firstLineChars="20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回答：</w:t>
            </w:r>
            <w:r>
              <w:rPr>
                <w:rFonts w:hint="eastAsia" w:asciiTheme="minorEastAsia" w:hAnsiTheme="minorEastAsia"/>
                <w:color w:val="000000" w:themeColor="text1"/>
                <w:sz w:val="28"/>
                <w:szCs w:val="28"/>
                <w:lang w:val="en-US" w:eastAsia="zh-CN"/>
                <w14:textFill>
                  <w14:solidFill>
                    <w14:schemeClr w14:val="tx1"/>
                  </w14:solidFill>
                </w14:textFill>
              </w:rPr>
              <w:t>公司以“提质增效重回报”为目标，努力为股东创造更大的价值，充分平衡股东利益、企业价值和可持续发展之间的关系，制定股利分配政策，将利润分配政策纳入公司章程，近三年派发现金红利1.67亿元（含税）。同时，公司制定了《太极集团未来三年（2024—2026年）股东回报规划》，明确公司每年以现金方式分配的利润不低于当年实现的可供股东分配的利润的10% ；最近三年以现金形式累计分配的利润不少于最近三年实现的年均可供分配利润的30%，以科学、持续、稳定的利润分配政策，保护投资者特别是中小投资者的合法权益。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2" w:type="dxa"/>
          </w:tcPr>
          <w:p>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附件清单（如有）</w:t>
            </w:r>
          </w:p>
        </w:tc>
        <w:tc>
          <w:tcPr>
            <w:tcW w:w="7003" w:type="dxa"/>
            <w:tcBorders>
              <w:top w:val="single" w:color="auto" w:sz="4" w:space="0"/>
            </w:tcBorders>
          </w:tcPr>
          <w:p>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2" w:type="dxa"/>
          </w:tcPr>
          <w:p>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日期</w:t>
            </w:r>
          </w:p>
        </w:tc>
        <w:tc>
          <w:tcPr>
            <w:tcW w:w="7003" w:type="dxa"/>
          </w:tcPr>
          <w:p>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w:t>
            </w:r>
            <w:r>
              <w:rPr>
                <w:rFonts w:asciiTheme="minorEastAsia" w:hAnsiTheme="minorEastAsia"/>
                <w:color w:val="000000" w:themeColor="text1"/>
                <w:sz w:val="28"/>
                <w:szCs w:val="28"/>
                <w14:textFill>
                  <w14:solidFill>
                    <w14:schemeClr w14:val="tx1"/>
                  </w14:solidFill>
                </w14:textFill>
              </w:rPr>
              <w:t>02</w:t>
            </w:r>
            <w:r>
              <w:rPr>
                <w:rFonts w:hint="eastAsia" w:asciiTheme="minorEastAsia" w:hAnsiTheme="minorEastAsia"/>
                <w:color w:val="000000" w:themeColor="text1"/>
                <w:sz w:val="28"/>
                <w:szCs w:val="28"/>
                <w:lang w:val="en-US" w:eastAsia="zh-CN"/>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年</w:t>
            </w:r>
            <w:r>
              <w:rPr>
                <w:rFonts w:hint="eastAsia" w:asciiTheme="minorEastAsia" w:hAnsiTheme="minorEastAsia"/>
                <w:color w:val="000000" w:themeColor="text1"/>
                <w:sz w:val="28"/>
                <w:szCs w:val="28"/>
                <w:lang w:val="en-US" w:eastAsia="zh-CN"/>
                <w14:textFill>
                  <w14:solidFill>
                    <w14:schemeClr w14:val="tx1"/>
                  </w14:solidFill>
                </w14:textFill>
              </w:rPr>
              <w:t>4</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25</w:t>
            </w:r>
            <w:r>
              <w:rPr>
                <w:rFonts w:hint="eastAsia" w:asciiTheme="minorEastAsia" w:hAnsiTheme="minorEastAsia"/>
                <w:color w:val="000000" w:themeColor="text1"/>
                <w:sz w:val="28"/>
                <w:szCs w:val="28"/>
                <w14:textFill>
                  <w14:solidFill>
                    <w14:schemeClr w14:val="tx1"/>
                  </w14:solidFill>
                </w14:textFill>
              </w:rPr>
              <w:t>日</w:t>
            </w:r>
          </w:p>
        </w:tc>
      </w:tr>
    </w:tbl>
    <w:p>
      <w:pPr>
        <w:ind w:right="840"/>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6038838"/>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8FDBF"/>
    <w:multiLevelType w:val="singleLevel"/>
    <w:tmpl w:val="5058FD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1YjU3Y2NjNjdjMmM2ZTg1ZDQ3ZTZjY2Y2NTQ1MTAifQ=="/>
  </w:docVars>
  <w:rsids>
    <w:rsidRoot w:val="00DD01C5"/>
    <w:rsid w:val="00003052"/>
    <w:rsid w:val="00004C21"/>
    <w:rsid w:val="0000578E"/>
    <w:rsid w:val="00006E25"/>
    <w:rsid w:val="000178CB"/>
    <w:rsid w:val="000217E3"/>
    <w:rsid w:val="0002775F"/>
    <w:rsid w:val="00040243"/>
    <w:rsid w:val="000432D8"/>
    <w:rsid w:val="000437FF"/>
    <w:rsid w:val="000447AE"/>
    <w:rsid w:val="00045F96"/>
    <w:rsid w:val="0004684F"/>
    <w:rsid w:val="00046ABF"/>
    <w:rsid w:val="00047B41"/>
    <w:rsid w:val="00047CC6"/>
    <w:rsid w:val="00052E32"/>
    <w:rsid w:val="00060C40"/>
    <w:rsid w:val="000642CB"/>
    <w:rsid w:val="00067A3B"/>
    <w:rsid w:val="00072F3D"/>
    <w:rsid w:val="00077D7E"/>
    <w:rsid w:val="000856CB"/>
    <w:rsid w:val="00086687"/>
    <w:rsid w:val="00092E36"/>
    <w:rsid w:val="000A6E8E"/>
    <w:rsid w:val="000A6F28"/>
    <w:rsid w:val="000B06A3"/>
    <w:rsid w:val="000D3DD7"/>
    <w:rsid w:val="000D5EEC"/>
    <w:rsid w:val="000E5C81"/>
    <w:rsid w:val="000F7CBE"/>
    <w:rsid w:val="00112053"/>
    <w:rsid w:val="00113B24"/>
    <w:rsid w:val="00114978"/>
    <w:rsid w:val="00120D31"/>
    <w:rsid w:val="00121F50"/>
    <w:rsid w:val="0012601F"/>
    <w:rsid w:val="00126A56"/>
    <w:rsid w:val="00135EE8"/>
    <w:rsid w:val="001435CC"/>
    <w:rsid w:val="001565FC"/>
    <w:rsid w:val="00162408"/>
    <w:rsid w:val="00175C6D"/>
    <w:rsid w:val="00175EDC"/>
    <w:rsid w:val="001761C2"/>
    <w:rsid w:val="00180D5E"/>
    <w:rsid w:val="00181F14"/>
    <w:rsid w:val="0018208C"/>
    <w:rsid w:val="001824F6"/>
    <w:rsid w:val="001920AE"/>
    <w:rsid w:val="0019242E"/>
    <w:rsid w:val="001947BE"/>
    <w:rsid w:val="00197D62"/>
    <w:rsid w:val="001A1871"/>
    <w:rsid w:val="001A39A9"/>
    <w:rsid w:val="001A44FE"/>
    <w:rsid w:val="001A5043"/>
    <w:rsid w:val="001B1191"/>
    <w:rsid w:val="001B723E"/>
    <w:rsid w:val="001B7710"/>
    <w:rsid w:val="001C2A4B"/>
    <w:rsid w:val="001D44AE"/>
    <w:rsid w:val="001D664A"/>
    <w:rsid w:val="001E16A7"/>
    <w:rsid w:val="001E17B5"/>
    <w:rsid w:val="001E1E43"/>
    <w:rsid w:val="001F5A2F"/>
    <w:rsid w:val="001F5E6C"/>
    <w:rsid w:val="00202745"/>
    <w:rsid w:val="00210B66"/>
    <w:rsid w:val="00214410"/>
    <w:rsid w:val="002208B7"/>
    <w:rsid w:val="002253B4"/>
    <w:rsid w:val="00226EC9"/>
    <w:rsid w:val="00247CF5"/>
    <w:rsid w:val="0025048A"/>
    <w:rsid w:val="00252913"/>
    <w:rsid w:val="00252B6A"/>
    <w:rsid w:val="00256B91"/>
    <w:rsid w:val="002622A5"/>
    <w:rsid w:val="00263C3B"/>
    <w:rsid w:val="00263F37"/>
    <w:rsid w:val="00265C2F"/>
    <w:rsid w:val="002717F7"/>
    <w:rsid w:val="00272102"/>
    <w:rsid w:val="00273A03"/>
    <w:rsid w:val="002974B9"/>
    <w:rsid w:val="002A5733"/>
    <w:rsid w:val="002B55CF"/>
    <w:rsid w:val="002C1955"/>
    <w:rsid w:val="002C4EB5"/>
    <w:rsid w:val="002C71A9"/>
    <w:rsid w:val="002D1C9E"/>
    <w:rsid w:val="002D2376"/>
    <w:rsid w:val="002D6E39"/>
    <w:rsid w:val="002D798E"/>
    <w:rsid w:val="002D7BF2"/>
    <w:rsid w:val="002E30FB"/>
    <w:rsid w:val="002E4DF7"/>
    <w:rsid w:val="00302C7F"/>
    <w:rsid w:val="00316D55"/>
    <w:rsid w:val="00326A08"/>
    <w:rsid w:val="003307FF"/>
    <w:rsid w:val="00337D40"/>
    <w:rsid w:val="0034363F"/>
    <w:rsid w:val="00344FAB"/>
    <w:rsid w:val="003519F5"/>
    <w:rsid w:val="00372377"/>
    <w:rsid w:val="003737DB"/>
    <w:rsid w:val="003758C0"/>
    <w:rsid w:val="00376AE7"/>
    <w:rsid w:val="00396C9D"/>
    <w:rsid w:val="00397A80"/>
    <w:rsid w:val="003A19A9"/>
    <w:rsid w:val="003A4828"/>
    <w:rsid w:val="003A56D7"/>
    <w:rsid w:val="003A6A5F"/>
    <w:rsid w:val="003B050E"/>
    <w:rsid w:val="003C4053"/>
    <w:rsid w:val="003C5AB0"/>
    <w:rsid w:val="003C70CA"/>
    <w:rsid w:val="003E0602"/>
    <w:rsid w:val="003E1894"/>
    <w:rsid w:val="003E2D77"/>
    <w:rsid w:val="00403BA5"/>
    <w:rsid w:val="004104AF"/>
    <w:rsid w:val="00410C2C"/>
    <w:rsid w:val="00413876"/>
    <w:rsid w:val="004236E6"/>
    <w:rsid w:val="00426A96"/>
    <w:rsid w:val="00431207"/>
    <w:rsid w:val="00432E9D"/>
    <w:rsid w:val="00451665"/>
    <w:rsid w:val="004526DF"/>
    <w:rsid w:val="00455B5B"/>
    <w:rsid w:val="00455FD4"/>
    <w:rsid w:val="0045766D"/>
    <w:rsid w:val="00462EB3"/>
    <w:rsid w:val="00466AF3"/>
    <w:rsid w:val="00472AD8"/>
    <w:rsid w:val="00474807"/>
    <w:rsid w:val="004754C5"/>
    <w:rsid w:val="00487FF2"/>
    <w:rsid w:val="004B0150"/>
    <w:rsid w:val="004C3C4D"/>
    <w:rsid w:val="004C57B5"/>
    <w:rsid w:val="004D55E0"/>
    <w:rsid w:val="004F1467"/>
    <w:rsid w:val="004F1F14"/>
    <w:rsid w:val="004F2E6B"/>
    <w:rsid w:val="004F6A3A"/>
    <w:rsid w:val="004F7315"/>
    <w:rsid w:val="0050191C"/>
    <w:rsid w:val="00506637"/>
    <w:rsid w:val="0050758A"/>
    <w:rsid w:val="0052081B"/>
    <w:rsid w:val="0052269B"/>
    <w:rsid w:val="00525A3F"/>
    <w:rsid w:val="005410D7"/>
    <w:rsid w:val="0054154B"/>
    <w:rsid w:val="00541D46"/>
    <w:rsid w:val="005466D9"/>
    <w:rsid w:val="005571F1"/>
    <w:rsid w:val="0056034C"/>
    <w:rsid w:val="00565C42"/>
    <w:rsid w:val="00574E39"/>
    <w:rsid w:val="005853D5"/>
    <w:rsid w:val="00586A8D"/>
    <w:rsid w:val="00590371"/>
    <w:rsid w:val="005941DC"/>
    <w:rsid w:val="005A2A33"/>
    <w:rsid w:val="005B3DDA"/>
    <w:rsid w:val="005B55C1"/>
    <w:rsid w:val="005D199D"/>
    <w:rsid w:val="005D1C48"/>
    <w:rsid w:val="005D24DE"/>
    <w:rsid w:val="005D5248"/>
    <w:rsid w:val="005D59A8"/>
    <w:rsid w:val="005E60C3"/>
    <w:rsid w:val="00620D56"/>
    <w:rsid w:val="006215AD"/>
    <w:rsid w:val="00631256"/>
    <w:rsid w:val="00643E13"/>
    <w:rsid w:val="00647B19"/>
    <w:rsid w:val="00655538"/>
    <w:rsid w:val="0065575D"/>
    <w:rsid w:val="00656367"/>
    <w:rsid w:val="006567F8"/>
    <w:rsid w:val="00656E3F"/>
    <w:rsid w:val="006604C6"/>
    <w:rsid w:val="0066541D"/>
    <w:rsid w:val="0066656C"/>
    <w:rsid w:val="006768E7"/>
    <w:rsid w:val="00687AF0"/>
    <w:rsid w:val="006915BE"/>
    <w:rsid w:val="006A7638"/>
    <w:rsid w:val="006C0098"/>
    <w:rsid w:val="006C062C"/>
    <w:rsid w:val="006C1ABC"/>
    <w:rsid w:val="006C42F5"/>
    <w:rsid w:val="006D058F"/>
    <w:rsid w:val="006D369C"/>
    <w:rsid w:val="006D7972"/>
    <w:rsid w:val="006E035C"/>
    <w:rsid w:val="006E05C9"/>
    <w:rsid w:val="006E5BC3"/>
    <w:rsid w:val="006E7E23"/>
    <w:rsid w:val="006F1CDA"/>
    <w:rsid w:val="00707B25"/>
    <w:rsid w:val="00717754"/>
    <w:rsid w:val="00734F0D"/>
    <w:rsid w:val="00744071"/>
    <w:rsid w:val="00752F4A"/>
    <w:rsid w:val="0075509E"/>
    <w:rsid w:val="007641CD"/>
    <w:rsid w:val="00772F1C"/>
    <w:rsid w:val="0077507D"/>
    <w:rsid w:val="007912C6"/>
    <w:rsid w:val="0079389D"/>
    <w:rsid w:val="007A5BBD"/>
    <w:rsid w:val="007A6643"/>
    <w:rsid w:val="007B1AA9"/>
    <w:rsid w:val="007B4E25"/>
    <w:rsid w:val="007D18F9"/>
    <w:rsid w:val="007D4F27"/>
    <w:rsid w:val="007D702A"/>
    <w:rsid w:val="007E36B2"/>
    <w:rsid w:val="007E6011"/>
    <w:rsid w:val="007F0B66"/>
    <w:rsid w:val="00800409"/>
    <w:rsid w:val="0080691A"/>
    <w:rsid w:val="0081571D"/>
    <w:rsid w:val="0083148C"/>
    <w:rsid w:val="00833931"/>
    <w:rsid w:val="0085119E"/>
    <w:rsid w:val="00857770"/>
    <w:rsid w:val="008646BC"/>
    <w:rsid w:val="0086746D"/>
    <w:rsid w:val="00881CF9"/>
    <w:rsid w:val="00885ED2"/>
    <w:rsid w:val="008925D1"/>
    <w:rsid w:val="00895CF5"/>
    <w:rsid w:val="008A3B9A"/>
    <w:rsid w:val="008A6EC2"/>
    <w:rsid w:val="008B15F1"/>
    <w:rsid w:val="008B7802"/>
    <w:rsid w:val="008C17F5"/>
    <w:rsid w:val="008D168C"/>
    <w:rsid w:val="008D53C2"/>
    <w:rsid w:val="008E3144"/>
    <w:rsid w:val="008F4A91"/>
    <w:rsid w:val="008F5158"/>
    <w:rsid w:val="00902082"/>
    <w:rsid w:val="0090376D"/>
    <w:rsid w:val="00910597"/>
    <w:rsid w:val="00912860"/>
    <w:rsid w:val="00912F25"/>
    <w:rsid w:val="00913B7D"/>
    <w:rsid w:val="00931362"/>
    <w:rsid w:val="00934CA0"/>
    <w:rsid w:val="009354EC"/>
    <w:rsid w:val="009536D0"/>
    <w:rsid w:val="00956EA8"/>
    <w:rsid w:val="0095710A"/>
    <w:rsid w:val="00961D7E"/>
    <w:rsid w:val="00970910"/>
    <w:rsid w:val="00972C5E"/>
    <w:rsid w:val="009743F1"/>
    <w:rsid w:val="009862A3"/>
    <w:rsid w:val="009940C5"/>
    <w:rsid w:val="00995210"/>
    <w:rsid w:val="00995797"/>
    <w:rsid w:val="009A2694"/>
    <w:rsid w:val="009A5B91"/>
    <w:rsid w:val="009A7113"/>
    <w:rsid w:val="009B27D3"/>
    <w:rsid w:val="009C1C63"/>
    <w:rsid w:val="009D5DED"/>
    <w:rsid w:val="009E2BFE"/>
    <w:rsid w:val="009E767A"/>
    <w:rsid w:val="009E7BCB"/>
    <w:rsid w:val="00A0005B"/>
    <w:rsid w:val="00A0427D"/>
    <w:rsid w:val="00A1241B"/>
    <w:rsid w:val="00A177AB"/>
    <w:rsid w:val="00A17C92"/>
    <w:rsid w:val="00A23D38"/>
    <w:rsid w:val="00A24195"/>
    <w:rsid w:val="00A34F23"/>
    <w:rsid w:val="00A4073E"/>
    <w:rsid w:val="00A60464"/>
    <w:rsid w:val="00A70D31"/>
    <w:rsid w:val="00A75FBE"/>
    <w:rsid w:val="00A838F1"/>
    <w:rsid w:val="00A83C02"/>
    <w:rsid w:val="00A842C0"/>
    <w:rsid w:val="00A8686C"/>
    <w:rsid w:val="00A90DC2"/>
    <w:rsid w:val="00A97EC5"/>
    <w:rsid w:val="00AA31CB"/>
    <w:rsid w:val="00AA6DEE"/>
    <w:rsid w:val="00AB0F33"/>
    <w:rsid w:val="00AB2A9E"/>
    <w:rsid w:val="00AB4927"/>
    <w:rsid w:val="00AC704D"/>
    <w:rsid w:val="00AD38C6"/>
    <w:rsid w:val="00AE7E21"/>
    <w:rsid w:val="00AF13B9"/>
    <w:rsid w:val="00AF14EF"/>
    <w:rsid w:val="00B00CEB"/>
    <w:rsid w:val="00B074EE"/>
    <w:rsid w:val="00B17519"/>
    <w:rsid w:val="00B178FA"/>
    <w:rsid w:val="00B23C5B"/>
    <w:rsid w:val="00B31041"/>
    <w:rsid w:val="00B341E4"/>
    <w:rsid w:val="00B5041F"/>
    <w:rsid w:val="00B5153C"/>
    <w:rsid w:val="00B542C8"/>
    <w:rsid w:val="00B55D87"/>
    <w:rsid w:val="00B606F2"/>
    <w:rsid w:val="00B63949"/>
    <w:rsid w:val="00B7197F"/>
    <w:rsid w:val="00B763FA"/>
    <w:rsid w:val="00B7683B"/>
    <w:rsid w:val="00B90E59"/>
    <w:rsid w:val="00BA1132"/>
    <w:rsid w:val="00BA3717"/>
    <w:rsid w:val="00BA47EB"/>
    <w:rsid w:val="00BA4F95"/>
    <w:rsid w:val="00BB0592"/>
    <w:rsid w:val="00BB0882"/>
    <w:rsid w:val="00BC144C"/>
    <w:rsid w:val="00BD4B1B"/>
    <w:rsid w:val="00BE4394"/>
    <w:rsid w:val="00BF4B68"/>
    <w:rsid w:val="00BF53F3"/>
    <w:rsid w:val="00C01EDD"/>
    <w:rsid w:val="00C01FB2"/>
    <w:rsid w:val="00C07F0D"/>
    <w:rsid w:val="00C1486C"/>
    <w:rsid w:val="00C256C0"/>
    <w:rsid w:val="00C358A0"/>
    <w:rsid w:val="00C405F6"/>
    <w:rsid w:val="00C46C7C"/>
    <w:rsid w:val="00C50748"/>
    <w:rsid w:val="00C509EA"/>
    <w:rsid w:val="00C540F4"/>
    <w:rsid w:val="00C54217"/>
    <w:rsid w:val="00C56D17"/>
    <w:rsid w:val="00C77462"/>
    <w:rsid w:val="00C80DDB"/>
    <w:rsid w:val="00C812E1"/>
    <w:rsid w:val="00C813AB"/>
    <w:rsid w:val="00C843CB"/>
    <w:rsid w:val="00C9095F"/>
    <w:rsid w:val="00C951B7"/>
    <w:rsid w:val="00C959F0"/>
    <w:rsid w:val="00C9749A"/>
    <w:rsid w:val="00C97C3B"/>
    <w:rsid w:val="00CA2E92"/>
    <w:rsid w:val="00CB6D23"/>
    <w:rsid w:val="00CC0208"/>
    <w:rsid w:val="00CC2D5B"/>
    <w:rsid w:val="00CD0ED2"/>
    <w:rsid w:val="00CD3D2F"/>
    <w:rsid w:val="00CD562E"/>
    <w:rsid w:val="00CD70E5"/>
    <w:rsid w:val="00CE21B2"/>
    <w:rsid w:val="00CE5A79"/>
    <w:rsid w:val="00CF4645"/>
    <w:rsid w:val="00D01625"/>
    <w:rsid w:val="00D052BE"/>
    <w:rsid w:val="00D07FF8"/>
    <w:rsid w:val="00D14BCC"/>
    <w:rsid w:val="00D26695"/>
    <w:rsid w:val="00D53C1B"/>
    <w:rsid w:val="00D5464D"/>
    <w:rsid w:val="00D57325"/>
    <w:rsid w:val="00D7231B"/>
    <w:rsid w:val="00D7568A"/>
    <w:rsid w:val="00D76583"/>
    <w:rsid w:val="00D80364"/>
    <w:rsid w:val="00D83E9C"/>
    <w:rsid w:val="00D85BCC"/>
    <w:rsid w:val="00D87CA9"/>
    <w:rsid w:val="00D92A3B"/>
    <w:rsid w:val="00D93051"/>
    <w:rsid w:val="00D94C87"/>
    <w:rsid w:val="00D952B2"/>
    <w:rsid w:val="00D961E6"/>
    <w:rsid w:val="00DA05ED"/>
    <w:rsid w:val="00DA7262"/>
    <w:rsid w:val="00DB36F6"/>
    <w:rsid w:val="00DB6D04"/>
    <w:rsid w:val="00DC08F8"/>
    <w:rsid w:val="00DC54F0"/>
    <w:rsid w:val="00DC56CF"/>
    <w:rsid w:val="00DD01C5"/>
    <w:rsid w:val="00DE0D56"/>
    <w:rsid w:val="00DE549D"/>
    <w:rsid w:val="00DF30A8"/>
    <w:rsid w:val="00DF70C0"/>
    <w:rsid w:val="00E05DB4"/>
    <w:rsid w:val="00E06218"/>
    <w:rsid w:val="00E114BB"/>
    <w:rsid w:val="00E17088"/>
    <w:rsid w:val="00E2566B"/>
    <w:rsid w:val="00E30BF6"/>
    <w:rsid w:val="00E45417"/>
    <w:rsid w:val="00E51E50"/>
    <w:rsid w:val="00E57D5D"/>
    <w:rsid w:val="00E602BD"/>
    <w:rsid w:val="00E64ADB"/>
    <w:rsid w:val="00E64C74"/>
    <w:rsid w:val="00E65839"/>
    <w:rsid w:val="00E813AD"/>
    <w:rsid w:val="00E875DF"/>
    <w:rsid w:val="00E90279"/>
    <w:rsid w:val="00EC356B"/>
    <w:rsid w:val="00EC4B42"/>
    <w:rsid w:val="00ED0566"/>
    <w:rsid w:val="00EE078D"/>
    <w:rsid w:val="00EE3891"/>
    <w:rsid w:val="00EE546D"/>
    <w:rsid w:val="00EE6261"/>
    <w:rsid w:val="00EF001A"/>
    <w:rsid w:val="00EF0E5A"/>
    <w:rsid w:val="00EF230B"/>
    <w:rsid w:val="00EF35FA"/>
    <w:rsid w:val="00EF63BD"/>
    <w:rsid w:val="00F1335B"/>
    <w:rsid w:val="00F26913"/>
    <w:rsid w:val="00F27D7F"/>
    <w:rsid w:val="00F320D0"/>
    <w:rsid w:val="00F32123"/>
    <w:rsid w:val="00F40B16"/>
    <w:rsid w:val="00F47098"/>
    <w:rsid w:val="00F47A41"/>
    <w:rsid w:val="00F52A63"/>
    <w:rsid w:val="00F71DD6"/>
    <w:rsid w:val="00F725BD"/>
    <w:rsid w:val="00F8133C"/>
    <w:rsid w:val="00F86926"/>
    <w:rsid w:val="00F92355"/>
    <w:rsid w:val="00FA062E"/>
    <w:rsid w:val="00FA60E1"/>
    <w:rsid w:val="00FB013D"/>
    <w:rsid w:val="00FB0EBC"/>
    <w:rsid w:val="00FB521A"/>
    <w:rsid w:val="00FB57E7"/>
    <w:rsid w:val="00FC3291"/>
    <w:rsid w:val="00FD08EE"/>
    <w:rsid w:val="00FD3F3B"/>
    <w:rsid w:val="00FD65D2"/>
    <w:rsid w:val="00FF0C20"/>
    <w:rsid w:val="00FF10D3"/>
    <w:rsid w:val="00FF5AD1"/>
    <w:rsid w:val="00FF7584"/>
    <w:rsid w:val="01176069"/>
    <w:rsid w:val="01841AD9"/>
    <w:rsid w:val="01F42225"/>
    <w:rsid w:val="035D41B7"/>
    <w:rsid w:val="03E35044"/>
    <w:rsid w:val="057551DF"/>
    <w:rsid w:val="06380C2D"/>
    <w:rsid w:val="065546FA"/>
    <w:rsid w:val="065B0DB4"/>
    <w:rsid w:val="07FA6993"/>
    <w:rsid w:val="08D47530"/>
    <w:rsid w:val="09784E53"/>
    <w:rsid w:val="0AE16324"/>
    <w:rsid w:val="0B0E051C"/>
    <w:rsid w:val="0B733CF6"/>
    <w:rsid w:val="0BC25540"/>
    <w:rsid w:val="0DAC1ABD"/>
    <w:rsid w:val="0E1D3671"/>
    <w:rsid w:val="0EF3685E"/>
    <w:rsid w:val="0F586E52"/>
    <w:rsid w:val="1052374C"/>
    <w:rsid w:val="10BD59DA"/>
    <w:rsid w:val="10EF1D90"/>
    <w:rsid w:val="1173042C"/>
    <w:rsid w:val="12503FC7"/>
    <w:rsid w:val="126604E0"/>
    <w:rsid w:val="133E0542"/>
    <w:rsid w:val="13496AD0"/>
    <w:rsid w:val="1606331B"/>
    <w:rsid w:val="1617568F"/>
    <w:rsid w:val="170840C9"/>
    <w:rsid w:val="17CC542D"/>
    <w:rsid w:val="187C2266"/>
    <w:rsid w:val="18D71869"/>
    <w:rsid w:val="19033E95"/>
    <w:rsid w:val="19300033"/>
    <w:rsid w:val="1B824AF9"/>
    <w:rsid w:val="1BAE5FB6"/>
    <w:rsid w:val="1BD05EE4"/>
    <w:rsid w:val="1C485FCA"/>
    <w:rsid w:val="1C676ADD"/>
    <w:rsid w:val="1C9603CC"/>
    <w:rsid w:val="1E465D52"/>
    <w:rsid w:val="1F8551D9"/>
    <w:rsid w:val="20980DD7"/>
    <w:rsid w:val="209E1BD1"/>
    <w:rsid w:val="20A06FFF"/>
    <w:rsid w:val="20B50AD8"/>
    <w:rsid w:val="20C66994"/>
    <w:rsid w:val="20D1684E"/>
    <w:rsid w:val="213A2E9A"/>
    <w:rsid w:val="21BE1799"/>
    <w:rsid w:val="21FE2FC9"/>
    <w:rsid w:val="22B71EAB"/>
    <w:rsid w:val="233F6264"/>
    <w:rsid w:val="23940308"/>
    <w:rsid w:val="24FD1246"/>
    <w:rsid w:val="255C5D72"/>
    <w:rsid w:val="26317C2E"/>
    <w:rsid w:val="26BD3C89"/>
    <w:rsid w:val="27036E0A"/>
    <w:rsid w:val="281E4DD3"/>
    <w:rsid w:val="2A0C2A72"/>
    <w:rsid w:val="2A2253EE"/>
    <w:rsid w:val="2A461F39"/>
    <w:rsid w:val="2CF704BC"/>
    <w:rsid w:val="2D037495"/>
    <w:rsid w:val="2DA96D2D"/>
    <w:rsid w:val="2E133D9A"/>
    <w:rsid w:val="2E260D34"/>
    <w:rsid w:val="2F7D7D2F"/>
    <w:rsid w:val="311F752F"/>
    <w:rsid w:val="321C0C74"/>
    <w:rsid w:val="332650D1"/>
    <w:rsid w:val="339961F0"/>
    <w:rsid w:val="33B006D5"/>
    <w:rsid w:val="347E5869"/>
    <w:rsid w:val="34927F86"/>
    <w:rsid w:val="34AD7C43"/>
    <w:rsid w:val="36376A9C"/>
    <w:rsid w:val="36445017"/>
    <w:rsid w:val="36F30723"/>
    <w:rsid w:val="377B0FF5"/>
    <w:rsid w:val="38DE466A"/>
    <w:rsid w:val="391207AE"/>
    <w:rsid w:val="392C3965"/>
    <w:rsid w:val="3AF17846"/>
    <w:rsid w:val="3B062CE4"/>
    <w:rsid w:val="3B471872"/>
    <w:rsid w:val="3BA11C66"/>
    <w:rsid w:val="3C770EB3"/>
    <w:rsid w:val="3D0F315F"/>
    <w:rsid w:val="3D5F2A23"/>
    <w:rsid w:val="3E6A5786"/>
    <w:rsid w:val="3EB57BCB"/>
    <w:rsid w:val="3EDF59B2"/>
    <w:rsid w:val="3F012EA9"/>
    <w:rsid w:val="3F161D6E"/>
    <w:rsid w:val="3F285F96"/>
    <w:rsid w:val="401D65AC"/>
    <w:rsid w:val="411A5BC1"/>
    <w:rsid w:val="41840B99"/>
    <w:rsid w:val="419F5DB5"/>
    <w:rsid w:val="41AA4870"/>
    <w:rsid w:val="43BB72E2"/>
    <w:rsid w:val="43F67429"/>
    <w:rsid w:val="441B32B1"/>
    <w:rsid w:val="44844C23"/>
    <w:rsid w:val="44EA4526"/>
    <w:rsid w:val="45726C48"/>
    <w:rsid w:val="47332B32"/>
    <w:rsid w:val="477E6CD0"/>
    <w:rsid w:val="47E43FFE"/>
    <w:rsid w:val="48175A4C"/>
    <w:rsid w:val="482D2B1B"/>
    <w:rsid w:val="493C6A78"/>
    <w:rsid w:val="4AA71836"/>
    <w:rsid w:val="4B191984"/>
    <w:rsid w:val="4BE04E6C"/>
    <w:rsid w:val="4C260CD6"/>
    <w:rsid w:val="4D382393"/>
    <w:rsid w:val="4D9B627B"/>
    <w:rsid w:val="4FA05156"/>
    <w:rsid w:val="512670BC"/>
    <w:rsid w:val="51AF66B1"/>
    <w:rsid w:val="51DA5E53"/>
    <w:rsid w:val="523C5982"/>
    <w:rsid w:val="5256137D"/>
    <w:rsid w:val="52693385"/>
    <w:rsid w:val="52804889"/>
    <w:rsid w:val="533E6734"/>
    <w:rsid w:val="53E041CA"/>
    <w:rsid w:val="54C22117"/>
    <w:rsid w:val="56765899"/>
    <w:rsid w:val="56EE666F"/>
    <w:rsid w:val="57417094"/>
    <w:rsid w:val="57830C8D"/>
    <w:rsid w:val="57BD4A32"/>
    <w:rsid w:val="57CF2865"/>
    <w:rsid w:val="59013D38"/>
    <w:rsid w:val="59894A08"/>
    <w:rsid w:val="59C806D4"/>
    <w:rsid w:val="5A4B1B2F"/>
    <w:rsid w:val="5A916BAF"/>
    <w:rsid w:val="5B1C5E42"/>
    <w:rsid w:val="5CBE4F25"/>
    <w:rsid w:val="5D8B722E"/>
    <w:rsid w:val="5D953FE0"/>
    <w:rsid w:val="5DDF3B7E"/>
    <w:rsid w:val="5E9A15CE"/>
    <w:rsid w:val="5FA559DA"/>
    <w:rsid w:val="5FDB2E14"/>
    <w:rsid w:val="606721D5"/>
    <w:rsid w:val="60A61921"/>
    <w:rsid w:val="611721D5"/>
    <w:rsid w:val="625E0A5E"/>
    <w:rsid w:val="62614F86"/>
    <w:rsid w:val="629A0E26"/>
    <w:rsid w:val="64DB03E4"/>
    <w:rsid w:val="654204C3"/>
    <w:rsid w:val="65DF45BB"/>
    <w:rsid w:val="660F53AE"/>
    <w:rsid w:val="668F7D8F"/>
    <w:rsid w:val="66DD25FD"/>
    <w:rsid w:val="67C7632F"/>
    <w:rsid w:val="680C4F78"/>
    <w:rsid w:val="692F7E91"/>
    <w:rsid w:val="697F5E1B"/>
    <w:rsid w:val="6981105B"/>
    <w:rsid w:val="6B1753C5"/>
    <w:rsid w:val="6BF97428"/>
    <w:rsid w:val="6D182CDF"/>
    <w:rsid w:val="6E366F74"/>
    <w:rsid w:val="6F7124FC"/>
    <w:rsid w:val="702F01E9"/>
    <w:rsid w:val="70BB4D98"/>
    <w:rsid w:val="70F974A3"/>
    <w:rsid w:val="71CA1B0B"/>
    <w:rsid w:val="72B96C74"/>
    <w:rsid w:val="72CD14C5"/>
    <w:rsid w:val="73E3171A"/>
    <w:rsid w:val="749D5023"/>
    <w:rsid w:val="74E50F8A"/>
    <w:rsid w:val="753B103F"/>
    <w:rsid w:val="754C6CA4"/>
    <w:rsid w:val="758A5270"/>
    <w:rsid w:val="758D3AD9"/>
    <w:rsid w:val="76124C3A"/>
    <w:rsid w:val="767443E1"/>
    <w:rsid w:val="76845EAC"/>
    <w:rsid w:val="77D42963"/>
    <w:rsid w:val="7B90135D"/>
    <w:rsid w:val="7BA80408"/>
    <w:rsid w:val="7C7241B9"/>
    <w:rsid w:val="7C747128"/>
    <w:rsid w:val="7D831BD0"/>
    <w:rsid w:val="7DEA02BE"/>
    <w:rsid w:val="7E206F3B"/>
    <w:rsid w:val="7E634CFD"/>
    <w:rsid w:val="7F01246C"/>
    <w:rsid w:val="7F791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spacing w:line="475" w:lineRule="exact"/>
      <w:ind w:left="1052"/>
      <w:outlineLvl w:val="2"/>
    </w:pPr>
    <w:rPr>
      <w:rFonts w:ascii="Microsoft JhengHei" w:hAnsi="Microsoft JhengHei" w:eastAsia="Microsoft JhengHei" w:cs="Microsoft JhengHei"/>
      <w:b/>
      <w:bCs/>
      <w:sz w:val="32"/>
      <w:szCs w:val="32"/>
      <w:lang w:val="en-US" w:eastAsia="en-US" w:bidi="en-US"/>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pPr>
      <w:ind w:left="408"/>
    </w:pPr>
    <w:rPr>
      <w:rFonts w:ascii="宋体" w:hAnsi="宋体" w:eastAsia="宋体" w:cs="宋体"/>
      <w:sz w:val="32"/>
      <w:szCs w:val="32"/>
      <w:lang w:val="en-US" w:eastAsia="en-US" w:bidi="en-US"/>
    </w:r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ascii="Calibri" w:hAnsi="Calibri" w:eastAsia="宋体" w:cs="Times New Roman"/>
      <w:kern w:val="0"/>
      <w:sz w:val="24"/>
      <w:szCs w:val="24"/>
    </w:rPr>
  </w:style>
  <w:style w:type="character" w:styleId="9">
    <w:name w:val="Strong"/>
    <w:basedOn w:val="8"/>
    <w:qFormat/>
    <w:uiPriority w:val="22"/>
    <w:rPr>
      <w:b/>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character" w:customStyle="1" w:styleId="15">
    <w:name w:val="批注框文本 Char"/>
    <w:basedOn w:val="8"/>
    <w:link w:val="4"/>
    <w:semiHidden/>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7">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tj.com</Company>
  <Pages>4</Pages>
  <Words>1844</Words>
  <Characters>1891</Characters>
  <Lines>14</Lines>
  <Paragraphs>4</Paragraphs>
  <TotalTime>18</TotalTime>
  <ScaleCrop>false</ScaleCrop>
  <LinksUpToDate>false</LinksUpToDate>
  <CharactersWithSpaces>1985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2022-03-01T09:49:00Z</dcterms:created>
  <dc:creator>林巧</dc:creator>
  <cp:lastModifiedBy>林巧</cp:lastModifiedBy>
  <cp:lastPrinted>2025-04-22T03:38:00Z</cp:lastPrinted>
  <dcterms:modified xsi:type="dcterms:W3CDTF">2025-04-25T09:05:27Z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E9CD4925F46E40BEB6D9D5D306452FF3</vt:lpwstr>
  </property>
</Properties>
</file>