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1EE3E">
      <w:pPr>
        <w:rPr>
          <w:rFonts w:ascii="仿宋" w:hAnsi="仿宋" w:eastAsia="仿宋"/>
          <w:sz w:val="26"/>
          <w:szCs w:val="26"/>
        </w:rPr>
      </w:pPr>
      <w:r>
        <w:rPr>
          <w:rFonts w:hint="eastAsia" w:ascii="仿宋" w:hAnsi="仿宋" w:eastAsia="仿宋"/>
          <w:sz w:val="26"/>
          <w:szCs w:val="26"/>
        </w:rPr>
        <w:t>证券代码：6</w:t>
      </w:r>
      <w:r>
        <w:rPr>
          <w:rFonts w:ascii="仿宋" w:hAnsi="仿宋" w:eastAsia="仿宋"/>
          <w:sz w:val="26"/>
          <w:szCs w:val="26"/>
        </w:rPr>
        <w:t>0</w:t>
      </w:r>
      <w:r>
        <w:rPr>
          <w:rFonts w:hint="eastAsia" w:ascii="仿宋" w:hAnsi="仿宋" w:eastAsia="仿宋"/>
          <w:sz w:val="26"/>
          <w:szCs w:val="26"/>
        </w:rPr>
        <w:t xml:space="preserve">0019 </w:t>
      </w:r>
      <w:r>
        <w:rPr>
          <w:rFonts w:ascii="仿宋" w:hAnsi="仿宋" w:eastAsia="仿宋"/>
          <w:sz w:val="26"/>
          <w:szCs w:val="26"/>
        </w:rPr>
        <w:t xml:space="preserve">                      </w:t>
      </w:r>
      <w:r>
        <w:rPr>
          <w:rFonts w:hint="eastAsia" w:ascii="仿宋" w:hAnsi="仿宋" w:eastAsia="仿宋"/>
          <w:sz w:val="26"/>
          <w:szCs w:val="26"/>
        </w:rPr>
        <w:t xml:space="preserve">证券简称：宝钢股份 </w:t>
      </w:r>
      <w:r>
        <w:rPr>
          <w:rFonts w:ascii="仿宋" w:hAnsi="仿宋" w:eastAsia="仿宋"/>
          <w:sz w:val="26"/>
          <w:szCs w:val="26"/>
        </w:rPr>
        <w:t xml:space="preserve">  </w:t>
      </w:r>
    </w:p>
    <w:p w14:paraId="70285457">
      <w:pPr>
        <w:jc w:val="center"/>
        <w:rPr>
          <w:rFonts w:ascii="仿宋" w:hAnsi="仿宋" w:eastAsia="仿宋"/>
          <w:b/>
          <w:sz w:val="26"/>
          <w:szCs w:val="26"/>
        </w:rPr>
      </w:pPr>
      <w:r>
        <w:rPr>
          <w:rFonts w:hint="eastAsia" w:ascii="仿宋" w:hAnsi="仿宋" w:eastAsia="仿宋"/>
          <w:b/>
          <w:sz w:val="26"/>
          <w:szCs w:val="26"/>
        </w:rPr>
        <w:t>宝山钢铁股份有限公司投资者关系活动记录表</w:t>
      </w:r>
    </w:p>
    <w:p w14:paraId="0F71F5DE">
      <w:pPr>
        <w:wordWrap w:val="0"/>
        <w:jc w:val="right"/>
        <w:rPr>
          <w:rFonts w:ascii="仿宋" w:hAnsi="仿宋" w:eastAsia="仿宋"/>
          <w:sz w:val="26"/>
          <w:szCs w:val="26"/>
        </w:rPr>
      </w:pPr>
      <w:r>
        <w:rPr>
          <w:rFonts w:hint="eastAsia" w:ascii="仿宋" w:hAnsi="仿宋" w:eastAsia="仿宋"/>
          <w:sz w:val="26"/>
          <w:szCs w:val="26"/>
        </w:rPr>
        <w:t>编号：2</w:t>
      </w:r>
      <w:r>
        <w:rPr>
          <w:rFonts w:ascii="仿宋" w:hAnsi="仿宋" w:eastAsia="仿宋"/>
          <w:sz w:val="26"/>
          <w:szCs w:val="26"/>
        </w:rPr>
        <w:t>02</w:t>
      </w:r>
      <w:r>
        <w:rPr>
          <w:rFonts w:hint="eastAsia" w:ascii="仿宋" w:hAnsi="仿宋" w:eastAsia="仿宋"/>
          <w:sz w:val="26"/>
          <w:szCs w:val="26"/>
          <w:lang w:val="en-US" w:eastAsia="zh-CN"/>
        </w:rPr>
        <w:t>5</w:t>
      </w:r>
      <w:r>
        <w:rPr>
          <w:rFonts w:ascii="仿宋" w:hAnsi="仿宋" w:eastAsia="仿宋"/>
          <w:sz w:val="26"/>
          <w:szCs w:val="26"/>
        </w:rPr>
        <w:t>-</w:t>
      </w:r>
      <w:r>
        <w:rPr>
          <w:rFonts w:hint="eastAsia" w:ascii="仿宋" w:hAnsi="仿宋" w:eastAsia="仿宋"/>
          <w:sz w:val="26"/>
          <w:szCs w:val="26"/>
        </w:rPr>
        <w:t>00</w:t>
      </w:r>
      <w:r>
        <w:rPr>
          <w:rFonts w:hint="eastAsia" w:ascii="仿宋" w:hAnsi="仿宋" w:eastAsia="仿宋"/>
          <w:sz w:val="26"/>
          <w:szCs w:val="26"/>
          <w:lang w:val="en-US" w:eastAsia="zh-CN"/>
        </w:rPr>
        <w:t>1</w:t>
      </w:r>
      <w:r>
        <w:rPr>
          <w:rFonts w:ascii="仿宋" w:hAnsi="仿宋" w:eastAsia="仿宋"/>
          <w:sz w:val="26"/>
          <w:szCs w:val="26"/>
        </w:rPr>
        <w:t xml:space="preserve">  </w:t>
      </w:r>
    </w:p>
    <w:tbl>
      <w:tblPr>
        <w:tblStyle w:val="9"/>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6471"/>
      </w:tblGrid>
      <w:tr w14:paraId="6E1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73F14C40">
            <w:pPr>
              <w:rPr>
                <w:rFonts w:ascii="仿宋" w:hAnsi="仿宋" w:eastAsia="仿宋" w:cs="仿宋"/>
                <w:sz w:val="26"/>
                <w:szCs w:val="26"/>
              </w:rPr>
            </w:pPr>
            <w:r>
              <w:rPr>
                <w:rFonts w:hint="eastAsia" w:ascii="仿宋" w:hAnsi="仿宋" w:eastAsia="仿宋" w:cs="仿宋"/>
                <w:sz w:val="26"/>
                <w:szCs w:val="26"/>
              </w:rPr>
              <w:t>投资者关系活动类别</w:t>
            </w:r>
          </w:p>
        </w:tc>
        <w:tc>
          <w:tcPr>
            <w:tcW w:w="6471" w:type="dxa"/>
            <w:tcBorders>
              <w:top w:val="single" w:color="auto" w:sz="12" w:space="0"/>
              <w:left w:val="single" w:color="auto" w:sz="12" w:space="0"/>
              <w:bottom w:val="single" w:color="auto" w:sz="12" w:space="0"/>
              <w:right w:val="single" w:color="auto" w:sz="12" w:space="0"/>
            </w:tcBorders>
          </w:tcPr>
          <w:p w14:paraId="0C14AF62">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特定对象调研            </w:t>
            </w:r>
            <w:r>
              <w:rPr>
                <w:rFonts w:hint="eastAsia" w:ascii="仿宋" w:hAnsi="仿宋" w:eastAsia="仿宋" w:cs="仿宋"/>
                <w:sz w:val="26"/>
                <w:szCs w:val="26"/>
              </w:rPr>
              <w:sym w:font="Wingdings 2" w:char="F0A3"/>
            </w:r>
            <w:r>
              <w:rPr>
                <w:rFonts w:hint="eastAsia" w:ascii="仿宋" w:hAnsi="仿宋" w:eastAsia="仿宋" w:cs="仿宋"/>
                <w:sz w:val="26"/>
                <w:szCs w:val="26"/>
              </w:rPr>
              <w:t>分析师会议</w:t>
            </w:r>
          </w:p>
          <w:p w14:paraId="51C55A79">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媒体采访                </w:t>
            </w:r>
            <w:r>
              <w:rPr>
                <w:rFonts w:hint="eastAsia" w:ascii="仿宋" w:hAnsi="仿宋" w:eastAsia="仿宋" w:cs="仿宋"/>
                <w:sz w:val="26"/>
                <w:szCs w:val="26"/>
              </w:rPr>
              <w:sym w:font="Wingdings 2" w:char="0052"/>
            </w:r>
            <w:r>
              <w:rPr>
                <w:rFonts w:hint="eastAsia" w:ascii="仿宋" w:hAnsi="仿宋" w:eastAsia="仿宋" w:cs="仿宋"/>
                <w:sz w:val="26"/>
                <w:szCs w:val="26"/>
              </w:rPr>
              <w:t>业绩说明会</w:t>
            </w:r>
          </w:p>
          <w:p w14:paraId="49CCB6FE">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新闻发布会              </w:t>
            </w:r>
            <w:r>
              <w:rPr>
                <w:rFonts w:hint="eastAsia" w:ascii="仿宋" w:hAnsi="仿宋" w:eastAsia="仿宋" w:cs="仿宋"/>
                <w:sz w:val="26"/>
                <w:szCs w:val="26"/>
              </w:rPr>
              <w:sym w:font="Wingdings 2" w:char="F0A3"/>
            </w:r>
            <w:r>
              <w:rPr>
                <w:rFonts w:hint="eastAsia" w:ascii="仿宋" w:hAnsi="仿宋" w:eastAsia="仿宋" w:cs="仿宋"/>
                <w:sz w:val="26"/>
                <w:szCs w:val="26"/>
              </w:rPr>
              <w:t>路演活动</w:t>
            </w:r>
          </w:p>
          <w:p w14:paraId="26F8A23D">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现场参观                </w:t>
            </w:r>
          </w:p>
          <w:p w14:paraId="5D37C79B">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其他</w:t>
            </w:r>
          </w:p>
        </w:tc>
      </w:tr>
      <w:tr w14:paraId="519E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73AFB63">
            <w:pPr>
              <w:rPr>
                <w:rFonts w:ascii="仿宋" w:hAnsi="仿宋" w:eastAsia="仿宋" w:cs="仿宋"/>
                <w:sz w:val="26"/>
                <w:szCs w:val="26"/>
              </w:rPr>
            </w:pPr>
            <w:r>
              <w:rPr>
                <w:rFonts w:hint="eastAsia" w:ascii="仿宋" w:hAnsi="仿宋" w:eastAsia="仿宋" w:cs="仿宋"/>
                <w:sz w:val="26"/>
                <w:szCs w:val="26"/>
              </w:rPr>
              <w:t>参与人员姓名</w:t>
            </w:r>
          </w:p>
        </w:tc>
        <w:tc>
          <w:tcPr>
            <w:tcW w:w="6471" w:type="dxa"/>
            <w:tcBorders>
              <w:top w:val="single" w:color="auto" w:sz="12" w:space="0"/>
              <w:left w:val="single" w:color="auto" w:sz="12" w:space="0"/>
              <w:bottom w:val="single" w:color="auto" w:sz="12" w:space="0"/>
              <w:right w:val="single" w:color="auto" w:sz="12" w:space="0"/>
            </w:tcBorders>
          </w:tcPr>
          <w:p w14:paraId="3ED27927">
            <w:pPr>
              <w:rPr>
                <w:rFonts w:hint="default" w:ascii="仿宋" w:hAnsi="仿宋" w:eastAsia="仿宋" w:cs="仿宋"/>
                <w:sz w:val="26"/>
                <w:szCs w:val="26"/>
                <w:lang w:val="en-US" w:eastAsia="zh-CN"/>
              </w:rPr>
            </w:pPr>
            <w:r>
              <w:rPr>
                <w:rFonts w:ascii="仿宋" w:hAnsi="仿宋" w:eastAsia="仿宋" w:cs="仿宋"/>
                <w:sz w:val="26"/>
                <w:szCs w:val="26"/>
              </w:rPr>
              <w:t>通过</w:t>
            </w:r>
            <w:r>
              <w:rPr>
                <w:rFonts w:hint="eastAsia" w:ascii="仿宋" w:hAnsi="仿宋" w:eastAsia="仿宋" w:cs="仿宋"/>
                <w:sz w:val="26"/>
                <w:szCs w:val="26"/>
                <w:lang w:val="en-US" w:eastAsia="zh-CN"/>
              </w:rPr>
              <w:t>全景网</w:t>
            </w:r>
            <w:r>
              <w:rPr>
                <w:rFonts w:ascii="仿宋" w:hAnsi="仿宋" w:eastAsia="仿宋" w:cs="仿宋"/>
                <w:sz w:val="26"/>
                <w:szCs w:val="26"/>
              </w:rPr>
              <w:t>平台发布</w:t>
            </w:r>
            <w:r>
              <w:rPr>
                <w:rFonts w:hint="eastAsia" w:ascii="仿宋" w:hAnsi="仿宋" w:eastAsia="仿宋" w:cs="仿宋"/>
                <w:sz w:val="26"/>
                <w:szCs w:val="26"/>
                <w:lang w:val="en-US" w:eastAsia="zh-CN"/>
              </w:rPr>
              <w:t>线上业绩说明会</w:t>
            </w:r>
          </w:p>
        </w:tc>
      </w:tr>
      <w:tr w14:paraId="6F17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80B315E">
            <w:pPr>
              <w:rPr>
                <w:rFonts w:ascii="仿宋" w:hAnsi="仿宋" w:eastAsia="仿宋" w:cs="仿宋"/>
                <w:sz w:val="26"/>
                <w:szCs w:val="26"/>
              </w:rPr>
            </w:pPr>
            <w:r>
              <w:rPr>
                <w:rFonts w:hint="eastAsia" w:ascii="仿宋" w:hAnsi="仿宋" w:eastAsia="仿宋" w:cs="仿宋"/>
                <w:sz w:val="26"/>
                <w:szCs w:val="26"/>
              </w:rPr>
              <w:t>时间</w:t>
            </w:r>
          </w:p>
        </w:tc>
        <w:tc>
          <w:tcPr>
            <w:tcW w:w="6471" w:type="dxa"/>
            <w:tcBorders>
              <w:top w:val="single" w:color="auto" w:sz="12" w:space="0"/>
              <w:left w:val="single" w:color="auto" w:sz="12" w:space="0"/>
              <w:bottom w:val="single" w:color="auto" w:sz="12" w:space="0"/>
              <w:right w:val="single" w:color="auto" w:sz="12" w:space="0"/>
            </w:tcBorders>
          </w:tcPr>
          <w:p w14:paraId="5E094E3F">
            <w:pPr>
              <w:rPr>
                <w:rFonts w:ascii="仿宋" w:hAnsi="仿宋" w:eastAsia="仿宋" w:cs="仿宋"/>
                <w:sz w:val="26"/>
                <w:szCs w:val="26"/>
              </w:rPr>
            </w:pPr>
            <w:r>
              <w:rPr>
                <w:rFonts w:hint="eastAsia" w:ascii="仿宋" w:hAnsi="仿宋" w:eastAsia="仿宋" w:cs="仿宋"/>
                <w:sz w:val="26"/>
                <w:szCs w:val="26"/>
                <w:lang w:val="en-US" w:eastAsia="zh-CN"/>
              </w:rPr>
              <w:t>4</w:t>
            </w:r>
            <w:r>
              <w:rPr>
                <w:rFonts w:ascii="仿宋" w:hAnsi="仿宋" w:eastAsia="仿宋" w:cs="仿宋"/>
                <w:sz w:val="26"/>
                <w:szCs w:val="26"/>
              </w:rPr>
              <w:t>月</w:t>
            </w:r>
            <w:r>
              <w:rPr>
                <w:rFonts w:hint="eastAsia" w:ascii="仿宋" w:hAnsi="仿宋" w:eastAsia="仿宋" w:cs="仿宋"/>
                <w:sz w:val="26"/>
                <w:szCs w:val="26"/>
                <w:lang w:val="en-US" w:eastAsia="zh-CN"/>
              </w:rPr>
              <w:t>28</w:t>
            </w:r>
            <w:r>
              <w:rPr>
                <w:rFonts w:ascii="仿宋" w:hAnsi="仿宋" w:eastAsia="仿宋" w:cs="仿宋"/>
                <w:sz w:val="26"/>
                <w:szCs w:val="26"/>
              </w:rPr>
              <w:t>日（周</w:t>
            </w:r>
            <w:r>
              <w:rPr>
                <w:rFonts w:hint="eastAsia" w:ascii="仿宋" w:hAnsi="仿宋" w:eastAsia="仿宋" w:cs="仿宋"/>
                <w:sz w:val="26"/>
                <w:szCs w:val="26"/>
                <w:lang w:val="en-US" w:eastAsia="zh-CN"/>
              </w:rPr>
              <w:t>一</w:t>
            </w:r>
            <w:r>
              <w:rPr>
                <w:rFonts w:ascii="仿宋" w:hAnsi="仿宋" w:eastAsia="仿宋" w:cs="仿宋"/>
                <w:sz w:val="26"/>
                <w:szCs w:val="26"/>
              </w:rPr>
              <w:t>）</w:t>
            </w:r>
            <w:r>
              <w:rPr>
                <w:rFonts w:hint="eastAsia" w:ascii="仿宋" w:hAnsi="仿宋" w:eastAsia="仿宋" w:cs="仿宋"/>
                <w:sz w:val="26"/>
                <w:szCs w:val="26"/>
                <w:lang w:val="en-US" w:eastAsia="zh-CN"/>
              </w:rPr>
              <w:t>上</w:t>
            </w:r>
            <w:r>
              <w:rPr>
                <w:rFonts w:ascii="仿宋" w:hAnsi="仿宋" w:eastAsia="仿宋" w:cs="仿宋"/>
                <w:sz w:val="26"/>
                <w:szCs w:val="26"/>
              </w:rPr>
              <w:t>午</w:t>
            </w:r>
            <w:r>
              <w:rPr>
                <w:rFonts w:hint="eastAsia" w:ascii="仿宋" w:hAnsi="仿宋" w:eastAsia="仿宋" w:cs="仿宋"/>
                <w:sz w:val="26"/>
                <w:szCs w:val="26"/>
                <w:lang w:val="en-US" w:eastAsia="zh-CN"/>
              </w:rPr>
              <w:t>9</w:t>
            </w:r>
            <w:r>
              <w:rPr>
                <w:rFonts w:ascii="仿宋" w:hAnsi="仿宋" w:eastAsia="仿宋" w:cs="仿宋"/>
                <w:sz w:val="26"/>
                <w:szCs w:val="26"/>
              </w:rPr>
              <w:t>:</w:t>
            </w:r>
            <w:r>
              <w:rPr>
                <w:rFonts w:hint="eastAsia" w:ascii="仿宋" w:hAnsi="仿宋" w:eastAsia="仿宋" w:cs="仿宋"/>
                <w:sz w:val="26"/>
                <w:szCs w:val="26"/>
                <w:lang w:val="en-US" w:eastAsia="zh-CN"/>
              </w:rPr>
              <w:t>3</w:t>
            </w:r>
            <w:r>
              <w:rPr>
                <w:rFonts w:ascii="仿宋" w:hAnsi="仿宋" w:eastAsia="仿宋" w:cs="仿宋"/>
                <w:sz w:val="26"/>
                <w:szCs w:val="26"/>
              </w:rPr>
              <w:t>0-1</w:t>
            </w:r>
            <w:r>
              <w:rPr>
                <w:rFonts w:hint="eastAsia" w:ascii="仿宋" w:hAnsi="仿宋" w:eastAsia="仿宋" w:cs="仿宋"/>
                <w:sz w:val="26"/>
                <w:szCs w:val="26"/>
                <w:lang w:val="en-US" w:eastAsia="zh-CN"/>
              </w:rPr>
              <w:t>1</w:t>
            </w:r>
            <w:r>
              <w:rPr>
                <w:rFonts w:hint="eastAsia" w:ascii="仿宋" w:hAnsi="仿宋" w:eastAsia="仿宋" w:cs="仿宋"/>
                <w:sz w:val="26"/>
                <w:szCs w:val="26"/>
              </w:rPr>
              <w:t>:</w:t>
            </w:r>
            <w:r>
              <w:rPr>
                <w:rFonts w:hint="eastAsia" w:ascii="仿宋" w:hAnsi="仿宋" w:eastAsia="仿宋" w:cs="仿宋"/>
                <w:sz w:val="26"/>
                <w:szCs w:val="26"/>
                <w:lang w:val="en-US" w:eastAsia="zh-CN"/>
              </w:rPr>
              <w:t>3</w:t>
            </w:r>
            <w:r>
              <w:rPr>
                <w:rFonts w:hint="eastAsia" w:ascii="仿宋" w:hAnsi="仿宋" w:eastAsia="仿宋" w:cs="仿宋"/>
                <w:sz w:val="26"/>
                <w:szCs w:val="26"/>
              </w:rPr>
              <w:t>0</w:t>
            </w:r>
          </w:p>
        </w:tc>
      </w:tr>
      <w:tr w14:paraId="0F9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6512E7E1">
            <w:pPr>
              <w:rPr>
                <w:rFonts w:ascii="仿宋" w:hAnsi="仿宋" w:eastAsia="仿宋" w:cs="仿宋"/>
                <w:sz w:val="26"/>
                <w:szCs w:val="26"/>
              </w:rPr>
            </w:pPr>
            <w:r>
              <w:rPr>
                <w:rFonts w:hint="eastAsia" w:ascii="仿宋" w:hAnsi="仿宋" w:eastAsia="仿宋" w:cs="仿宋"/>
                <w:sz w:val="26"/>
                <w:szCs w:val="26"/>
              </w:rPr>
              <w:t>地点</w:t>
            </w:r>
          </w:p>
        </w:tc>
        <w:tc>
          <w:tcPr>
            <w:tcW w:w="6471" w:type="dxa"/>
            <w:tcBorders>
              <w:top w:val="single" w:color="auto" w:sz="12" w:space="0"/>
              <w:left w:val="single" w:color="auto" w:sz="12" w:space="0"/>
              <w:bottom w:val="single" w:color="auto" w:sz="12" w:space="0"/>
              <w:right w:val="single" w:color="auto" w:sz="12" w:space="0"/>
            </w:tcBorders>
          </w:tcPr>
          <w:p w14:paraId="689EAF3E">
            <w:pPr>
              <w:jc w:val="left"/>
              <w:rPr>
                <w:rFonts w:hint="eastAsia" w:ascii="仿宋" w:hAnsi="仿宋" w:eastAsia="仿宋" w:cs="仿宋"/>
                <w:sz w:val="26"/>
                <w:szCs w:val="26"/>
              </w:rPr>
            </w:pPr>
            <w:r>
              <w:rPr>
                <w:rFonts w:hint="eastAsia" w:ascii="仿宋" w:hAnsi="仿宋" w:eastAsia="仿宋" w:cs="仿宋"/>
                <w:sz w:val="26"/>
                <w:szCs w:val="26"/>
              </w:rPr>
              <w:t>全景投资者关系互动平台</w:t>
            </w:r>
          </w:p>
          <w:p w14:paraId="78CF8B44">
            <w:pPr>
              <w:jc w:val="left"/>
              <w:rPr>
                <w:rFonts w:ascii="仿宋" w:hAnsi="仿宋" w:eastAsia="仿宋" w:cs="仿宋"/>
                <w:sz w:val="26"/>
                <w:szCs w:val="26"/>
              </w:rPr>
            </w:pPr>
            <w:r>
              <w:rPr>
                <w:rFonts w:hint="eastAsia" w:ascii="仿宋" w:hAnsi="仿宋" w:eastAsia="仿宋" w:cs="仿宋"/>
                <w:sz w:val="26"/>
                <w:szCs w:val="26"/>
              </w:rPr>
              <w:t>（网址：https://rs.p5w.net/html/144975.shtml）</w:t>
            </w:r>
          </w:p>
        </w:tc>
      </w:tr>
      <w:tr w14:paraId="20B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1D7A2BE">
            <w:pPr>
              <w:rPr>
                <w:rFonts w:ascii="仿宋" w:hAnsi="仿宋" w:eastAsia="仿宋" w:cs="仿宋"/>
                <w:sz w:val="26"/>
                <w:szCs w:val="26"/>
              </w:rPr>
            </w:pPr>
            <w:r>
              <w:rPr>
                <w:rFonts w:hint="eastAsia" w:ascii="仿宋" w:hAnsi="仿宋" w:eastAsia="仿宋" w:cs="仿宋"/>
                <w:sz w:val="26"/>
                <w:szCs w:val="26"/>
              </w:rPr>
              <w:t>上市公司接待人员姓名</w:t>
            </w:r>
          </w:p>
        </w:tc>
        <w:tc>
          <w:tcPr>
            <w:tcW w:w="6471" w:type="dxa"/>
            <w:tcBorders>
              <w:top w:val="single" w:color="auto" w:sz="12" w:space="0"/>
              <w:left w:val="single" w:color="auto" w:sz="12" w:space="0"/>
              <w:bottom w:val="single" w:color="auto" w:sz="12" w:space="0"/>
              <w:right w:val="single" w:color="auto" w:sz="12" w:space="0"/>
            </w:tcBorders>
          </w:tcPr>
          <w:p w14:paraId="475EA795">
            <w:pPr>
              <w:rPr>
                <w:rFonts w:hint="eastAsia" w:ascii="仿宋" w:hAnsi="仿宋" w:eastAsia="仿宋" w:cs="仿宋"/>
                <w:sz w:val="26"/>
                <w:szCs w:val="26"/>
              </w:rPr>
            </w:pPr>
            <w:r>
              <w:rPr>
                <w:rFonts w:hint="eastAsia" w:ascii="仿宋" w:hAnsi="仿宋" w:eastAsia="仿宋" w:cs="仿宋"/>
                <w:sz w:val="26"/>
                <w:szCs w:val="26"/>
              </w:rPr>
              <w:t>董事长</w:t>
            </w:r>
            <w:r>
              <w:rPr>
                <w:rFonts w:hint="eastAsia" w:ascii="仿宋" w:hAnsi="仿宋" w:eastAsia="仿宋" w:cs="仿宋"/>
                <w:sz w:val="26"/>
                <w:szCs w:val="26"/>
                <w:lang w:eastAsia="zh-CN"/>
              </w:rPr>
              <w:t>：</w:t>
            </w:r>
            <w:r>
              <w:rPr>
                <w:rFonts w:hint="eastAsia" w:ascii="仿宋" w:hAnsi="仿宋" w:eastAsia="仿宋" w:cs="仿宋"/>
                <w:sz w:val="26"/>
                <w:szCs w:val="26"/>
              </w:rPr>
              <w:t>邹继新</w:t>
            </w:r>
          </w:p>
          <w:p w14:paraId="7A88692D">
            <w:pPr>
              <w:rPr>
                <w:rFonts w:hint="eastAsia" w:ascii="仿宋" w:hAnsi="仿宋" w:eastAsia="仿宋" w:cs="仿宋"/>
                <w:sz w:val="26"/>
                <w:szCs w:val="26"/>
              </w:rPr>
            </w:pPr>
            <w:r>
              <w:rPr>
                <w:rFonts w:hint="eastAsia" w:ascii="仿宋" w:hAnsi="仿宋" w:eastAsia="仿宋" w:cs="仿宋"/>
                <w:sz w:val="26"/>
                <w:szCs w:val="26"/>
              </w:rPr>
              <w:t>董事、总经理</w:t>
            </w:r>
            <w:r>
              <w:rPr>
                <w:rFonts w:hint="eastAsia" w:ascii="仿宋" w:hAnsi="仿宋" w:eastAsia="仿宋" w:cs="仿宋"/>
                <w:sz w:val="26"/>
                <w:szCs w:val="26"/>
                <w:lang w:eastAsia="zh-CN"/>
              </w:rPr>
              <w:t>：</w:t>
            </w:r>
            <w:r>
              <w:rPr>
                <w:rFonts w:hint="eastAsia" w:ascii="仿宋" w:hAnsi="仿宋" w:eastAsia="仿宋" w:cs="仿宋"/>
                <w:sz w:val="26"/>
                <w:szCs w:val="26"/>
              </w:rPr>
              <w:t>刘宝军</w:t>
            </w:r>
          </w:p>
          <w:p w14:paraId="20AFAC79">
            <w:pPr>
              <w:rPr>
                <w:rFonts w:hint="eastAsia" w:ascii="仿宋" w:hAnsi="仿宋" w:eastAsia="仿宋" w:cs="仿宋"/>
                <w:sz w:val="26"/>
                <w:szCs w:val="26"/>
              </w:rPr>
            </w:pPr>
            <w:r>
              <w:rPr>
                <w:rFonts w:hint="eastAsia" w:ascii="仿宋" w:hAnsi="仿宋" w:eastAsia="仿宋" w:cs="仿宋"/>
                <w:sz w:val="26"/>
                <w:szCs w:val="26"/>
              </w:rPr>
              <w:t>独立董事</w:t>
            </w:r>
            <w:r>
              <w:rPr>
                <w:rFonts w:hint="eastAsia" w:ascii="仿宋" w:hAnsi="仿宋" w:eastAsia="仿宋" w:cs="仿宋"/>
                <w:sz w:val="26"/>
                <w:szCs w:val="26"/>
                <w:lang w:eastAsia="zh-CN"/>
              </w:rPr>
              <w:t>：</w:t>
            </w:r>
            <w:r>
              <w:rPr>
                <w:rFonts w:hint="eastAsia" w:ascii="仿宋" w:hAnsi="仿宋" w:eastAsia="仿宋" w:cs="仿宋"/>
                <w:sz w:val="26"/>
                <w:szCs w:val="26"/>
              </w:rPr>
              <w:t>谢荣</w:t>
            </w:r>
          </w:p>
          <w:p w14:paraId="182E300C">
            <w:pPr>
              <w:rPr>
                <w:rFonts w:hint="eastAsia" w:ascii="仿宋" w:hAnsi="仿宋" w:eastAsia="仿宋" w:cs="仿宋"/>
                <w:sz w:val="26"/>
                <w:szCs w:val="26"/>
              </w:rPr>
            </w:pPr>
            <w:r>
              <w:rPr>
                <w:rFonts w:hint="eastAsia" w:ascii="仿宋" w:hAnsi="仿宋" w:eastAsia="仿宋" w:cs="仿宋"/>
                <w:sz w:val="26"/>
                <w:szCs w:val="26"/>
              </w:rPr>
              <w:t>副总经理、财务总监、董事会秘书：王娟</w:t>
            </w:r>
          </w:p>
          <w:p w14:paraId="0732B39F">
            <w:pPr>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副总经理：蔡延擘</w:t>
            </w:r>
          </w:p>
        </w:tc>
      </w:tr>
      <w:tr w14:paraId="439B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580DC432">
            <w:pPr>
              <w:rPr>
                <w:rFonts w:ascii="仿宋" w:hAnsi="仿宋" w:eastAsia="仿宋" w:cs="仿宋"/>
                <w:sz w:val="26"/>
                <w:szCs w:val="26"/>
              </w:rPr>
            </w:pPr>
            <w:r>
              <w:rPr>
                <w:rFonts w:hint="eastAsia" w:ascii="仿宋" w:hAnsi="仿宋" w:eastAsia="仿宋" w:cs="仿宋"/>
                <w:sz w:val="26"/>
                <w:szCs w:val="26"/>
              </w:rPr>
              <w:t>投资者关系活动主要内容介绍</w:t>
            </w:r>
          </w:p>
        </w:tc>
        <w:tc>
          <w:tcPr>
            <w:tcW w:w="6471" w:type="dxa"/>
            <w:tcBorders>
              <w:top w:val="single" w:color="auto" w:sz="12" w:space="0"/>
              <w:left w:val="single" w:color="auto" w:sz="12" w:space="0"/>
              <w:bottom w:val="single" w:color="auto" w:sz="12" w:space="0"/>
              <w:right w:val="single" w:color="auto" w:sz="12" w:space="0"/>
            </w:tcBorders>
          </w:tcPr>
          <w:p w14:paraId="1BAFCD93">
            <w:pPr>
              <w:rPr>
                <w:rFonts w:hint="eastAsia" w:ascii="仿宋" w:hAnsi="仿宋" w:eastAsia="仿宋" w:cs="仿宋"/>
                <w:sz w:val="26"/>
                <w:szCs w:val="26"/>
              </w:rPr>
            </w:pPr>
            <w:r>
              <w:rPr>
                <w:rFonts w:hint="eastAsia" w:ascii="仿宋" w:hAnsi="仿宋" w:eastAsia="仿宋" w:cs="仿宋"/>
                <w:sz w:val="26"/>
                <w:szCs w:val="26"/>
              </w:rPr>
              <w:t>2025年4月28日，宝钢股份召开2024年度暨2025年一季度业绩说明会。董事长邹继新，董事、总经理刘宝军，独立董事谢荣，副总经理、财务总监、董事会秘书王娟，副总经理蔡延擘出席会议。</w:t>
            </w:r>
          </w:p>
          <w:p w14:paraId="44984803">
            <w:pPr>
              <w:rPr>
                <w:rFonts w:hint="eastAsia" w:ascii="仿宋" w:hAnsi="仿宋" w:eastAsia="仿宋" w:cs="仿宋"/>
                <w:sz w:val="26"/>
                <w:szCs w:val="26"/>
              </w:rPr>
            </w:pPr>
            <w:r>
              <w:rPr>
                <w:rFonts w:hint="eastAsia" w:ascii="仿宋" w:hAnsi="仿宋" w:eastAsia="仿宋" w:cs="仿宋"/>
                <w:sz w:val="26"/>
                <w:szCs w:val="26"/>
              </w:rPr>
              <w:t>董事长邹继新在会上作了发布报告，对2024年度、2025年一季度经营业绩进行全面解读，研判行业趋势，介绍全年重点工作，同时分享了公司新一轮规划及估值提升计划等内容。</w:t>
            </w:r>
          </w:p>
          <w:p w14:paraId="7A0B0165">
            <w:pPr>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问答精华：</w:t>
            </w:r>
            <w:bookmarkStart w:id="0" w:name="_GoBack"/>
            <w:bookmarkEnd w:id="0"/>
          </w:p>
          <w:p w14:paraId="2267B5AC">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问题一：请问宝钢股份近期参股马钢有限，后期的协同具体体现在哪些方面？另外，从产品结构角度，宝钢对长材有新的布局规划，与马钢有限之间在长材领域有哪些协同？</w:t>
            </w:r>
          </w:p>
          <w:p w14:paraId="094C2E9E">
            <w:pPr>
              <w:rPr>
                <w:rFonts w:hint="default" w:ascii="仿宋" w:hAnsi="仿宋" w:eastAsia="仿宋" w:cs="仿宋"/>
                <w:sz w:val="26"/>
                <w:szCs w:val="26"/>
                <w:lang w:val="en-US" w:eastAsia="zh-CN"/>
              </w:rPr>
            </w:pPr>
          </w:p>
          <w:p w14:paraId="49BF355B">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近期宝钢股份公告参股马钢有限（待马钢股份股东会审议通过），加上之前参股的山钢日照，公司控股及施加重大影响的钢铁产能基本实现了8000万吨+的战略目标，这对宝钢而言是挑战，但基于宝武整合经验及山钢日照协同实践的成效，我们对参股马钢有限充满信心。</w:t>
            </w:r>
          </w:p>
          <w:p w14:paraId="4A2F4878">
            <w:pPr>
              <w:rPr>
                <w:rFonts w:hint="default" w:ascii="仿宋" w:hAnsi="仿宋" w:eastAsia="仿宋" w:cs="仿宋"/>
                <w:sz w:val="26"/>
                <w:szCs w:val="26"/>
                <w:lang w:val="en-US" w:eastAsia="zh-CN"/>
              </w:rPr>
            </w:pPr>
          </w:p>
          <w:p w14:paraId="258C3E50">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马钢股份是中国钢铁行业历史悠久、底蕴深厚且颇具特色的企业，在型钢、车轮钢等领域处于国内领先地位，其产品与公司相比既有相似之处，也有独特品种。参股马钢有限是公司的战略选择，未来协同潜力主要体现在以下几点：一是产线效率方面，马钢有限长材产线效率有较大提升空间；二是产品质量方面，马钢有限板材质量，如汽车、硅钢、热轧等，提升潜力巨大；三是成本控制方面，马钢有限在铁成本控制上存在很大降本空间；四是管理体系方面，对标宝钢股份的管理体系，马钢有限的营销、采购等环节也有较大的优化潜力。</w:t>
            </w:r>
          </w:p>
          <w:p w14:paraId="142E6BEE">
            <w:pPr>
              <w:rPr>
                <w:rFonts w:hint="default" w:ascii="仿宋" w:hAnsi="仿宋" w:eastAsia="仿宋" w:cs="仿宋"/>
                <w:sz w:val="26"/>
                <w:szCs w:val="26"/>
                <w:lang w:val="en-US" w:eastAsia="zh-CN"/>
              </w:rPr>
            </w:pPr>
          </w:p>
          <w:p w14:paraId="568F71CB">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公司未来将重点培育精品长材产品，马钢有限也会扮演重要角色，首先是其长材装备条件良好，每年销售100万吨优质原坯，可用于风电大轴承等，若能充分发挥并开拓市场，将带来显著效益，宝钢股份有能力协助其实现；第二是其工艺流程合理，如转炉加精炼流程，相比宝山基地电炉流程更具成本优势，宝山基地电炉产线受限且设备老旧，单独发展的空间是受限的。公告发布后，宝钢股份长材的管理人员和技术人员已入驻马钢有限开展调研工作，力求快速实现协同效益。</w:t>
            </w:r>
          </w:p>
          <w:p w14:paraId="7D0BA75A">
            <w:pPr>
              <w:rPr>
                <w:rFonts w:hint="default" w:ascii="仿宋" w:hAnsi="仿宋" w:eastAsia="仿宋" w:cs="仿宋"/>
                <w:sz w:val="26"/>
                <w:szCs w:val="26"/>
                <w:lang w:val="en-US" w:eastAsia="zh-CN"/>
              </w:rPr>
            </w:pPr>
          </w:p>
          <w:p w14:paraId="20CE2F05">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问题二：近年来钢铁行业产品竞争激烈，宝钢的优势产品如汽车板等面临同行竞争及产业链降本压力，请问公司如何持续保证优势产品未来的竞争力？对这类产品是否有长期的市占率规划？</w:t>
            </w:r>
          </w:p>
          <w:p w14:paraId="3451FBC6">
            <w:pPr>
              <w:rPr>
                <w:rFonts w:hint="default" w:ascii="仿宋" w:hAnsi="仿宋" w:eastAsia="仿宋" w:cs="仿宋"/>
                <w:sz w:val="26"/>
                <w:szCs w:val="26"/>
                <w:lang w:val="en-US" w:eastAsia="zh-CN"/>
              </w:rPr>
            </w:pPr>
          </w:p>
          <w:p w14:paraId="79FB349F">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宝钢汽车板伴随中国汽车工业成长，从90年代实现国产化替代，到2000年后完成高端汽车板镀锌类进口替代，历经20余年发展，目前国内市场占有率稳定在50%-55%，在全球汽车板供应商中处于第一梯队。如今中国汽车产业进入新阶段，竞争格局发生变化，合资企业高端油车份额有所下降，自主品牌及新能源汽车份额显著上升，但宝钢汽车板凭借深厚基础仍有信心应对。</w:t>
            </w:r>
          </w:p>
          <w:p w14:paraId="5FD12270">
            <w:pPr>
              <w:rPr>
                <w:rFonts w:hint="default" w:ascii="仿宋" w:hAnsi="仿宋" w:eastAsia="仿宋" w:cs="仿宋"/>
                <w:sz w:val="26"/>
                <w:szCs w:val="26"/>
                <w:lang w:val="en-US" w:eastAsia="zh-CN"/>
              </w:rPr>
            </w:pPr>
          </w:p>
          <w:p w14:paraId="50802346">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在产品研发方面，针对新能源汽车对轻量化的需求，宝钢在高强度汽车板领域技术储备、制造能力及规模均居全球首位。同时积极拓展铝、镁等新型材料业务，去年在高端汽车铝板制造方面取得显著进展，形成全流程高端铝板制造能力，为汽车厂提供钢材与铝材组合的一揽子解决方案。</w:t>
            </w:r>
          </w:p>
          <w:p w14:paraId="1CBC9F03">
            <w:pPr>
              <w:rPr>
                <w:rFonts w:hint="default" w:ascii="仿宋" w:hAnsi="仿宋" w:eastAsia="仿宋" w:cs="仿宋"/>
                <w:sz w:val="26"/>
                <w:szCs w:val="26"/>
                <w:lang w:val="en-US" w:eastAsia="zh-CN"/>
              </w:rPr>
            </w:pPr>
          </w:p>
          <w:p w14:paraId="4668D689">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在供应链方面，公司在全国乃至全球布局加工配送中心，为汽车厂提供个性化服务，特别是在新能源汽车产业链不全的背景下，其前期介入及设计支持能力优势凸显。面对低价竞争，公司一方面正确引导市场，另一方面通过技术手段降低成本，即在不降低质量标准的前提下，通过技术优势，提升全工序制造能力的技术，把它转化成成本优势。此外，公司在智能化、数字化领域起步早、进展快，我们的智能化制造、数字化管理、数字化交付、数字化服务，在行业里面形成了比较好的优势。</w:t>
            </w:r>
          </w:p>
          <w:p w14:paraId="48F37A37">
            <w:pPr>
              <w:rPr>
                <w:rFonts w:hint="default" w:ascii="仿宋" w:hAnsi="仿宋" w:eastAsia="仿宋" w:cs="仿宋"/>
                <w:sz w:val="26"/>
                <w:szCs w:val="26"/>
                <w:lang w:val="en-US" w:eastAsia="zh-CN"/>
              </w:rPr>
            </w:pPr>
          </w:p>
          <w:p w14:paraId="18926947">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在运营机制上，公司实施产销研一体化变革，打破营销、制造、研发之间的壁垒，提升市场反应速度和服务水平。</w:t>
            </w:r>
          </w:p>
          <w:p w14:paraId="2BCCF549">
            <w:pPr>
              <w:rPr>
                <w:rFonts w:hint="default" w:ascii="仿宋" w:hAnsi="仿宋" w:eastAsia="仿宋" w:cs="仿宋"/>
                <w:sz w:val="26"/>
                <w:szCs w:val="26"/>
                <w:lang w:val="en-US" w:eastAsia="zh-CN"/>
              </w:rPr>
            </w:pPr>
          </w:p>
          <w:p w14:paraId="1CBD25BC">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汽车市场是公司战略重点，汽车板作为核心战略产品，通过多基地优势、品牌、技术、产品、效率、数字化、低碳产品及体系创新能力等多维度支撑，未来市占率只会提高不会降低，投资者可放心关注宝钢汽车用材发展。</w:t>
            </w:r>
          </w:p>
          <w:p w14:paraId="1A8E9332">
            <w:pPr>
              <w:rPr>
                <w:rFonts w:hint="default" w:ascii="仿宋" w:hAnsi="仿宋" w:eastAsia="仿宋" w:cs="仿宋"/>
                <w:sz w:val="26"/>
                <w:szCs w:val="26"/>
                <w:lang w:val="en-US" w:eastAsia="zh-CN"/>
              </w:rPr>
            </w:pPr>
          </w:p>
          <w:p w14:paraId="4E16AF74">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问题三：宝钢以90亿元获得马钢有限49%的股权，相较于净资产存在一定溢价，而目前钢铁股普遍存在破净现象，从资本市场角度看，是否买贵了？请教谢董事如何看待这个对价？</w:t>
            </w:r>
          </w:p>
          <w:p w14:paraId="1341FFD7">
            <w:pPr>
              <w:rPr>
                <w:rFonts w:hint="default" w:ascii="仿宋" w:hAnsi="仿宋" w:eastAsia="仿宋" w:cs="仿宋"/>
                <w:sz w:val="26"/>
                <w:szCs w:val="26"/>
                <w:lang w:val="en-US" w:eastAsia="zh-CN"/>
              </w:rPr>
            </w:pPr>
          </w:p>
          <w:p w14:paraId="31A7228C">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收购兼并价格至关重要。从国家层面看，提高产业集中度、建立有效市场和有序竞争是大势所趋；对中国宝武而言，此次收购旨在解决同业竞争问题；从宝钢股份角度看，旨在提升集中度，发挥多基地管理体系的效率和效益。马钢股份与宝钢股份同属中国宝武旗下子公司，此次交易是关联方之间的公平交易。从交易定价方法看，重资产行业在盈利状况波动较大的阶段，资产基础法更为合理且易被接受。从马钢股份划转至马钢有限的资产范围，主要集中在那些能够与宝钢股份现有生产线迅速产生协同效应的产品线，如板材生产线以及未来具有较大发展潜力的长材和轮轴生产线等，这样的安排有助于马钢有限轻装上阵，更加专注于其核心业务的发展。此次评估由第三方评估机构作出，账面净资产125亿经评估增至145亿，增值率16%，主要原因在于土地使用权增值，马钢历史悠久，其拥有的土地原始成本较低，另一方面就是不少固定资产经折旧后账面余值已经很低，但其状态良好，所以部分资产评估时也有一定的增值空间。横向对比2023年底宝钢股份收购山钢日照17%的溢价率，以及中信收购南钢的案例，我觉得此次宝钢股份收购马钢有限16%的溢价率是客观且公允的。</w:t>
            </w:r>
          </w:p>
          <w:p w14:paraId="042F3D08">
            <w:pPr>
              <w:rPr>
                <w:rFonts w:hint="default" w:ascii="仿宋" w:hAnsi="仿宋" w:eastAsia="仿宋" w:cs="仿宋"/>
                <w:sz w:val="26"/>
                <w:szCs w:val="26"/>
                <w:lang w:val="en-US" w:eastAsia="zh-CN"/>
              </w:rPr>
            </w:pPr>
          </w:p>
          <w:p w14:paraId="5C9AD957">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 xml:space="preserve">问题四：今年以来，全球关税壁垒日益严峻，韩国、越南等国家对中国钢材直接出口加征关税，中美贸易战也全方位影响钢材的间接出口，对下游需求造成冲击，同时还可能对汇率带来巨大不确定性，进一步加大铁矿石进口的风险敞口。请问公司如何看待上述因素的潜在影响？并计划采取哪些具体措施来应对外部环境带来的挑战？ </w:t>
            </w:r>
          </w:p>
          <w:p w14:paraId="67CD1DD5">
            <w:pPr>
              <w:rPr>
                <w:rFonts w:hint="default" w:ascii="仿宋" w:hAnsi="仿宋" w:eastAsia="仿宋" w:cs="仿宋"/>
                <w:sz w:val="26"/>
                <w:szCs w:val="26"/>
                <w:lang w:val="en-US" w:eastAsia="zh-CN"/>
              </w:rPr>
            </w:pPr>
          </w:p>
          <w:p w14:paraId="2EB1794A">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钢铁行业作为制造业的重要组成部分，我们对国家经济韧性和完整产业链优势有信心，但仍需积极应对诸多外部环境压力。美国关税政策对宝钢直接影响微乎其微，我们基本没有直接出口美国的产品，但间接出口确实受到一定影响，需要我们通过优化产品结构和提高附加值来减轻关税对利润的冲击，同时积极拓展多元化的市场，例如中国产品在欧洲等市场仍有竞争力。</w:t>
            </w:r>
          </w:p>
          <w:p w14:paraId="61115499">
            <w:pPr>
              <w:rPr>
                <w:rFonts w:hint="default" w:ascii="仿宋" w:hAnsi="仿宋" w:eastAsia="仿宋" w:cs="仿宋"/>
                <w:sz w:val="26"/>
                <w:szCs w:val="26"/>
                <w:lang w:val="en-US" w:eastAsia="zh-CN"/>
              </w:rPr>
            </w:pPr>
          </w:p>
          <w:p w14:paraId="760C2A19">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关于韩国和越南的反倾销政策，我们出口韩国的产品70%是进到保税区，30%是市场流通的，总体影响不是很大。我们出口越南的热轧也不太多，20万吨，而且关税政策和其他企业都一样，总体影响可控的。而且越南对汽车板税率方面不会有太大的增长，这个是宝钢的优势。</w:t>
            </w:r>
          </w:p>
          <w:p w14:paraId="01B62EF2">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对此，公司采取积极应对措施：一是深入分析反倾销诉讼的合理性，积极应诉并争取公平贸易环境，利用法律手段应对不正当竞争和关税政策；二是调整出口策略，优化产品结构，如增加汽车板出口、减少热轧产品出口，同时拓展“一带一路”沿线及其他新兴市场；三是关注汇率风险，宝钢主要依赖进口铁矿石作为原料，但大部分钢材是在国内销售，有一定的外汇逆差，通过适当套保业务锁定经营风险，同时减少美元融资敞口，降低汇率波动影响；四是降低库存风险，优化各渠道库存管理；五是评估客户授信风险，及时调整授信政策。宝钢在资金管理、汇率管控方面经验丰富，有专业团队负责，全方位评估和应对风险，确保公司稳健运营。</w:t>
            </w:r>
          </w:p>
          <w:p w14:paraId="09E9A4DF">
            <w:pPr>
              <w:rPr>
                <w:rFonts w:hint="default" w:ascii="仿宋" w:hAnsi="仿宋" w:eastAsia="仿宋" w:cs="仿宋"/>
                <w:sz w:val="26"/>
                <w:szCs w:val="26"/>
                <w:lang w:val="en-US" w:eastAsia="zh-CN"/>
              </w:rPr>
            </w:pPr>
          </w:p>
          <w:p w14:paraId="4BB045D3">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 xml:space="preserve">问题五：今年以来政府多次提到要反内卷，针对钢铁行业产量进行管控，之前市场有传闻要限产5000万吨，请问宝钢这边所了解到的信息是怎样的？能否对今年限产的力度和时间节点作个展望？ </w:t>
            </w:r>
          </w:p>
          <w:p w14:paraId="6ABF8DE2">
            <w:pPr>
              <w:rPr>
                <w:rFonts w:hint="default" w:ascii="仿宋" w:hAnsi="仿宋" w:eastAsia="仿宋" w:cs="仿宋"/>
                <w:sz w:val="26"/>
                <w:szCs w:val="26"/>
                <w:lang w:val="en-US" w:eastAsia="zh-CN"/>
              </w:rPr>
            </w:pPr>
          </w:p>
          <w:p w14:paraId="1516191F">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近期，由于美国关税政策的影响，钢铁下游行业如汽车、家电以及机械等行业遭受冲击，导致钢材需求的变化逐渐显现并加剧。从基本面上看，合理管控钢铁产量是必要的。自今年初以来，政府多次强调整治内卷式竞争，并在《政府工作报告》中提出了“持续实施粗钢产量调控”的方针。我们预计，相关的控产政策大概率会出台，但具体情况仍需以国家正式发布的政策文件为准。</w:t>
            </w:r>
          </w:p>
          <w:p w14:paraId="7861D3EC">
            <w:pPr>
              <w:rPr>
                <w:rFonts w:hint="default" w:ascii="仿宋" w:hAnsi="仿宋" w:eastAsia="仿宋" w:cs="仿宋"/>
                <w:sz w:val="26"/>
                <w:szCs w:val="26"/>
                <w:lang w:val="en-US" w:eastAsia="zh-CN"/>
              </w:rPr>
            </w:pPr>
          </w:p>
          <w:p w14:paraId="06146F7E">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一直以来，我们倡议相关部门应关注超低排放改造、能效标杆达标及碳排放绩效等关键领域，并采取奖优罚劣的措施。“一刀切”的做法尽管看起来能迅速见效，但从长远来看，可能会纵容“劣币驱逐良币”的现象，对钢铁行业的高质量转型不利。近期出现了不少积极的发展趋势。首先，钢铁行业已被正式纳入全国碳排放交易市场，这一举措有助于强化行业的自我约束机制。其次，《钢铁行业规范条件（2025年版）》的发布，不仅有利于资源向更具优势的企业集中，而且从长远角度出发，将推动钢铁企业的管理模式由简单的符合性评估转向分级分类管理。</w:t>
            </w:r>
          </w:p>
          <w:p w14:paraId="004CB5E5">
            <w:pPr>
              <w:rPr>
                <w:rFonts w:hint="default" w:ascii="仿宋" w:hAnsi="仿宋" w:eastAsia="仿宋" w:cs="仿宋"/>
                <w:sz w:val="26"/>
                <w:szCs w:val="26"/>
                <w:lang w:val="en-US" w:eastAsia="zh-CN"/>
              </w:rPr>
            </w:pPr>
          </w:p>
          <w:p w14:paraId="2FC659B1">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宝钢股份将严格遵守国家制度执行限产任务。作为中国宝武旗下的旗舰子公司，宝钢股份在资源分配和产能保障方面具有一定优势，宝武集团会根据竞争能力和资源分配情况优先支持宝钢股份。此外，宝钢股份实行一公司多基地模式，在应对限产时具有较大的调整空间，能够通过基地间的灵活调配实现效益最大化。基于宝武集团的整体指标优势，预计宝钢股份在2025年相比2024年将具备更好的满负荷、高效率生产条件，充分发挥差异化产品的竞争力和资产优势，实现高效化发展。</w:t>
            </w:r>
          </w:p>
          <w:p w14:paraId="15315799">
            <w:pPr>
              <w:rPr>
                <w:rFonts w:hint="default" w:ascii="仿宋" w:hAnsi="仿宋" w:eastAsia="仿宋" w:cs="仿宋"/>
                <w:sz w:val="26"/>
                <w:szCs w:val="26"/>
                <w:lang w:val="en-US" w:eastAsia="zh-CN"/>
              </w:rPr>
            </w:pPr>
          </w:p>
          <w:p w14:paraId="64AFE6BD">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问题六：广汽埃安的一款高端车上已经用上了非晶电机，用非晶材料替代无取向硅钢，根据媒体报道，一些头部的车商也做类似的研究。想请教下宝钢如何看待以及如何应对非晶材料对无取向的替代，是不是一个大趋势？</w:t>
            </w:r>
          </w:p>
          <w:p w14:paraId="37CA33C3">
            <w:pPr>
              <w:rPr>
                <w:rFonts w:hint="default" w:ascii="仿宋" w:hAnsi="仿宋" w:eastAsia="仿宋" w:cs="仿宋"/>
                <w:sz w:val="26"/>
                <w:szCs w:val="26"/>
                <w:lang w:val="en-US" w:eastAsia="zh-CN"/>
              </w:rPr>
            </w:pPr>
          </w:p>
          <w:p w14:paraId="200933A0">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非晶材料与硅钢同属软磁材料，存在一定的竞争和替代关系。非晶优势在于铁损较低，但存在诸多局限性：一是非晶材料脆性大，难以满足新能源汽车电机高速冲压的需求，且对模具磨损严重，批量应用困难；二是其饱和磁通密度低，仅为1.56特斯拉，远低于硅钢的2.06特斯拉，这意味着为了达到相同的性能，非晶电机需要更大的体积；三是主流新能源汽车硅钢厚度为0.25毫米，而非晶厚度仅为0.025毫米，制作铁芯时每单位体积的有效磁导率难以达到硅钢水平，且每片需要添加绝缘涂层，进一步增加电机尺寸；四是非晶材料磁致收缩很高，导致噪声是硅钢的5-6倍，可能会影响汽车的使用体验。尽管非晶材料在铁损方面有一定优势，但汽车电机更注重铁损、磁感应强度和机械强度的综合平衡。在相当长一段时间内，我们聚焦于把无取向新能源汽车电机用钢做得更好，比如说损耗进一步降低，强度、磁感进一步提升，这与汽车的需求是比较契合的，更高的磁感带来更好的启动性能，更高的强度带来更高的转速和更好的安全性，而铁损的降低对续航的影响并不明显，无取向硅钢在新能源汽车领域具有显著优势，短期内难以被替代，因此宝钢将继续聚焦无取向硅钢的研发和生产，提升其性能以满足市场需求。同时，我们也会持续关注非晶材料的发展。</w:t>
            </w:r>
          </w:p>
          <w:p w14:paraId="3EA45186">
            <w:pPr>
              <w:rPr>
                <w:rFonts w:hint="default" w:ascii="仿宋" w:hAnsi="仿宋" w:eastAsia="仿宋" w:cs="仿宋"/>
                <w:sz w:val="26"/>
                <w:szCs w:val="26"/>
                <w:lang w:val="en-US" w:eastAsia="zh-CN"/>
              </w:rPr>
            </w:pPr>
          </w:p>
          <w:p w14:paraId="3FCF0000">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问题七：随着超低排放改造等环保投资高峰逐渐过去，如何展望公司未来资本开支的强度？除了硅钢、汽车板等以往投入较多的产品领域，未来还有哪些投资方向？</w:t>
            </w:r>
          </w:p>
          <w:p w14:paraId="332B014C">
            <w:pPr>
              <w:rPr>
                <w:rFonts w:hint="default" w:ascii="仿宋" w:hAnsi="仿宋" w:eastAsia="仿宋" w:cs="仿宋"/>
                <w:sz w:val="26"/>
                <w:szCs w:val="26"/>
                <w:lang w:val="en-US" w:eastAsia="zh-CN"/>
              </w:rPr>
            </w:pPr>
          </w:p>
          <w:p w14:paraId="0035C4F9">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宝钢股份在资本支出方面一直保持理性，坚决控制投资风险，对于该投资的项目毫不犹豫。过去几年，我们在超低排放改造、绿色低碳发展方面投入巨大，使四个基地均达到A类企业标准，运行效果良好。在战略品种保障方面，硅钢项目投资达数百亿，目前取得的效益已覆盖投入。同时，我们也注重装备更新升级，确保设备功能精度满足产品质量和效率要求。目前，公司每年投资额度控制在合理范围内，依据折旧和净利润状况进行调整。从未来投资强度来看，随着新立项投入的减少，明年后年开始资本支出将逐渐下降，但会保持优化和变化。未来投资方向主要包括：一是核心战略产品打造，如精品长材，预计投资规模达大几十亿甚至接近百亿；二是参股企业和收购项目，如山钢日照、马钢有限的股权收购及后续现场投资，以及海外沙特项目的投资；三是绿色低碳领域，如湛江零碳示范产业建设、低成本制氢、氢气还原等研发及现场投入，其中湛江零碳示范产业建设投资约80亿；四是智慧制造方面，如人工智能硬件投入、算力中心建设等。此外，公司还将关注富氢碳循环氧气高炉减碳工艺路线在其他基地的应用及相关投入，以增强公司的核心竞争力，推动可持续发展。</w:t>
            </w:r>
          </w:p>
        </w:tc>
      </w:tr>
      <w:tr w14:paraId="0032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704A55C3">
            <w:pPr>
              <w:rPr>
                <w:rFonts w:ascii="仿宋" w:hAnsi="仿宋" w:eastAsia="仿宋" w:cs="仿宋"/>
                <w:sz w:val="26"/>
                <w:szCs w:val="26"/>
              </w:rPr>
            </w:pPr>
            <w:r>
              <w:rPr>
                <w:rFonts w:hint="eastAsia" w:ascii="仿宋" w:hAnsi="仿宋" w:eastAsia="仿宋" w:cs="仿宋"/>
                <w:sz w:val="26"/>
                <w:szCs w:val="26"/>
              </w:rPr>
              <w:t>附件清单</w:t>
            </w:r>
          </w:p>
        </w:tc>
        <w:tc>
          <w:tcPr>
            <w:tcW w:w="6471" w:type="dxa"/>
            <w:tcBorders>
              <w:top w:val="single" w:color="auto" w:sz="12" w:space="0"/>
              <w:left w:val="single" w:color="auto" w:sz="12" w:space="0"/>
              <w:bottom w:val="single" w:color="auto" w:sz="12" w:space="0"/>
              <w:right w:val="single" w:color="auto" w:sz="12" w:space="0"/>
            </w:tcBorders>
          </w:tcPr>
          <w:p w14:paraId="26C7FDB4">
            <w:pPr>
              <w:rPr>
                <w:rFonts w:ascii="仿宋" w:hAnsi="仿宋" w:eastAsia="仿宋" w:cs="仿宋"/>
                <w:sz w:val="26"/>
                <w:szCs w:val="26"/>
              </w:rPr>
            </w:pPr>
            <w:r>
              <w:rPr>
                <w:rFonts w:hint="eastAsia" w:ascii="仿宋" w:hAnsi="仿宋" w:eastAsia="仿宋" w:cs="仿宋"/>
                <w:sz w:val="26"/>
                <w:szCs w:val="26"/>
              </w:rPr>
              <w:t>无</w:t>
            </w:r>
          </w:p>
        </w:tc>
      </w:tr>
      <w:tr w14:paraId="3B46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66B400AD">
            <w:pPr>
              <w:rPr>
                <w:rFonts w:ascii="仿宋" w:hAnsi="仿宋" w:eastAsia="仿宋" w:cs="仿宋"/>
                <w:sz w:val="26"/>
                <w:szCs w:val="26"/>
              </w:rPr>
            </w:pPr>
            <w:r>
              <w:rPr>
                <w:rFonts w:hint="eastAsia" w:ascii="仿宋" w:hAnsi="仿宋" w:eastAsia="仿宋" w:cs="仿宋"/>
                <w:sz w:val="26"/>
                <w:szCs w:val="26"/>
              </w:rPr>
              <w:t>日期</w:t>
            </w:r>
          </w:p>
        </w:tc>
        <w:tc>
          <w:tcPr>
            <w:tcW w:w="6471" w:type="dxa"/>
            <w:tcBorders>
              <w:top w:val="single" w:color="auto" w:sz="12" w:space="0"/>
              <w:left w:val="single" w:color="auto" w:sz="12" w:space="0"/>
              <w:bottom w:val="single" w:color="auto" w:sz="12" w:space="0"/>
              <w:right w:val="single" w:color="auto" w:sz="12" w:space="0"/>
            </w:tcBorders>
          </w:tcPr>
          <w:p w14:paraId="66824A7C">
            <w:pPr>
              <w:rPr>
                <w:rFonts w:ascii="仿宋" w:hAnsi="仿宋" w:eastAsia="仿宋" w:cs="仿宋"/>
                <w:sz w:val="26"/>
                <w:szCs w:val="26"/>
              </w:rPr>
            </w:pPr>
            <w:r>
              <w:rPr>
                <w:rFonts w:hint="eastAsia" w:ascii="仿宋" w:hAnsi="仿宋" w:eastAsia="仿宋" w:cs="仿宋"/>
                <w:sz w:val="26"/>
                <w:szCs w:val="26"/>
              </w:rPr>
              <w:t>202</w:t>
            </w:r>
            <w:r>
              <w:rPr>
                <w:rFonts w:hint="eastAsia" w:ascii="仿宋" w:hAnsi="仿宋" w:eastAsia="仿宋" w:cs="仿宋"/>
                <w:sz w:val="26"/>
                <w:szCs w:val="26"/>
                <w:lang w:val="en-US" w:eastAsia="zh-CN"/>
              </w:rPr>
              <w:t>5</w:t>
            </w:r>
            <w:r>
              <w:rPr>
                <w:rFonts w:hint="eastAsia" w:ascii="仿宋" w:hAnsi="仿宋" w:eastAsia="仿宋" w:cs="仿宋"/>
                <w:sz w:val="26"/>
                <w:szCs w:val="26"/>
              </w:rPr>
              <w:t>年</w:t>
            </w:r>
            <w:r>
              <w:rPr>
                <w:rFonts w:hint="eastAsia" w:ascii="仿宋" w:hAnsi="仿宋" w:eastAsia="仿宋" w:cs="仿宋"/>
                <w:sz w:val="26"/>
                <w:szCs w:val="26"/>
                <w:lang w:val="en-US" w:eastAsia="zh-CN"/>
              </w:rPr>
              <w:t>4</w:t>
            </w:r>
            <w:r>
              <w:rPr>
                <w:rFonts w:hint="eastAsia" w:ascii="仿宋" w:hAnsi="仿宋" w:eastAsia="仿宋" w:cs="仿宋"/>
                <w:sz w:val="26"/>
                <w:szCs w:val="26"/>
              </w:rPr>
              <w:t>月</w:t>
            </w:r>
            <w:r>
              <w:rPr>
                <w:rFonts w:hint="eastAsia" w:ascii="仿宋" w:hAnsi="仿宋" w:eastAsia="仿宋" w:cs="仿宋"/>
                <w:sz w:val="26"/>
                <w:szCs w:val="26"/>
                <w:lang w:val="en-US" w:eastAsia="zh-CN"/>
              </w:rPr>
              <w:t>28</w:t>
            </w:r>
            <w:r>
              <w:rPr>
                <w:rFonts w:hint="eastAsia" w:ascii="仿宋" w:hAnsi="仿宋" w:eastAsia="仿宋" w:cs="仿宋"/>
                <w:sz w:val="26"/>
                <w:szCs w:val="26"/>
              </w:rPr>
              <w:t>日</w:t>
            </w:r>
          </w:p>
        </w:tc>
      </w:tr>
    </w:tbl>
    <w:p w14:paraId="3472E28C">
      <w:pPr>
        <w:rPr>
          <w:rFonts w:ascii="仿宋" w:hAnsi="仿宋" w:eastAsia="仿宋"/>
          <w:sz w:val="26"/>
          <w:szCs w:val="2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aunPenh">
    <w:altName w:val="Segoe Print"/>
    <w:panose1 w:val="00000000000000000000"/>
    <w:charset w:val="00"/>
    <w:family w:val="auto"/>
    <w:pitch w:val="default"/>
    <w:sig w:usb0="00000000" w:usb1="00000000" w:usb2="0001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256334"/>
    </w:sdtPr>
    <w:sdtEndPr>
      <w:rPr>
        <w:rFonts w:ascii="宋体" w:hAnsi="宋体" w:eastAsia="宋体"/>
      </w:rPr>
    </w:sdtEndPr>
    <w:sdtContent>
      <w:p w14:paraId="7F4F69D3">
        <w:pPr>
          <w:pStyle w:val="4"/>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14:paraId="342AEC4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NDc5NzNlNDNhM2EwNWI4YzEyMjUwMDFiZDg4YzgifQ=="/>
  </w:docVars>
  <w:rsids>
    <w:rsidRoot w:val="00BF65BF"/>
    <w:rsid w:val="000620AF"/>
    <w:rsid w:val="000922FE"/>
    <w:rsid w:val="000B0ACE"/>
    <w:rsid w:val="001207A1"/>
    <w:rsid w:val="00141562"/>
    <w:rsid w:val="0014702F"/>
    <w:rsid w:val="00156996"/>
    <w:rsid w:val="00167908"/>
    <w:rsid w:val="001913BF"/>
    <w:rsid w:val="00191A32"/>
    <w:rsid w:val="00295249"/>
    <w:rsid w:val="00295AAF"/>
    <w:rsid w:val="00296356"/>
    <w:rsid w:val="0030092D"/>
    <w:rsid w:val="00307701"/>
    <w:rsid w:val="0032048F"/>
    <w:rsid w:val="00325042"/>
    <w:rsid w:val="00331BD7"/>
    <w:rsid w:val="00393008"/>
    <w:rsid w:val="00396340"/>
    <w:rsid w:val="0044788E"/>
    <w:rsid w:val="00450EC3"/>
    <w:rsid w:val="00490A92"/>
    <w:rsid w:val="00495403"/>
    <w:rsid w:val="004B57FF"/>
    <w:rsid w:val="004E0366"/>
    <w:rsid w:val="004F6FD5"/>
    <w:rsid w:val="00500ED3"/>
    <w:rsid w:val="005135B8"/>
    <w:rsid w:val="0053540C"/>
    <w:rsid w:val="00553ECF"/>
    <w:rsid w:val="005D3B69"/>
    <w:rsid w:val="005D50C0"/>
    <w:rsid w:val="005D529A"/>
    <w:rsid w:val="005D59F4"/>
    <w:rsid w:val="00606294"/>
    <w:rsid w:val="006169AB"/>
    <w:rsid w:val="006540C3"/>
    <w:rsid w:val="006708E5"/>
    <w:rsid w:val="00681DC2"/>
    <w:rsid w:val="006B7EF2"/>
    <w:rsid w:val="006C12D8"/>
    <w:rsid w:val="006E5ECE"/>
    <w:rsid w:val="00781157"/>
    <w:rsid w:val="00790A2C"/>
    <w:rsid w:val="007C0792"/>
    <w:rsid w:val="007C6B10"/>
    <w:rsid w:val="007D4139"/>
    <w:rsid w:val="00800257"/>
    <w:rsid w:val="00803FE9"/>
    <w:rsid w:val="00821847"/>
    <w:rsid w:val="00850DCD"/>
    <w:rsid w:val="00867BFA"/>
    <w:rsid w:val="0087172A"/>
    <w:rsid w:val="008B212C"/>
    <w:rsid w:val="008C522E"/>
    <w:rsid w:val="008C6CAD"/>
    <w:rsid w:val="009079D7"/>
    <w:rsid w:val="0092527C"/>
    <w:rsid w:val="009344AA"/>
    <w:rsid w:val="00952A14"/>
    <w:rsid w:val="00965A0B"/>
    <w:rsid w:val="00970474"/>
    <w:rsid w:val="009C1C16"/>
    <w:rsid w:val="009F3A2A"/>
    <w:rsid w:val="00A017DF"/>
    <w:rsid w:val="00A05659"/>
    <w:rsid w:val="00A831F0"/>
    <w:rsid w:val="00A9252C"/>
    <w:rsid w:val="00AA3072"/>
    <w:rsid w:val="00B15B65"/>
    <w:rsid w:val="00B21E71"/>
    <w:rsid w:val="00B27CDC"/>
    <w:rsid w:val="00B33430"/>
    <w:rsid w:val="00B50A4D"/>
    <w:rsid w:val="00B70C99"/>
    <w:rsid w:val="00BF65BF"/>
    <w:rsid w:val="00C04E15"/>
    <w:rsid w:val="00C159C8"/>
    <w:rsid w:val="00C2695B"/>
    <w:rsid w:val="00C53048"/>
    <w:rsid w:val="00C656B9"/>
    <w:rsid w:val="00C668D3"/>
    <w:rsid w:val="00C745D6"/>
    <w:rsid w:val="00C7689F"/>
    <w:rsid w:val="00C842F2"/>
    <w:rsid w:val="00C91E64"/>
    <w:rsid w:val="00CA4F6D"/>
    <w:rsid w:val="00CB7BD1"/>
    <w:rsid w:val="00CF77A2"/>
    <w:rsid w:val="00CF7BCF"/>
    <w:rsid w:val="00D01246"/>
    <w:rsid w:val="00D757E5"/>
    <w:rsid w:val="00DA142E"/>
    <w:rsid w:val="00DA3B99"/>
    <w:rsid w:val="00DC4659"/>
    <w:rsid w:val="00DD63E6"/>
    <w:rsid w:val="00E52353"/>
    <w:rsid w:val="00E874A4"/>
    <w:rsid w:val="00E90499"/>
    <w:rsid w:val="00E917E9"/>
    <w:rsid w:val="00E93C30"/>
    <w:rsid w:val="00EC5D90"/>
    <w:rsid w:val="00F12661"/>
    <w:rsid w:val="00F13695"/>
    <w:rsid w:val="00F31556"/>
    <w:rsid w:val="00F40D1C"/>
    <w:rsid w:val="00F85E39"/>
    <w:rsid w:val="00F86D9F"/>
    <w:rsid w:val="00FE1EC9"/>
    <w:rsid w:val="00FE4064"/>
    <w:rsid w:val="00FF604F"/>
    <w:rsid w:val="03C8048D"/>
    <w:rsid w:val="051806EC"/>
    <w:rsid w:val="07724A47"/>
    <w:rsid w:val="0C6A6853"/>
    <w:rsid w:val="0EC5459A"/>
    <w:rsid w:val="145734CB"/>
    <w:rsid w:val="149554ED"/>
    <w:rsid w:val="14C1092D"/>
    <w:rsid w:val="19094ED0"/>
    <w:rsid w:val="1A8D5C0A"/>
    <w:rsid w:val="1AC51CDB"/>
    <w:rsid w:val="1DAE3848"/>
    <w:rsid w:val="1DBB3851"/>
    <w:rsid w:val="1EF86F80"/>
    <w:rsid w:val="22B06996"/>
    <w:rsid w:val="22B95972"/>
    <w:rsid w:val="24F07503"/>
    <w:rsid w:val="255D0D76"/>
    <w:rsid w:val="26887156"/>
    <w:rsid w:val="26F46C82"/>
    <w:rsid w:val="270903E4"/>
    <w:rsid w:val="28AD7631"/>
    <w:rsid w:val="2DF0286D"/>
    <w:rsid w:val="30266A2E"/>
    <w:rsid w:val="30BC68AB"/>
    <w:rsid w:val="314D4D8C"/>
    <w:rsid w:val="32306DF0"/>
    <w:rsid w:val="327A7498"/>
    <w:rsid w:val="38B840F7"/>
    <w:rsid w:val="39ED4C94"/>
    <w:rsid w:val="3CC47DFF"/>
    <w:rsid w:val="3D8635CE"/>
    <w:rsid w:val="43597F19"/>
    <w:rsid w:val="43CB0E23"/>
    <w:rsid w:val="4423068A"/>
    <w:rsid w:val="44A534C7"/>
    <w:rsid w:val="46E511C2"/>
    <w:rsid w:val="47D739CB"/>
    <w:rsid w:val="48147151"/>
    <w:rsid w:val="49AC1673"/>
    <w:rsid w:val="4A9D336C"/>
    <w:rsid w:val="4AF7259C"/>
    <w:rsid w:val="4F7A16A5"/>
    <w:rsid w:val="50B618F8"/>
    <w:rsid w:val="55180172"/>
    <w:rsid w:val="589D0BB5"/>
    <w:rsid w:val="58B67363"/>
    <w:rsid w:val="5EC20432"/>
    <w:rsid w:val="60E3384F"/>
    <w:rsid w:val="60F601D7"/>
    <w:rsid w:val="617A5355"/>
    <w:rsid w:val="625629DF"/>
    <w:rsid w:val="630F1D5B"/>
    <w:rsid w:val="63367425"/>
    <w:rsid w:val="6730468A"/>
    <w:rsid w:val="687673FC"/>
    <w:rsid w:val="6A4D6497"/>
    <w:rsid w:val="6CC13EB4"/>
    <w:rsid w:val="6CE8748F"/>
    <w:rsid w:val="6E4B226A"/>
    <w:rsid w:val="75C72759"/>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styleId="13">
    <w:name w:val="Placeholder Text"/>
    <w:basedOn w:val="10"/>
    <w:semiHidden/>
    <w:qFormat/>
    <w:uiPriority w:val="99"/>
    <w:rPr>
      <w:color w:val="808080"/>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rFonts w:asciiTheme="minorHAnsi" w:hAnsiTheme="minorHAnsi" w:eastAsiaTheme="minorEastAsia" w:cstheme="minorBidi"/>
      <w:b/>
      <w:bCs/>
      <w:kern w:val="2"/>
      <w:sz w:val="21"/>
      <w:szCs w:val="22"/>
    </w:rPr>
  </w:style>
  <w:style w:type="paragraph" w:styleId="19">
    <w:name w:val="List Paragraph"/>
    <w:basedOn w:val="1"/>
    <w:qFormat/>
    <w:uiPriority w:val="99"/>
    <w:pPr>
      <w:ind w:firstLine="420" w:firstLineChars="200"/>
    </w:pPr>
  </w:style>
  <w:style w:type="character" w:customStyle="1" w:styleId="20">
    <w:name w:val="批注框文本 Char"/>
    <w:basedOn w:val="10"/>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Baosteel</Company>
  <Pages>12</Pages>
  <Words>4113</Words>
  <Characters>4307</Characters>
  <Lines>50</Lines>
  <Paragraphs>14</Paragraphs>
  <TotalTime>150</TotalTime>
  <ScaleCrop>false</ScaleCrop>
  <LinksUpToDate>false</LinksUpToDate>
  <CharactersWithSpaces>4397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2023-05-29T02:39:00Z</dcterms:created>
  <dc:creator>User</dc:creator>
  <cp:lastModifiedBy>老本</cp:lastModifiedBy>
  <cp:lastPrinted>2023-09-22T08:49:00Z</cp:lastPrinted>
  <dcterms:modified xsi:type="dcterms:W3CDTF">2025-04-28T07:43:39Z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BC69DAD460DA4A73B782C5A0554F0BEF_13</vt:lpwstr>
  </property>
  <property fmtid="{D5CDD505-2E9C-101B-9397-08002B2CF9AE}" pid="4" name="KSOTemplateDocerSaveRecord">
    <vt:lpwstr>eyJoZGlkIjoiZGJkNDE2ZWQ3NjhmNTViYThiZmM0ZTA1MTgyODhjMjIiLCJ1c2VySWQiOiIxMTU4MTU3NjM3In0=</vt:lpwstr>
  </property>
</Properties>
</file>