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FDF8" w14:textId="49B259F5" w:rsidR="005675B6" w:rsidRPr="00846F70" w:rsidRDefault="007748D6" w:rsidP="007748D6">
      <w:pPr>
        <w:ind w:firstLineChars="100" w:firstLine="210"/>
        <w:rPr>
          <w:rFonts w:ascii="宋体" w:eastAsia="宋体" w:hAnsi="宋体" w:hint="eastAsia"/>
        </w:rPr>
      </w:pPr>
      <w:r w:rsidRPr="00846F70">
        <w:rPr>
          <w:rFonts w:ascii="宋体" w:eastAsia="宋体" w:hAnsi="宋体" w:hint="eastAsia"/>
        </w:rPr>
        <w:t xml:space="preserve">证券代码：601222                 </w:t>
      </w:r>
      <w:r w:rsidR="003C432D">
        <w:rPr>
          <w:rFonts w:ascii="宋体" w:eastAsia="宋体" w:hAnsi="宋体" w:hint="eastAsia"/>
        </w:rPr>
        <w:t xml:space="preserve">         </w:t>
      </w:r>
      <w:r w:rsidRPr="00846F70">
        <w:rPr>
          <w:rFonts w:ascii="宋体" w:eastAsia="宋体" w:hAnsi="宋体" w:hint="eastAsia"/>
        </w:rPr>
        <w:t xml:space="preserve">          </w:t>
      </w:r>
      <w:r w:rsidR="00846F70" w:rsidRPr="00846F70">
        <w:rPr>
          <w:rFonts w:ascii="宋体" w:eastAsia="宋体" w:hAnsi="宋体" w:hint="eastAsia"/>
        </w:rPr>
        <w:t xml:space="preserve">   </w:t>
      </w:r>
      <w:r w:rsidRPr="00846F70">
        <w:rPr>
          <w:rFonts w:ascii="宋体" w:eastAsia="宋体" w:hAnsi="宋体" w:hint="eastAsia"/>
        </w:rPr>
        <w:t xml:space="preserve">  证券简称：林洋能源</w:t>
      </w:r>
    </w:p>
    <w:p w14:paraId="558732F9" w14:textId="77777777" w:rsidR="00846F70" w:rsidRDefault="007748D6" w:rsidP="00846F70">
      <w:pPr>
        <w:spacing w:beforeLines="50" w:before="156"/>
        <w:jc w:val="center"/>
        <w:rPr>
          <w:b/>
          <w:sz w:val="28"/>
          <w:szCs w:val="28"/>
        </w:rPr>
      </w:pPr>
      <w:r w:rsidRPr="00822ED6">
        <w:rPr>
          <w:rFonts w:hint="eastAsia"/>
          <w:b/>
          <w:sz w:val="28"/>
          <w:szCs w:val="28"/>
        </w:rPr>
        <w:t>江苏林洋能源股份有限公司</w:t>
      </w:r>
    </w:p>
    <w:p w14:paraId="1466F960" w14:textId="52C0B4DD" w:rsidR="007748D6" w:rsidRPr="00822ED6" w:rsidRDefault="00846F70" w:rsidP="00F05682">
      <w:pPr>
        <w:spacing w:afterLines="50" w:after="156"/>
        <w:jc w:val="center"/>
        <w:rPr>
          <w:b/>
          <w:sz w:val="28"/>
          <w:szCs w:val="28"/>
        </w:rPr>
      </w:pPr>
      <w:r w:rsidRPr="00846F70">
        <w:rPr>
          <w:rFonts w:hint="eastAsia"/>
          <w:b/>
          <w:sz w:val="28"/>
          <w:szCs w:val="28"/>
        </w:rPr>
        <w:t>投资者关系活动记录</w:t>
      </w:r>
      <w:r w:rsidR="007748D6" w:rsidRPr="00822ED6">
        <w:rPr>
          <w:rFonts w:hint="eastAsia"/>
          <w:b/>
          <w:sz w:val="28"/>
          <w:szCs w:val="28"/>
        </w:rPr>
        <w:t>表</w:t>
      </w:r>
    </w:p>
    <w:tbl>
      <w:tblPr>
        <w:tblStyle w:val="a3"/>
        <w:tblW w:w="0" w:type="auto"/>
        <w:tblLook w:val="04A0" w:firstRow="1" w:lastRow="0" w:firstColumn="1" w:lastColumn="0" w:noHBand="0" w:noVBand="1"/>
      </w:tblPr>
      <w:tblGrid>
        <w:gridCol w:w="1764"/>
        <w:gridCol w:w="6532"/>
      </w:tblGrid>
      <w:tr w:rsidR="007748D6" w:rsidRPr="00822ED6" w14:paraId="2F411F46" w14:textId="77777777" w:rsidTr="00763AF0">
        <w:trPr>
          <w:trHeight w:val="1865"/>
        </w:trPr>
        <w:tc>
          <w:tcPr>
            <w:tcW w:w="1809" w:type="dxa"/>
            <w:vAlign w:val="center"/>
          </w:tcPr>
          <w:p w14:paraId="4D79891A" w14:textId="77777777" w:rsidR="007748D6" w:rsidRPr="00822ED6" w:rsidRDefault="007748D6" w:rsidP="007748D6">
            <w:r w:rsidRPr="00822ED6">
              <w:rPr>
                <w:rFonts w:hint="eastAsia"/>
              </w:rPr>
              <w:t>投资者来访类别</w:t>
            </w:r>
          </w:p>
        </w:tc>
        <w:tc>
          <w:tcPr>
            <w:tcW w:w="6713" w:type="dxa"/>
            <w:vAlign w:val="center"/>
          </w:tcPr>
          <w:p w14:paraId="4A8D913F" w14:textId="77777777" w:rsidR="00E60262" w:rsidRPr="00822ED6" w:rsidRDefault="00520968" w:rsidP="00F05682">
            <w:pPr>
              <w:spacing w:beforeLines="50" w:before="156" w:afterLines="50" w:after="156"/>
              <w:jc w:val="left"/>
              <w:rPr>
                <w:sz w:val="24"/>
                <w:szCs w:val="24"/>
              </w:rPr>
            </w:pPr>
            <w:r w:rsidRPr="00822ED6">
              <w:rPr>
                <w:rFonts w:hint="eastAsia"/>
                <w:sz w:val="24"/>
                <w:szCs w:val="24"/>
              </w:rPr>
              <w:sym w:font="Wingdings" w:char="F06F"/>
            </w:r>
            <w:r w:rsidR="007748D6" w:rsidRPr="00822ED6">
              <w:rPr>
                <w:rFonts w:hint="eastAsia"/>
                <w:sz w:val="24"/>
                <w:szCs w:val="24"/>
              </w:rPr>
              <w:t>特定对象调研</w:t>
            </w:r>
            <w:r w:rsidR="007748D6" w:rsidRPr="00822ED6">
              <w:rPr>
                <w:rFonts w:hint="eastAsia"/>
                <w:sz w:val="24"/>
                <w:szCs w:val="24"/>
              </w:rPr>
              <w:t xml:space="preserve">   </w:t>
            </w:r>
            <w:r w:rsidR="00E60262" w:rsidRPr="00822ED6">
              <w:rPr>
                <w:rFonts w:hint="eastAsia"/>
                <w:sz w:val="24"/>
                <w:szCs w:val="24"/>
              </w:rPr>
              <w:t xml:space="preserve">    </w:t>
            </w:r>
            <w:r w:rsidR="008F4C5B" w:rsidRPr="00822ED6">
              <w:rPr>
                <w:rFonts w:hint="eastAsia"/>
                <w:sz w:val="24"/>
                <w:szCs w:val="24"/>
              </w:rPr>
              <w:sym w:font="Wingdings" w:char="F06F"/>
            </w:r>
            <w:r w:rsidR="00003E13" w:rsidRPr="00822ED6">
              <w:rPr>
                <w:rFonts w:hint="eastAsia"/>
                <w:sz w:val="24"/>
                <w:szCs w:val="24"/>
              </w:rPr>
              <w:t>联合调研</w:t>
            </w:r>
          </w:p>
          <w:p w14:paraId="3409FFD2" w14:textId="77777777" w:rsidR="00E60262" w:rsidRPr="00822ED6" w:rsidRDefault="007748D6" w:rsidP="00F05682">
            <w:pPr>
              <w:spacing w:beforeLines="50" w:before="156" w:afterLines="50" w:after="156"/>
              <w:jc w:val="left"/>
              <w:rPr>
                <w:sz w:val="24"/>
                <w:szCs w:val="24"/>
              </w:rPr>
            </w:pPr>
            <w:r w:rsidRPr="00822ED6">
              <w:rPr>
                <w:rFonts w:hint="eastAsia"/>
                <w:sz w:val="24"/>
                <w:szCs w:val="24"/>
              </w:rPr>
              <w:sym w:font="Wingdings" w:char="F06F"/>
            </w:r>
            <w:r w:rsidRPr="00822ED6">
              <w:rPr>
                <w:rFonts w:hint="eastAsia"/>
                <w:sz w:val="24"/>
                <w:szCs w:val="24"/>
              </w:rPr>
              <w:t>媒体采访</w:t>
            </w:r>
            <w:r w:rsidRPr="00822ED6">
              <w:rPr>
                <w:rFonts w:hint="eastAsia"/>
                <w:sz w:val="24"/>
                <w:szCs w:val="24"/>
              </w:rPr>
              <w:t xml:space="preserve">       </w:t>
            </w:r>
            <w:r w:rsidR="00E60262" w:rsidRPr="00822ED6">
              <w:rPr>
                <w:rFonts w:hint="eastAsia"/>
                <w:sz w:val="24"/>
                <w:szCs w:val="24"/>
              </w:rPr>
              <w:t xml:space="preserve">    </w:t>
            </w:r>
            <w:r w:rsidR="006058FA" w:rsidRPr="00822ED6">
              <w:rPr>
                <w:rFonts w:hint="eastAsia"/>
                <w:sz w:val="24"/>
                <w:szCs w:val="24"/>
              </w:rPr>
              <w:sym w:font="Wingdings" w:char="F06F"/>
            </w:r>
            <w:r w:rsidR="00E25F1C" w:rsidRPr="00822ED6">
              <w:rPr>
                <w:rFonts w:hint="eastAsia"/>
                <w:sz w:val="24"/>
                <w:szCs w:val="24"/>
              </w:rPr>
              <w:t>现场</w:t>
            </w:r>
            <w:r w:rsidRPr="00822ED6">
              <w:rPr>
                <w:rFonts w:hint="eastAsia"/>
                <w:sz w:val="24"/>
                <w:szCs w:val="24"/>
              </w:rPr>
              <w:t>业绩说明会</w:t>
            </w:r>
          </w:p>
          <w:p w14:paraId="7EA7DE45" w14:textId="77777777" w:rsidR="00E60262" w:rsidRPr="00822ED6" w:rsidRDefault="007748D6" w:rsidP="00F05682">
            <w:pPr>
              <w:spacing w:beforeLines="50" w:before="156" w:afterLines="50" w:after="156"/>
              <w:jc w:val="left"/>
              <w:rPr>
                <w:sz w:val="24"/>
                <w:szCs w:val="24"/>
              </w:rPr>
            </w:pPr>
            <w:r w:rsidRPr="00822ED6">
              <w:rPr>
                <w:rFonts w:hint="eastAsia"/>
                <w:sz w:val="24"/>
                <w:szCs w:val="24"/>
              </w:rPr>
              <w:sym w:font="Wingdings" w:char="F06F"/>
            </w:r>
            <w:r w:rsidRPr="00822ED6">
              <w:rPr>
                <w:rFonts w:hint="eastAsia"/>
                <w:sz w:val="24"/>
                <w:szCs w:val="24"/>
              </w:rPr>
              <w:t>新闻发布会</w:t>
            </w:r>
            <w:r w:rsidRPr="00822ED6">
              <w:rPr>
                <w:rFonts w:hint="eastAsia"/>
                <w:sz w:val="24"/>
                <w:szCs w:val="24"/>
              </w:rPr>
              <w:t xml:space="preserve">     </w:t>
            </w:r>
            <w:r w:rsidR="00E60262" w:rsidRPr="00822ED6">
              <w:rPr>
                <w:rFonts w:hint="eastAsia"/>
                <w:sz w:val="24"/>
                <w:szCs w:val="24"/>
              </w:rPr>
              <w:t xml:space="preserve">    </w:t>
            </w:r>
            <w:r w:rsidR="007B0ABB" w:rsidRPr="00822ED6">
              <w:rPr>
                <w:rFonts w:hint="eastAsia"/>
                <w:sz w:val="24"/>
                <w:szCs w:val="24"/>
              </w:rPr>
              <w:sym w:font="Wingdings" w:char="F06F"/>
            </w:r>
            <w:r w:rsidRPr="00822ED6">
              <w:rPr>
                <w:rFonts w:hint="eastAsia"/>
                <w:sz w:val="24"/>
                <w:szCs w:val="24"/>
              </w:rPr>
              <w:t>现场参观</w:t>
            </w:r>
          </w:p>
          <w:p w14:paraId="09070C1C" w14:textId="77777777" w:rsidR="00E60262" w:rsidRPr="00822ED6" w:rsidRDefault="00C841B6" w:rsidP="00F05682">
            <w:pPr>
              <w:spacing w:beforeLines="50" w:before="156" w:afterLines="50" w:after="156"/>
              <w:jc w:val="left"/>
              <w:rPr>
                <w:sz w:val="24"/>
                <w:szCs w:val="24"/>
              </w:rPr>
            </w:pPr>
            <w:r w:rsidRPr="00822ED6">
              <w:rPr>
                <w:rFonts w:hint="eastAsia"/>
                <w:sz w:val="24"/>
                <w:szCs w:val="24"/>
              </w:rPr>
              <w:sym w:font="Wingdings" w:char="F06F"/>
            </w:r>
            <w:r w:rsidR="007748D6" w:rsidRPr="00822ED6">
              <w:rPr>
                <w:rFonts w:hint="eastAsia"/>
                <w:sz w:val="24"/>
                <w:szCs w:val="24"/>
              </w:rPr>
              <w:t>一对一沟通</w:t>
            </w:r>
          </w:p>
          <w:p w14:paraId="6E683834" w14:textId="77777777" w:rsidR="00E60262" w:rsidRPr="00822ED6" w:rsidRDefault="008F4C5B" w:rsidP="00F05682">
            <w:pPr>
              <w:spacing w:beforeLines="50" w:before="156" w:afterLines="50" w:after="156"/>
              <w:jc w:val="left"/>
              <w:rPr>
                <w:sz w:val="24"/>
                <w:szCs w:val="24"/>
              </w:rPr>
            </w:pPr>
            <w:r w:rsidRPr="00822ED6">
              <w:rPr>
                <w:rFonts w:hint="eastAsia"/>
                <w:sz w:val="24"/>
                <w:szCs w:val="24"/>
              </w:rPr>
              <w:sym w:font="Wingdings" w:char="F06E"/>
            </w:r>
            <w:r w:rsidR="00FA1680" w:rsidRPr="00822ED6">
              <w:rPr>
                <w:rFonts w:hint="eastAsia"/>
                <w:sz w:val="24"/>
                <w:szCs w:val="24"/>
              </w:rPr>
              <w:t>电话会议</w:t>
            </w:r>
          </w:p>
        </w:tc>
      </w:tr>
      <w:tr w:rsidR="007748D6" w:rsidRPr="00822ED6" w14:paraId="36A9352D" w14:textId="77777777" w:rsidTr="004A1E7F">
        <w:trPr>
          <w:trHeight w:val="860"/>
        </w:trPr>
        <w:tc>
          <w:tcPr>
            <w:tcW w:w="1809" w:type="dxa"/>
            <w:vAlign w:val="center"/>
          </w:tcPr>
          <w:p w14:paraId="705987FC" w14:textId="77777777" w:rsidR="004E7BDA" w:rsidRDefault="008F4C5B" w:rsidP="004E7BDA">
            <w:pPr>
              <w:jc w:val="center"/>
            </w:pPr>
            <w:r w:rsidRPr="00822ED6">
              <w:rPr>
                <w:rFonts w:hint="eastAsia"/>
              </w:rPr>
              <w:t>参会</w:t>
            </w:r>
            <w:r w:rsidR="00E60262" w:rsidRPr="00822ED6">
              <w:rPr>
                <w:rFonts w:hint="eastAsia"/>
              </w:rPr>
              <w:t>单位名称</w:t>
            </w:r>
          </w:p>
          <w:p w14:paraId="35C2BA4B" w14:textId="77777777" w:rsidR="007748D6" w:rsidRPr="00822ED6" w:rsidRDefault="00E60262" w:rsidP="004E7BDA">
            <w:pPr>
              <w:jc w:val="center"/>
            </w:pPr>
            <w:r w:rsidRPr="00822ED6">
              <w:rPr>
                <w:rFonts w:hint="eastAsia"/>
              </w:rPr>
              <w:t>及人员姓名</w:t>
            </w:r>
          </w:p>
        </w:tc>
        <w:tc>
          <w:tcPr>
            <w:tcW w:w="6713" w:type="dxa"/>
            <w:vAlign w:val="center"/>
          </w:tcPr>
          <w:p w14:paraId="49D6207D" w14:textId="4780F6D0" w:rsidR="00BC7FE8" w:rsidRPr="00822ED6" w:rsidRDefault="00507E3D" w:rsidP="001A2BA1">
            <w:r>
              <w:rPr>
                <w:rFonts w:hint="eastAsia"/>
              </w:rPr>
              <w:t>东兴基金、格林基金</w:t>
            </w:r>
            <w:r w:rsidR="001A2BA1">
              <w:rPr>
                <w:rFonts w:hint="eastAsia"/>
              </w:rPr>
              <w:t>、</w:t>
            </w:r>
            <w:r>
              <w:rPr>
                <w:rFonts w:hint="eastAsia"/>
              </w:rPr>
              <w:t>万家基金</w:t>
            </w:r>
            <w:r w:rsidR="001A2BA1">
              <w:rPr>
                <w:rFonts w:hint="eastAsia"/>
              </w:rPr>
              <w:t>、</w:t>
            </w:r>
            <w:r>
              <w:rPr>
                <w:rFonts w:hint="eastAsia"/>
              </w:rPr>
              <w:t>玄元私募基金</w:t>
            </w:r>
            <w:r w:rsidR="001A2BA1">
              <w:rPr>
                <w:rFonts w:hint="eastAsia"/>
              </w:rPr>
              <w:t>、</w:t>
            </w:r>
            <w:r>
              <w:rPr>
                <w:rFonts w:hint="eastAsia"/>
              </w:rPr>
              <w:t>鸿运私募</w:t>
            </w:r>
            <w:r w:rsidR="001A2BA1">
              <w:rPr>
                <w:rFonts w:hint="eastAsia"/>
              </w:rPr>
              <w:t>、</w:t>
            </w:r>
            <w:r>
              <w:rPr>
                <w:rFonts w:hint="eastAsia"/>
              </w:rPr>
              <w:t>深圳市尚诚资产管理</w:t>
            </w:r>
            <w:r w:rsidR="001A2BA1">
              <w:rPr>
                <w:rFonts w:hint="eastAsia"/>
              </w:rPr>
              <w:t>、</w:t>
            </w:r>
            <w:r>
              <w:rPr>
                <w:rFonts w:hint="eastAsia"/>
              </w:rPr>
              <w:t>上海涌融私募基金</w:t>
            </w:r>
            <w:r w:rsidR="001A2BA1">
              <w:rPr>
                <w:rFonts w:hint="eastAsia"/>
              </w:rPr>
              <w:t>、</w:t>
            </w:r>
            <w:r>
              <w:rPr>
                <w:rFonts w:hint="eastAsia"/>
              </w:rPr>
              <w:t>深圳市前海唐融资本</w:t>
            </w:r>
            <w:r w:rsidR="001A2BA1">
              <w:rPr>
                <w:rFonts w:hint="eastAsia"/>
              </w:rPr>
              <w:t>、</w:t>
            </w:r>
            <w:r>
              <w:rPr>
                <w:rFonts w:hint="eastAsia"/>
              </w:rPr>
              <w:t>深圳创富兆业金融</w:t>
            </w:r>
            <w:r w:rsidR="001A2BA1">
              <w:rPr>
                <w:rFonts w:hint="eastAsia"/>
              </w:rPr>
              <w:t>、</w:t>
            </w:r>
            <w:r>
              <w:rPr>
                <w:rFonts w:hint="eastAsia"/>
              </w:rPr>
              <w:t>深圳中天汇富基金</w:t>
            </w:r>
            <w:r w:rsidR="001A2BA1">
              <w:rPr>
                <w:rFonts w:hint="eastAsia"/>
              </w:rPr>
              <w:t>、</w:t>
            </w:r>
            <w:r>
              <w:rPr>
                <w:rFonts w:hint="eastAsia"/>
              </w:rPr>
              <w:t>北京橡果资产</w:t>
            </w:r>
            <w:r w:rsidR="001A2BA1">
              <w:rPr>
                <w:rFonts w:hint="eastAsia"/>
              </w:rPr>
              <w:t>、</w:t>
            </w:r>
            <w:r>
              <w:rPr>
                <w:rFonts w:hint="eastAsia"/>
              </w:rPr>
              <w:t>广东正圆私募基金</w:t>
            </w:r>
            <w:r w:rsidR="001A2BA1">
              <w:rPr>
                <w:rFonts w:hint="eastAsia"/>
              </w:rPr>
              <w:t>、</w:t>
            </w:r>
            <w:r>
              <w:rPr>
                <w:rFonts w:hint="eastAsia"/>
              </w:rPr>
              <w:t>上海秋阳予梁投资</w:t>
            </w:r>
            <w:r w:rsidR="001A2BA1">
              <w:rPr>
                <w:rFonts w:hint="eastAsia"/>
              </w:rPr>
              <w:t>、</w:t>
            </w:r>
            <w:r>
              <w:rPr>
                <w:rFonts w:hint="eastAsia"/>
              </w:rPr>
              <w:t>海南羊角私募基金</w:t>
            </w:r>
            <w:r w:rsidR="001A2BA1">
              <w:rPr>
                <w:rFonts w:hint="eastAsia"/>
              </w:rPr>
              <w:t>、</w:t>
            </w:r>
            <w:r>
              <w:rPr>
                <w:rFonts w:hint="eastAsia"/>
              </w:rPr>
              <w:t>中新融创资本</w:t>
            </w:r>
            <w:r w:rsidR="001A2BA1">
              <w:rPr>
                <w:rFonts w:hint="eastAsia"/>
              </w:rPr>
              <w:t>、</w:t>
            </w:r>
            <w:r>
              <w:rPr>
                <w:rFonts w:hint="eastAsia"/>
              </w:rPr>
              <w:t>上海云门投资</w:t>
            </w:r>
            <w:r w:rsidR="001A2BA1">
              <w:rPr>
                <w:rFonts w:hint="eastAsia"/>
              </w:rPr>
              <w:t>、</w:t>
            </w:r>
            <w:r>
              <w:rPr>
                <w:rFonts w:hint="eastAsia"/>
              </w:rPr>
              <w:t>上海嘉世私募基金</w:t>
            </w:r>
            <w:r w:rsidR="001A2BA1">
              <w:rPr>
                <w:rFonts w:hint="eastAsia"/>
              </w:rPr>
              <w:t>、</w:t>
            </w:r>
            <w:r>
              <w:rPr>
                <w:rFonts w:hint="eastAsia"/>
              </w:rPr>
              <w:t>上海天猊投资</w:t>
            </w:r>
            <w:r w:rsidR="001A2BA1">
              <w:rPr>
                <w:rFonts w:hint="eastAsia"/>
              </w:rPr>
              <w:t>、</w:t>
            </w:r>
            <w:r>
              <w:rPr>
                <w:rFonts w:hint="eastAsia"/>
              </w:rPr>
              <w:t>复通</w:t>
            </w:r>
            <w:r>
              <w:rPr>
                <w:rFonts w:hint="eastAsia"/>
              </w:rPr>
              <w:t>(</w:t>
            </w:r>
            <w:r>
              <w:rPr>
                <w:rFonts w:hint="eastAsia"/>
              </w:rPr>
              <w:t>山东</w:t>
            </w:r>
            <w:r>
              <w:rPr>
                <w:rFonts w:hint="eastAsia"/>
              </w:rPr>
              <w:t>)</w:t>
            </w:r>
            <w:r>
              <w:rPr>
                <w:rFonts w:hint="eastAsia"/>
              </w:rPr>
              <w:t>私募投资基金</w:t>
            </w:r>
            <w:r w:rsidR="001A2BA1">
              <w:rPr>
                <w:rFonts w:hint="eastAsia"/>
              </w:rPr>
              <w:t>、</w:t>
            </w:r>
            <w:r>
              <w:rPr>
                <w:rFonts w:hint="eastAsia"/>
              </w:rPr>
              <w:t>珠海德若私募基金</w:t>
            </w:r>
            <w:r w:rsidR="001A2BA1">
              <w:rPr>
                <w:rFonts w:hint="eastAsia"/>
              </w:rPr>
              <w:t>、</w:t>
            </w:r>
            <w:r>
              <w:rPr>
                <w:rFonts w:hint="eastAsia"/>
              </w:rPr>
              <w:t>阳光保险集团</w:t>
            </w:r>
            <w:r w:rsidR="001A2BA1">
              <w:rPr>
                <w:rFonts w:hint="eastAsia"/>
              </w:rPr>
              <w:t>、</w:t>
            </w:r>
            <w:r>
              <w:rPr>
                <w:rFonts w:hint="eastAsia"/>
              </w:rPr>
              <w:t>建信保险资产管理</w:t>
            </w:r>
            <w:r w:rsidR="001A2BA1">
              <w:rPr>
                <w:rFonts w:hint="eastAsia"/>
              </w:rPr>
              <w:t>、</w:t>
            </w:r>
            <w:r>
              <w:rPr>
                <w:rFonts w:hint="eastAsia"/>
              </w:rPr>
              <w:t>上海东方证券资产管理</w:t>
            </w:r>
            <w:r w:rsidR="001A2BA1">
              <w:rPr>
                <w:rFonts w:hint="eastAsia"/>
              </w:rPr>
              <w:t>、</w:t>
            </w:r>
            <w:r>
              <w:rPr>
                <w:rFonts w:hint="eastAsia"/>
              </w:rPr>
              <w:t>东吴证券</w:t>
            </w:r>
            <w:r w:rsidR="001A2BA1">
              <w:rPr>
                <w:rFonts w:hint="eastAsia"/>
              </w:rPr>
              <w:t>、</w:t>
            </w:r>
            <w:r>
              <w:rPr>
                <w:rFonts w:hint="eastAsia"/>
              </w:rPr>
              <w:t>太平洋证券</w:t>
            </w:r>
            <w:r w:rsidR="001A2BA1">
              <w:rPr>
                <w:rFonts w:hint="eastAsia"/>
              </w:rPr>
              <w:t>、</w:t>
            </w:r>
            <w:r>
              <w:rPr>
                <w:rFonts w:hint="eastAsia"/>
              </w:rPr>
              <w:t>中航证券</w:t>
            </w:r>
            <w:r w:rsidR="001A2BA1">
              <w:rPr>
                <w:rFonts w:hint="eastAsia"/>
              </w:rPr>
              <w:t>、</w:t>
            </w:r>
            <w:r>
              <w:rPr>
                <w:rFonts w:hint="eastAsia"/>
              </w:rPr>
              <w:t>中国国际金融</w:t>
            </w:r>
            <w:r w:rsidR="001A2BA1">
              <w:rPr>
                <w:rFonts w:hint="eastAsia"/>
              </w:rPr>
              <w:t>、</w:t>
            </w:r>
            <w:r>
              <w:rPr>
                <w:rFonts w:hint="eastAsia"/>
              </w:rPr>
              <w:t>天风证券</w:t>
            </w:r>
            <w:r w:rsidR="001A2BA1">
              <w:rPr>
                <w:rFonts w:hint="eastAsia"/>
              </w:rPr>
              <w:t>、</w:t>
            </w:r>
            <w:r>
              <w:rPr>
                <w:rFonts w:hint="eastAsia"/>
              </w:rPr>
              <w:t>中银国际证券</w:t>
            </w:r>
            <w:r w:rsidR="001A2BA1">
              <w:rPr>
                <w:rFonts w:hint="eastAsia"/>
              </w:rPr>
              <w:t>、</w:t>
            </w:r>
            <w:r>
              <w:rPr>
                <w:rFonts w:hint="eastAsia"/>
              </w:rPr>
              <w:t>兴业证券</w:t>
            </w:r>
            <w:r w:rsidR="001A2BA1">
              <w:rPr>
                <w:rFonts w:hint="eastAsia"/>
              </w:rPr>
              <w:t>、</w:t>
            </w:r>
            <w:r>
              <w:rPr>
                <w:rFonts w:hint="eastAsia"/>
              </w:rPr>
              <w:t>方正证券</w:t>
            </w:r>
            <w:r w:rsidR="001A2BA1">
              <w:rPr>
                <w:rFonts w:hint="eastAsia"/>
              </w:rPr>
              <w:t>、</w:t>
            </w:r>
            <w:r>
              <w:rPr>
                <w:rFonts w:hint="eastAsia"/>
              </w:rPr>
              <w:t>华泰证券</w:t>
            </w:r>
            <w:r w:rsidR="001A2BA1">
              <w:rPr>
                <w:rFonts w:hint="eastAsia"/>
              </w:rPr>
              <w:t>、</w:t>
            </w:r>
            <w:r>
              <w:rPr>
                <w:rFonts w:hint="eastAsia"/>
              </w:rPr>
              <w:t>海通证券</w:t>
            </w:r>
            <w:r w:rsidR="001A2BA1">
              <w:rPr>
                <w:rFonts w:hint="eastAsia"/>
              </w:rPr>
              <w:t>、</w:t>
            </w:r>
            <w:r>
              <w:rPr>
                <w:rFonts w:hint="eastAsia"/>
              </w:rPr>
              <w:t>国金证券</w:t>
            </w:r>
            <w:r w:rsidR="001A2BA1">
              <w:rPr>
                <w:rFonts w:hint="eastAsia"/>
              </w:rPr>
              <w:t>、</w:t>
            </w:r>
            <w:r>
              <w:rPr>
                <w:rFonts w:hint="eastAsia"/>
              </w:rPr>
              <w:t>华创证券</w:t>
            </w:r>
            <w:r w:rsidR="001A2BA1">
              <w:rPr>
                <w:rFonts w:hint="eastAsia"/>
              </w:rPr>
              <w:t>、</w:t>
            </w:r>
            <w:r>
              <w:rPr>
                <w:rFonts w:hint="eastAsia"/>
              </w:rPr>
              <w:t>华安证券</w:t>
            </w:r>
            <w:r w:rsidR="001A2BA1">
              <w:rPr>
                <w:rFonts w:hint="eastAsia"/>
              </w:rPr>
              <w:t>、</w:t>
            </w:r>
            <w:r>
              <w:rPr>
                <w:rFonts w:hint="eastAsia"/>
              </w:rPr>
              <w:t>浙商证券</w:t>
            </w:r>
            <w:r w:rsidR="001A2BA1">
              <w:rPr>
                <w:rFonts w:hint="eastAsia"/>
              </w:rPr>
              <w:t>、</w:t>
            </w:r>
            <w:r>
              <w:rPr>
                <w:rFonts w:hint="eastAsia"/>
              </w:rPr>
              <w:t>长江证券</w:t>
            </w:r>
            <w:r w:rsidR="001A2BA1">
              <w:rPr>
                <w:rFonts w:hint="eastAsia"/>
              </w:rPr>
              <w:t>、</w:t>
            </w:r>
            <w:r>
              <w:rPr>
                <w:rFonts w:hint="eastAsia"/>
              </w:rPr>
              <w:t>东北证券</w:t>
            </w:r>
            <w:r w:rsidR="001A2BA1">
              <w:rPr>
                <w:rFonts w:hint="eastAsia"/>
              </w:rPr>
              <w:t>、</w:t>
            </w:r>
            <w:r>
              <w:rPr>
                <w:rFonts w:hint="eastAsia"/>
              </w:rPr>
              <w:t>西部证券</w:t>
            </w:r>
            <w:r w:rsidR="001A2BA1">
              <w:rPr>
                <w:rFonts w:hint="eastAsia"/>
              </w:rPr>
              <w:t>、</w:t>
            </w:r>
            <w:r>
              <w:rPr>
                <w:rFonts w:hint="eastAsia"/>
              </w:rPr>
              <w:t>国泰海通证券</w:t>
            </w:r>
            <w:r w:rsidR="001A2BA1">
              <w:rPr>
                <w:rFonts w:hint="eastAsia"/>
              </w:rPr>
              <w:t>、</w:t>
            </w:r>
            <w:r>
              <w:rPr>
                <w:rFonts w:hint="eastAsia"/>
              </w:rPr>
              <w:t>中泰证券</w:t>
            </w:r>
            <w:r w:rsidR="001A2BA1">
              <w:rPr>
                <w:rFonts w:hint="eastAsia"/>
              </w:rPr>
              <w:t>、</w:t>
            </w:r>
            <w:r>
              <w:rPr>
                <w:rFonts w:hint="eastAsia"/>
              </w:rPr>
              <w:t>广发证券</w:t>
            </w:r>
            <w:r w:rsidR="001A2BA1">
              <w:rPr>
                <w:rFonts w:hint="eastAsia"/>
              </w:rPr>
              <w:t>、</w:t>
            </w:r>
            <w:r>
              <w:rPr>
                <w:rFonts w:hint="eastAsia"/>
              </w:rPr>
              <w:t>华福证券</w:t>
            </w:r>
            <w:r w:rsidR="001A2BA1">
              <w:rPr>
                <w:rFonts w:hint="eastAsia"/>
              </w:rPr>
              <w:t>、</w:t>
            </w:r>
            <w:r>
              <w:rPr>
                <w:rFonts w:hint="eastAsia"/>
              </w:rPr>
              <w:t>华鑫证券</w:t>
            </w:r>
            <w:r w:rsidR="001A2BA1">
              <w:rPr>
                <w:rFonts w:hint="eastAsia"/>
              </w:rPr>
              <w:t>、</w:t>
            </w:r>
            <w:r>
              <w:rPr>
                <w:rFonts w:hint="eastAsia"/>
              </w:rPr>
              <w:t>光大证券</w:t>
            </w:r>
            <w:r w:rsidR="001A2BA1">
              <w:rPr>
                <w:rFonts w:hint="eastAsia"/>
              </w:rPr>
              <w:t>、</w:t>
            </w:r>
            <w:r>
              <w:rPr>
                <w:rFonts w:hint="eastAsia"/>
              </w:rPr>
              <w:t>财通证券</w:t>
            </w:r>
            <w:r w:rsidR="001A2BA1">
              <w:rPr>
                <w:rFonts w:hint="eastAsia"/>
              </w:rPr>
              <w:t>、</w:t>
            </w:r>
            <w:r>
              <w:rPr>
                <w:rFonts w:hint="eastAsia"/>
              </w:rPr>
              <w:t>德国商业银行</w:t>
            </w:r>
            <w:r w:rsidR="001A2BA1">
              <w:rPr>
                <w:rFonts w:hint="eastAsia"/>
              </w:rPr>
              <w:t>、</w:t>
            </w:r>
            <w:r>
              <w:rPr>
                <w:rFonts w:hint="eastAsia"/>
              </w:rPr>
              <w:t>深圳进门财经科技</w:t>
            </w:r>
            <w:r w:rsidR="001A2BA1">
              <w:rPr>
                <w:rFonts w:hint="eastAsia"/>
              </w:rPr>
              <w:t>、</w:t>
            </w:r>
            <w:r>
              <w:rPr>
                <w:rFonts w:hint="eastAsia"/>
              </w:rPr>
              <w:t>上海度势投资</w:t>
            </w:r>
            <w:r w:rsidR="001A2BA1">
              <w:rPr>
                <w:rFonts w:hint="eastAsia"/>
              </w:rPr>
              <w:t>、</w:t>
            </w:r>
            <w:r>
              <w:rPr>
                <w:rFonts w:hint="eastAsia"/>
              </w:rPr>
              <w:t>北京中泽控股集团</w:t>
            </w:r>
            <w:r w:rsidR="001A2BA1">
              <w:rPr>
                <w:rFonts w:hint="eastAsia"/>
              </w:rPr>
              <w:t>、</w:t>
            </w:r>
            <w:r>
              <w:rPr>
                <w:rFonts w:hint="eastAsia"/>
              </w:rPr>
              <w:t>青岛中航赛维</w:t>
            </w:r>
            <w:r w:rsidR="001A2BA1">
              <w:rPr>
                <w:rFonts w:hint="eastAsia"/>
              </w:rPr>
              <w:t>、</w:t>
            </w:r>
            <w:r>
              <w:rPr>
                <w:rFonts w:hint="eastAsia"/>
              </w:rPr>
              <w:t>上海证券报社</w:t>
            </w:r>
            <w:r w:rsidR="001A2BA1">
              <w:rPr>
                <w:rFonts w:hint="eastAsia"/>
              </w:rPr>
              <w:t>、</w:t>
            </w:r>
            <w:r>
              <w:rPr>
                <w:rFonts w:hint="eastAsia"/>
              </w:rPr>
              <w:t>上海昭云投资</w:t>
            </w:r>
            <w:r w:rsidR="001A2BA1">
              <w:rPr>
                <w:rFonts w:hint="eastAsia"/>
              </w:rPr>
              <w:t>、</w:t>
            </w:r>
            <w:r>
              <w:rPr>
                <w:rFonts w:hint="eastAsia"/>
              </w:rPr>
              <w:t>果行育德管理咨询</w:t>
            </w:r>
            <w:r w:rsidR="001A2BA1">
              <w:rPr>
                <w:rFonts w:hint="eastAsia"/>
              </w:rPr>
              <w:t>、</w:t>
            </w:r>
            <w:r>
              <w:rPr>
                <w:rFonts w:hint="eastAsia"/>
              </w:rPr>
              <w:t>上海瓦琉企业管理咨询</w:t>
            </w:r>
            <w:r w:rsidR="001A2BA1">
              <w:rPr>
                <w:rFonts w:hint="eastAsia"/>
              </w:rPr>
              <w:t>、</w:t>
            </w:r>
            <w:r>
              <w:rPr>
                <w:rFonts w:hint="eastAsia"/>
              </w:rPr>
              <w:t>三峡资本控股</w:t>
            </w:r>
            <w:r w:rsidR="001A2BA1">
              <w:rPr>
                <w:rFonts w:hint="eastAsia"/>
              </w:rPr>
              <w:t>、</w:t>
            </w:r>
            <w:r>
              <w:rPr>
                <w:rFonts w:hint="eastAsia"/>
              </w:rPr>
              <w:t>君义振华</w:t>
            </w:r>
            <w:r>
              <w:rPr>
                <w:rFonts w:hint="eastAsia"/>
              </w:rPr>
              <w:t>(</w:t>
            </w:r>
            <w:r>
              <w:rPr>
                <w:rFonts w:hint="eastAsia"/>
              </w:rPr>
              <w:t>北京</w:t>
            </w:r>
            <w:r>
              <w:rPr>
                <w:rFonts w:hint="eastAsia"/>
              </w:rPr>
              <w:t>)</w:t>
            </w:r>
            <w:r>
              <w:rPr>
                <w:rFonts w:hint="eastAsia"/>
              </w:rPr>
              <w:t>管理咨询</w:t>
            </w:r>
            <w:r w:rsidR="001A2BA1">
              <w:rPr>
                <w:rFonts w:hint="eastAsia"/>
              </w:rPr>
              <w:t>、</w:t>
            </w:r>
            <w:r>
              <w:rPr>
                <w:rFonts w:hint="eastAsia"/>
              </w:rPr>
              <w:t>建信金融资产投资</w:t>
            </w:r>
            <w:r w:rsidR="001A2BA1">
              <w:rPr>
                <w:rFonts w:hint="eastAsia"/>
              </w:rPr>
              <w:t>、</w:t>
            </w:r>
            <w:r>
              <w:t>FuziTea</w:t>
            </w:r>
            <w:r w:rsidRPr="00507E3D">
              <w:rPr>
                <w:rFonts w:hint="eastAsia"/>
              </w:rPr>
              <w:t>等机构投资者及分析师</w:t>
            </w:r>
            <w:r w:rsidR="003C432D" w:rsidRPr="003C432D">
              <w:rPr>
                <w:rFonts w:hint="eastAsia"/>
              </w:rPr>
              <w:t>（排名不分先后）</w:t>
            </w:r>
          </w:p>
        </w:tc>
      </w:tr>
      <w:tr w:rsidR="007748D6" w:rsidRPr="00822ED6" w14:paraId="7988F5A5" w14:textId="77777777" w:rsidTr="00F025D7">
        <w:trPr>
          <w:trHeight w:val="454"/>
        </w:trPr>
        <w:tc>
          <w:tcPr>
            <w:tcW w:w="1809" w:type="dxa"/>
            <w:vAlign w:val="center"/>
          </w:tcPr>
          <w:p w14:paraId="1469CA0E" w14:textId="77777777" w:rsidR="007748D6" w:rsidRPr="00822ED6" w:rsidRDefault="00E60262" w:rsidP="004E7BDA">
            <w:pPr>
              <w:jc w:val="center"/>
            </w:pPr>
            <w:r w:rsidRPr="00822ED6">
              <w:rPr>
                <w:rFonts w:hint="eastAsia"/>
              </w:rPr>
              <w:t>时间</w:t>
            </w:r>
          </w:p>
        </w:tc>
        <w:tc>
          <w:tcPr>
            <w:tcW w:w="6713" w:type="dxa"/>
            <w:vAlign w:val="center"/>
          </w:tcPr>
          <w:p w14:paraId="3979323C" w14:textId="67684F92" w:rsidR="007748D6" w:rsidRPr="00286994" w:rsidRDefault="00E60262" w:rsidP="00E91404">
            <w:pPr>
              <w:rPr>
                <w:rFonts w:ascii="宋体" w:eastAsia="宋体" w:hAnsi="宋体" w:hint="eastAsia"/>
              </w:rPr>
            </w:pPr>
            <w:r w:rsidRPr="00286994">
              <w:rPr>
                <w:rFonts w:ascii="宋体" w:eastAsia="宋体" w:hAnsi="宋体" w:hint="eastAsia"/>
              </w:rPr>
              <w:t>20</w:t>
            </w:r>
            <w:r w:rsidR="00846F70" w:rsidRPr="00286994">
              <w:rPr>
                <w:rFonts w:ascii="宋体" w:eastAsia="宋体" w:hAnsi="宋体" w:hint="eastAsia"/>
              </w:rPr>
              <w:t>25</w:t>
            </w:r>
            <w:r w:rsidRPr="00286994">
              <w:rPr>
                <w:rFonts w:ascii="宋体" w:eastAsia="宋体" w:hAnsi="宋体" w:hint="eastAsia"/>
              </w:rPr>
              <w:t>年</w:t>
            </w:r>
            <w:r w:rsidR="00846F70" w:rsidRPr="00286994">
              <w:rPr>
                <w:rFonts w:ascii="宋体" w:eastAsia="宋体" w:hAnsi="宋体" w:hint="eastAsia"/>
              </w:rPr>
              <w:t>4</w:t>
            </w:r>
            <w:r w:rsidRPr="00286994">
              <w:rPr>
                <w:rFonts w:ascii="宋体" w:eastAsia="宋体" w:hAnsi="宋体" w:hint="eastAsia"/>
              </w:rPr>
              <w:t>月</w:t>
            </w:r>
            <w:r w:rsidR="008F4C5B" w:rsidRPr="00286994">
              <w:rPr>
                <w:rFonts w:ascii="宋体" w:eastAsia="宋体" w:hAnsi="宋体" w:hint="eastAsia"/>
              </w:rPr>
              <w:t>2</w:t>
            </w:r>
            <w:r w:rsidR="00E25F1C" w:rsidRPr="00286994">
              <w:rPr>
                <w:rFonts w:ascii="宋体" w:eastAsia="宋体" w:hAnsi="宋体" w:hint="eastAsia"/>
              </w:rPr>
              <w:t>6</w:t>
            </w:r>
            <w:r w:rsidRPr="00286994">
              <w:rPr>
                <w:rFonts w:ascii="宋体" w:eastAsia="宋体" w:hAnsi="宋体" w:hint="eastAsia"/>
              </w:rPr>
              <w:t>日</w:t>
            </w:r>
          </w:p>
        </w:tc>
      </w:tr>
      <w:tr w:rsidR="007748D6" w:rsidRPr="00822ED6" w14:paraId="2CCE3B15" w14:textId="77777777" w:rsidTr="00F025D7">
        <w:trPr>
          <w:trHeight w:val="454"/>
        </w:trPr>
        <w:tc>
          <w:tcPr>
            <w:tcW w:w="1809" w:type="dxa"/>
            <w:vAlign w:val="center"/>
          </w:tcPr>
          <w:p w14:paraId="1644B095" w14:textId="77777777" w:rsidR="007748D6" w:rsidRPr="00822ED6" w:rsidRDefault="00E60262" w:rsidP="004E7BDA">
            <w:pPr>
              <w:jc w:val="center"/>
            </w:pPr>
            <w:r w:rsidRPr="00822ED6">
              <w:rPr>
                <w:rFonts w:hint="eastAsia"/>
              </w:rPr>
              <w:t>地点</w:t>
            </w:r>
          </w:p>
        </w:tc>
        <w:tc>
          <w:tcPr>
            <w:tcW w:w="6713" w:type="dxa"/>
            <w:vAlign w:val="center"/>
          </w:tcPr>
          <w:p w14:paraId="6436FE7F" w14:textId="77777777" w:rsidR="007748D6" w:rsidRPr="00822ED6" w:rsidRDefault="00570394" w:rsidP="007748D6">
            <w:r w:rsidRPr="00822ED6">
              <w:rPr>
                <w:rFonts w:hint="eastAsia"/>
              </w:rPr>
              <w:t>上海</w:t>
            </w:r>
          </w:p>
        </w:tc>
      </w:tr>
      <w:tr w:rsidR="00570394" w:rsidRPr="00822ED6" w14:paraId="2D2F0EE5" w14:textId="77777777" w:rsidTr="00F025D7">
        <w:trPr>
          <w:trHeight w:val="454"/>
        </w:trPr>
        <w:tc>
          <w:tcPr>
            <w:tcW w:w="1809" w:type="dxa"/>
            <w:vAlign w:val="center"/>
          </w:tcPr>
          <w:p w14:paraId="7EBD7283" w14:textId="77777777" w:rsidR="00570394" w:rsidRPr="00822ED6" w:rsidRDefault="00570394" w:rsidP="004E7BDA">
            <w:pPr>
              <w:jc w:val="center"/>
            </w:pPr>
            <w:r w:rsidRPr="00822ED6">
              <w:rPr>
                <w:rFonts w:hint="eastAsia"/>
              </w:rPr>
              <w:t>上市公司</w:t>
            </w:r>
          </w:p>
          <w:p w14:paraId="44DEFC48" w14:textId="77777777" w:rsidR="00570394" w:rsidRPr="00822ED6" w:rsidRDefault="00570394" w:rsidP="004E7BDA">
            <w:pPr>
              <w:jc w:val="center"/>
            </w:pPr>
            <w:r w:rsidRPr="00822ED6">
              <w:rPr>
                <w:rFonts w:hint="eastAsia"/>
              </w:rPr>
              <w:t>接待人员</w:t>
            </w:r>
          </w:p>
        </w:tc>
        <w:tc>
          <w:tcPr>
            <w:tcW w:w="6713" w:type="dxa"/>
            <w:vAlign w:val="center"/>
          </w:tcPr>
          <w:p w14:paraId="2F3B2AFD" w14:textId="77777777" w:rsidR="00507E3D" w:rsidRPr="000A4023" w:rsidRDefault="00286994" w:rsidP="00E25F1C">
            <w:pPr>
              <w:rPr>
                <w:rFonts w:ascii="宋体" w:eastAsia="宋体" w:hAnsi="宋体" w:hint="eastAsia"/>
              </w:rPr>
            </w:pPr>
            <w:r w:rsidRPr="000A4023">
              <w:rPr>
                <w:rFonts w:ascii="宋体" w:eastAsia="宋体" w:hAnsi="宋体" w:hint="eastAsia"/>
              </w:rPr>
              <w:t>林洋能源董事长陆永华先生</w:t>
            </w:r>
          </w:p>
          <w:p w14:paraId="7608EDC8" w14:textId="77777777" w:rsidR="00507E3D" w:rsidRPr="000A4023" w:rsidRDefault="00286994" w:rsidP="00E25F1C">
            <w:pPr>
              <w:rPr>
                <w:rFonts w:ascii="宋体" w:eastAsia="宋体" w:hAnsi="宋体" w:hint="eastAsia"/>
              </w:rPr>
            </w:pPr>
            <w:r w:rsidRPr="000A4023">
              <w:rPr>
                <w:rFonts w:ascii="宋体" w:eastAsia="宋体" w:hAnsi="宋体" w:hint="eastAsia"/>
              </w:rPr>
              <w:t>副董事长陆丹青女士</w:t>
            </w:r>
          </w:p>
          <w:p w14:paraId="787F537D" w14:textId="6A015BFE" w:rsidR="00507E3D" w:rsidRPr="000A4023" w:rsidRDefault="00286994" w:rsidP="00E25F1C">
            <w:pPr>
              <w:rPr>
                <w:rFonts w:ascii="宋体" w:eastAsia="宋体" w:hAnsi="宋体" w:hint="eastAsia"/>
              </w:rPr>
            </w:pPr>
            <w:r w:rsidRPr="000A4023">
              <w:rPr>
                <w:rFonts w:ascii="宋体" w:eastAsia="宋体" w:hAnsi="宋体" w:hint="eastAsia"/>
              </w:rPr>
              <w:t>CF</w:t>
            </w:r>
            <w:r w:rsidR="00755F21">
              <w:rPr>
                <w:rFonts w:ascii="宋体" w:eastAsia="宋体" w:hAnsi="宋体" w:hint="eastAsia"/>
              </w:rPr>
              <w:t>O</w:t>
            </w:r>
            <w:r w:rsidRPr="000A4023">
              <w:rPr>
                <w:rFonts w:ascii="宋体" w:eastAsia="宋体" w:hAnsi="宋体" w:hint="eastAsia"/>
              </w:rPr>
              <w:t>周辉先生</w:t>
            </w:r>
          </w:p>
          <w:p w14:paraId="3DA836BC" w14:textId="7BCE99BE" w:rsidR="00507E3D" w:rsidRPr="000A4023" w:rsidRDefault="00286994" w:rsidP="00E25F1C">
            <w:pPr>
              <w:rPr>
                <w:rFonts w:ascii="宋体" w:eastAsia="宋体" w:hAnsi="宋体" w:hint="eastAsia"/>
              </w:rPr>
            </w:pPr>
            <w:r w:rsidRPr="000A4023">
              <w:rPr>
                <w:rFonts w:ascii="宋体" w:eastAsia="宋体" w:hAnsi="宋体" w:hint="eastAsia"/>
              </w:rPr>
              <w:t>董事会秘书崔东旭先生</w:t>
            </w:r>
          </w:p>
          <w:p w14:paraId="57B75F4E" w14:textId="77777777" w:rsidR="0054130B" w:rsidRPr="000A4023" w:rsidRDefault="0054130B" w:rsidP="0054130B">
            <w:pPr>
              <w:rPr>
                <w:rFonts w:ascii="宋体" w:eastAsia="宋体" w:hAnsi="宋体" w:hint="eastAsia"/>
              </w:rPr>
            </w:pPr>
            <w:r w:rsidRPr="000A4023">
              <w:rPr>
                <w:rFonts w:ascii="宋体" w:eastAsia="宋体" w:hAnsi="宋体" w:hint="eastAsia"/>
              </w:rPr>
              <w:t>高级副总裁方壮志先生</w:t>
            </w:r>
          </w:p>
          <w:p w14:paraId="30D00A2E" w14:textId="77777777" w:rsidR="0054130B" w:rsidRPr="000A4023" w:rsidRDefault="0054130B" w:rsidP="0054130B">
            <w:pPr>
              <w:rPr>
                <w:rFonts w:ascii="宋体" w:eastAsia="宋体" w:hAnsi="宋体" w:hint="eastAsia"/>
              </w:rPr>
            </w:pPr>
            <w:r w:rsidRPr="000A4023">
              <w:rPr>
                <w:rFonts w:ascii="宋体" w:eastAsia="宋体" w:hAnsi="宋体" w:hint="eastAsia"/>
              </w:rPr>
              <w:t>高级副总裁裴骏先生</w:t>
            </w:r>
          </w:p>
          <w:p w14:paraId="584D61A1" w14:textId="77777777" w:rsidR="00507E3D" w:rsidRPr="000A4023" w:rsidRDefault="00286994" w:rsidP="00E25F1C">
            <w:pPr>
              <w:rPr>
                <w:rFonts w:ascii="宋体" w:eastAsia="宋体" w:hAnsi="宋体" w:hint="eastAsia"/>
              </w:rPr>
            </w:pPr>
            <w:r w:rsidRPr="000A4023">
              <w:rPr>
                <w:rFonts w:ascii="宋体" w:eastAsia="宋体" w:hAnsi="宋体" w:hint="eastAsia"/>
              </w:rPr>
              <w:t>智能板块总经理任劲松先生</w:t>
            </w:r>
          </w:p>
          <w:p w14:paraId="49A97618" w14:textId="77777777" w:rsidR="00507E3D" w:rsidRPr="000A4023" w:rsidRDefault="00286994" w:rsidP="00E25F1C">
            <w:pPr>
              <w:rPr>
                <w:rFonts w:ascii="宋体" w:eastAsia="宋体" w:hAnsi="宋体" w:hint="eastAsia"/>
              </w:rPr>
            </w:pPr>
            <w:r w:rsidRPr="000A4023">
              <w:rPr>
                <w:rFonts w:ascii="宋体" w:eastAsia="宋体" w:hAnsi="宋体" w:hint="eastAsia"/>
              </w:rPr>
              <w:t>太阳能公司总经理沈东东先生</w:t>
            </w:r>
          </w:p>
          <w:p w14:paraId="39813730" w14:textId="3EA9BA51" w:rsidR="00570394" w:rsidRPr="00822ED6" w:rsidRDefault="00286994" w:rsidP="00E25F1C">
            <w:r w:rsidRPr="000A4023">
              <w:rPr>
                <w:rFonts w:ascii="宋体" w:eastAsia="宋体" w:hAnsi="宋体" w:hint="eastAsia"/>
              </w:rPr>
              <w:t>投资者关系</w:t>
            </w:r>
            <w:r w:rsidR="0054130B">
              <w:rPr>
                <w:rFonts w:ascii="宋体" w:eastAsia="宋体" w:hAnsi="宋体" w:hint="eastAsia"/>
              </w:rPr>
              <w:t>负责人</w:t>
            </w:r>
            <w:r w:rsidRPr="000A4023">
              <w:rPr>
                <w:rFonts w:ascii="宋体" w:eastAsia="宋体" w:hAnsi="宋体" w:hint="eastAsia"/>
              </w:rPr>
              <w:t>卢娉女士</w:t>
            </w:r>
          </w:p>
        </w:tc>
      </w:tr>
      <w:tr w:rsidR="007748D6" w:rsidRPr="00822ED6" w14:paraId="0CA25B3E" w14:textId="77777777" w:rsidTr="00763AF0">
        <w:tc>
          <w:tcPr>
            <w:tcW w:w="1809" w:type="dxa"/>
            <w:vAlign w:val="center"/>
          </w:tcPr>
          <w:p w14:paraId="015B3499" w14:textId="77777777" w:rsidR="003C4BDB" w:rsidRPr="00822ED6" w:rsidRDefault="00DA775D" w:rsidP="003C4BDB">
            <w:pPr>
              <w:jc w:val="center"/>
            </w:pPr>
            <w:r w:rsidRPr="00822ED6">
              <w:rPr>
                <w:rFonts w:hint="eastAsia"/>
              </w:rPr>
              <w:t>投资者</w:t>
            </w:r>
            <w:r w:rsidR="00056334" w:rsidRPr="00822ED6">
              <w:rPr>
                <w:rFonts w:hint="eastAsia"/>
              </w:rPr>
              <w:t>交流</w:t>
            </w:r>
          </w:p>
          <w:p w14:paraId="22FD770C" w14:textId="77777777" w:rsidR="007748D6" w:rsidRPr="00822ED6" w:rsidRDefault="00DA775D" w:rsidP="003C4BDB">
            <w:pPr>
              <w:jc w:val="center"/>
            </w:pPr>
            <w:r w:rsidRPr="00822ED6">
              <w:rPr>
                <w:rFonts w:hint="eastAsia"/>
              </w:rPr>
              <w:t>主要内容介绍</w:t>
            </w:r>
          </w:p>
        </w:tc>
        <w:tc>
          <w:tcPr>
            <w:tcW w:w="6713" w:type="dxa"/>
            <w:vAlign w:val="center"/>
          </w:tcPr>
          <w:p w14:paraId="6F38D489" w14:textId="77777777" w:rsidR="00507E3D" w:rsidRDefault="00507E3D" w:rsidP="007B6CFC">
            <w:pPr>
              <w:pStyle w:val="a4"/>
              <w:ind w:left="360" w:firstLineChars="0" w:firstLine="0"/>
              <w:rPr>
                <w:rFonts w:ascii="Times New Roman" w:hAnsi="Times New Roman" w:cs="Times New Roman"/>
                <w:b/>
                <w:szCs w:val="21"/>
              </w:rPr>
            </w:pPr>
            <w:r w:rsidRPr="00507E3D">
              <w:rPr>
                <w:rFonts w:ascii="Times New Roman" w:hAnsi="Times New Roman" w:cs="Times New Roman" w:hint="eastAsia"/>
                <w:b/>
                <w:szCs w:val="21"/>
              </w:rPr>
              <w:t>主要问答如下：</w:t>
            </w:r>
          </w:p>
          <w:p w14:paraId="70CCDA4E" w14:textId="32E8101D" w:rsidR="00F05682" w:rsidRPr="00A05FE6" w:rsidRDefault="007B6CFC" w:rsidP="007B6CFC">
            <w:pPr>
              <w:pStyle w:val="a4"/>
              <w:ind w:left="360" w:firstLineChars="0" w:firstLine="0"/>
              <w:rPr>
                <w:rFonts w:ascii="Times New Roman" w:hAnsi="Times New Roman" w:cs="Times New Roman"/>
                <w:b/>
                <w:szCs w:val="21"/>
              </w:rPr>
            </w:pPr>
            <w:r w:rsidRPr="00A05FE6">
              <w:rPr>
                <w:rFonts w:ascii="Times New Roman" w:hAnsi="Times New Roman" w:cs="Times New Roman"/>
                <w:b/>
                <w:szCs w:val="21"/>
              </w:rPr>
              <w:t>1</w:t>
            </w:r>
            <w:r w:rsidRPr="00A05FE6">
              <w:rPr>
                <w:rFonts w:ascii="Times New Roman" w:hAnsi="Times New Roman" w:cs="Times New Roman"/>
                <w:b/>
                <w:szCs w:val="21"/>
              </w:rPr>
              <w:t>、</w:t>
            </w:r>
            <w:r w:rsidR="00286994" w:rsidRPr="00286994">
              <w:rPr>
                <w:rFonts w:ascii="Times New Roman" w:hAnsi="Times New Roman" w:cs="Times New Roman" w:hint="eastAsia"/>
                <w:b/>
                <w:szCs w:val="21"/>
              </w:rPr>
              <w:t>2024</w:t>
            </w:r>
            <w:r w:rsidR="00286994" w:rsidRPr="00286994">
              <w:rPr>
                <w:rFonts w:ascii="Times New Roman" w:hAnsi="Times New Roman" w:cs="Times New Roman" w:hint="eastAsia"/>
                <w:b/>
                <w:szCs w:val="21"/>
              </w:rPr>
              <w:t>年业绩</w:t>
            </w:r>
            <w:r w:rsidR="00C87E57">
              <w:rPr>
                <w:rFonts w:ascii="Times New Roman" w:hAnsi="Times New Roman" w:cs="Times New Roman" w:hint="eastAsia"/>
                <w:b/>
                <w:szCs w:val="21"/>
              </w:rPr>
              <w:t>同比下滑</w:t>
            </w:r>
            <w:r w:rsidR="00286994" w:rsidRPr="00286994">
              <w:rPr>
                <w:rFonts w:ascii="Times New Roman" w:hAnsi="Times New Roman" w:cs="Times New Roman" w:hint="eastAsia"/>
                <w:b/>
                <w:szCs w:val="21"/>
              </w:rPr>
              <w:t>的</w:t>
            </w:r>
            <w:r w:rsidR="00C87E57">
              <w:rPr>
                <w:rFonts w:ascii="Times New Roman" w:hAnsi="Times New Roman" w:cs="Times New Roman" w:hint="eastAsia"/>
                <w:b/>
                <w:szCs w:val="21"/>
              </w:rPr>
              <w:t>主要</w:t>
            </w:r>
            <w:r w:rsidR="00286994" w:rsidRPr="00286994">
              <w:rPr>
                <w:rFonts w:ascii="Times New Roman" w:hAnsi="Times New Roman" w:cs="Times New Roman" w:hint="eastAsia"/>
                <w:b/>
                <w:szCs w:val="21"/>
              </w:rPr>
              <w:t>原因是什么</w:t>
            </w:r>
            <w:r w:rsidR="00F05682" w:rsidRPr="00A05FE6">
              <w:rPr>
                <w:rFonts w:ascii="Times New Roman" w:hAnsi="Times New Roman" w:cs="Times New Roman"/>
                <w:b/>
                <w:szCs w:val="21"/>
              </w:rPr>
              <w:t>？</w:t>
            </w:r>
          </w:p>
          <w:p w14:paraId="7DDFCA98" w14:textId="34BC3272" w:rsidR="00F05682" w:rsidRPr="00A05FE6" w:rsidRDefault="00562D52" w:rsidP="002679A1">
            <w:pPr>
              <w:spacing w:afterLines="50" w:after="156" w:line="320" w:lineRule="exact"/>
              <w:ind w:firstLineChars="200" w:firstLine="420"/>
              <w:rPr>
                <w:rFonts w:ascii="Times New Roman" w:hAnsi="Times New Roman" w:cs="Times New Roman"/>
                <w:szCs w:val="21"/>
              </w:rPr>
            </w:pPr>
            <w:r w:rsidRPr="00562D52">
              <w:rPr>
                <w:rFonts w:ascii="Times New Roman" w:hAnsi="Times New Roman" w:cs="Times New Roman" w:hint="eastAsia"/>
                <w:szCs w:val="21"/>
              </w:rPr>
              <w:t>主要原因：应收账款坏账损失增加、其他非流动金融资产公允价</w:t>
            </w:r>
            <w:r w:rsidRPr="00562D52">
              <w:rPr>
                <w:rFonts w:ascii="Times New Roman" w:hAnsi="Times New Roman" w:cs="Times New Roman" w:hint="eastAsia"/>
                <w:szCs w:val="21"/>
              </w:rPr>
              <w:lastRenderedPageBreak/>
              <w:t>值变动损益下降</w:t>
            </w:r>
            <w:r w:rsidR="00F05682" w:rsidRPr="00A05FE6">
              <w:rPr>
                <w:rFonts w:ascii="Times New Roman" w:hAnsi="Times New Roman" w:cs="Times New Roman"/>
                <w:szCs w:val="21"/>
              </w:rPr>
              <w:t>。</w:t>
            </w:r>
          </w:p>
          <w:p w14:paraId="0D6C332A" w14:textId="35162D7A" w:rsidR="00F05682" w:rsidRPr="00A05FE6" w:rsidRDefault="007B6CFC" w:rsidP="007B6CFC">
            <w:pPr>
              <w:pStyle w:val="a4"/>
              <w:ind w:left="360" w:firstLineChars="0" w:firstLine="0"/>
              <w:rPr>
                <w:rFonts w:ascii="Times New Roman" w:hAnsi="Times New Roman" w:cs="Times New Roman"/>
                <w:b/>
                <w:szCs w:val="21"/>
              </w:rPr>
            </w:pPr>
            <w:r w:rsidRPr="00A05FE6">
              <w:rPr>
                <w:rFonts w:ascii="Times New Roman" w:hAnsi="Times New Roman" w:cs="Times New Roman"/>
                <w:b/>
                <w:szCs w:val="21"/>
              </w:rPr>
              <w:t>2</w:t>
            </w:r>
            <w:r w:rsidRPr="00A05FE6">
              <w:rPr>
                <w:rFonts w:ascii="Times New Roman" w:hAnsi="Times New Roman" w:cs="Times New Roman"/>
                <w:b/>
                <w:szCs w:val="21"/>
              </w:rPr>
              <w:t>、</w:t>
            </w:r>
            <w:r w:rsidR="00562D52" w:rsidRPr="00562D52">
              <w:rPr>
                <w:rFonts w:ascii="Times New Roman" w:eastAsia="宋体" w:hAnsi="Times New Roman" w:cs="Times New Roman" w:hint="eastAsia"/>
                <w:b/>
                <w:szCs w:val="21"/>
              </w:rPr>
              <w:t>2024</w:t>
            </w:r>
            <w:r w:rsidR="00562D52" w:rsidRPr="00562D52">
              <w:rPr>
                <w:rFonts w:ascii="Times New Roman" w:eastAsia="宋体" w:hAnsi="Times New Roman" w:cs="Times New Roman" w:hint="eastAsia"/>
                <w:b/>
                <w:szCs w:val="21"/>
              </w:rPr>
              <w:t>年，公司信用减值损失为</w:t>
            </w:r>
            <w:r w:rsidR="00562D52" w:rsidRPr="00562D52">
              <w:rPr>
                <w:rFonts w:ascii="Times New Roman" w:eastAsia="宋体" w:hAnsi="Times New Roman" w:cs="Times New Roman" w:hint="eastAsia"/>
                <w:b/>
                <w:szCs w:val="21"/>
              </w:rPr>
              <w:t>-1.44</w:t>
            </w:r>
            <w:r w:rsidR="00562D52" w:rsidRPr="00562D52">
              <w:rPr>
                <w:rFonts w:ascii="Times New Roman" w:eastAsia="宋体" w:hAnsi="Times New Roman" w:cs="Times New Roman" w:hint="eastAsia"/>
                <w:b/>
                <w:szCs w:val="21"/>
              </w:rPr>
              <w:t>亿元，主要包括什么？</w:t>
            </w:r>
          </w:p>
          <w:p w14:paraId="0AF3952C" w14:textId="5C62F9BB" w:rsidR="00F05682" w:rsidRPr="00A05FE6" w:rsidRDefault="00C87E57" w:rsidP="006058FA">
            <w:pPr>
              <w:spacing w:afterLines="50" w:after="156" w:line="320" w:lineRule="exact"/>
              <w:ind w:firstLineChars="200" w:firstLine="420"/>
              <w:rPr>
                <w:rFonts w:ascii="Times New Roman" w:hAnsi="Times New Roman" w:cs="Times New Roman"/>
                <w:szCs w:val="21"/>
              </w:rPr>
            </w:pPr>
            <w:r>
              <w:rPr>
                <w:rFonts w:ascii="Times New Roman" w:hAnsi="Times New Roman" w:cs="Times New Roman" w:hint="eastAsia"/>
                <w:szCs w:val="21"/>
              </w:rPr>
              <w:t>公司基于审慎性原则，按照过去年度国补回收的情况，</w:t>
            </w:r>
            <w:r w:rsidR="00562D52" w:rsidRPr="00562D52">
              <w:rPr>
                <w:rFonts w:ascii="Times New Roman" w:hAnsi="Times New Roman" w:cs="Times New Roman" w:hint="eastAsia"/>
                <w:szCs w:val="21"/>
              </w:rPr>
              <w:t>对</w:t>
            </w:r>
            <w:r>
              <w:rPr>
                <w:rFonts w:ascii="Times New Roman" w:hAnsi="Times New Roman" w:cs="Times New Roman" w:hint="eastAsia"/>
                <w:szCs w:val="21"/>
              </w:rPr>
              <w:t>部分</w:t>
            </w:r>
            <w:r w:rsidR="00562D52" w:rsidRPr="00562D52">
              <w:rPr>
                <w:rFonts w:ascii="Times New Roman" w:hAnsi="Times New Roman" w:cs="Times New Roman" w:hint="eastAsia"/>
                <w:szCs w:val="21"/>
              </w:rPr>
              <w:t>应收国补计提了坏账准备；其余为其他业务板块的正常计提。</w:t>
            </w:r>
          </w:p>
          <w:p w14:paraId="3DAE7454" w14:textId="458ED128" w:rsidR="00F05682" w:rsidRPr="00A05FE6" w:rsidRDefault="00F05682" w:rsidP="002679A1">
            <w:pPr>
              <w:pStyle w:val="a4"/>
              <w:ind w:left="360" w:firstLineChars="0" w:firstLine="0"/>
              <w:rPr>
                <w:rFonts w:ascii="Times New Roman" w:hAnsi="Times New Roman" w:cs="Times New Roman"/>
                <w:b/>
                <w:szCs w:val="21"/>
              </w:rPr>
            </w:pPr>
            <w:r w:rsidRPr="00A05FE6">
              <w:rPr>
                <w:rFonts w:ascii="Times New Roman" w:hAnsi="Times New Roman" w:cs="Times New Roman"/>
                <w:b/>
                <w:szCs w:val="21"/>
              </w:rPr>
              <w:t>3</w:t>
            </w:r>
            <w:r w:rsidRPr="00A05FE6">
              <w:rPr>
                <w:rFonts w:ascii="Times New Roman" w:hAnsi="Times New Roman" w:cs="Times New Roman"/>
                <w:b/>
                <w:szCs w:val="21"/>
              </w:rPr>
              <w:t>、</w:t>
            </w:r>
            <w:r w:rsidR="002E4A9C" w:rsidRPr="002E4A9C">
              <w:rPr>
                <w:rFonts w:ascii="Times New Roman" w:hAnsi="Times New Roman" w:cs="Times New Roman" w:hint="eastAsia"/>
                <w:b/>
                <w:szCs w:val="21"/>
              </w:rPr>
              <w:t>公司发布的经营数据公告中，一季度电站的电价有所下调，原因是什么？</w:t>
            </w:r>
          </w:p>
          <w:p w14:paraId="68B18EF5" w14:textId="5C135BF7" w:rsidR="00F05682" w:rsidRPr="006058FA" w:rsidRDefault="002E4A9C" w:rsidP="006058FA">
            <w:pPr>
              <w:spacing w:afterLines="50" w:after="156" w:line="320" w:lineRule="exact"/>
              <w:ind w:firstLineChars="200" w:firstLine="420"/>
              <w:rPr>
                <w:rFonts w:ascii="Times New Roman" w:eastAsia="宋体" w:hAnsi="Times New Roman" w:cs="Times New Roman"/>
                <w:szCs w:val="21"/>
              </w:rPr>
            </w:pPr>
            <w:r w:rsidRPr="002E4A9C">
              <w:rPr>
                <w:rFonts w:ascii="Times New Roman" w:eastAsia="宋体" w:hAnsi="Times New Roman" w:cs="Times New Roman" w:hint="eastAsia"/>
                <w:szCs w:val="21"/>
              </w:rPr>
              <w:t>主要是自</w:t>
            </w:r>
            <w:r w:rsidRPr="002E4A9C">
              <w:rPr>
                <w:rFonts w:ascii="Times New Roman" w:eastAsia="宋体" w:hAnsi="Times New Roman" w:cs="Times New Roman" w:hint="eastAsia"/>
                <w:szCs w:val="21"/>
              </w:rPr>
              <w:t>2025</w:t>
            </w:r>
            <w:r w:rsidRPr="002E4A9C">
              <w:rPr>
                <w:rFonts w:ascii="Times New Roman" w:eastAsia="宋体" w:hAnsi="Times New Roman" w:cs="Times New Roman" w:hint="eastAsia"/>
                <w:szCs w:val="21"/>
              </w:rPr>
              <w:t>年起公司对超过一定期限的可再生能源补贴待实际收到当期再确认收入，以及由于电力市场化交易规则形成的结算电价存在一定的波动</w:t>
            </w:r>
            <w:r w:rsidR="006058FA" w:rsidRPr="006058FA">
              <w:rPr>
                <w:rFonts w:ascii="Times New Roman" w:eastAsia="宋体" w:hAnsi="Times New Roman" w:cs="Times New Roman" w:hint="eastAsia"/>
                <w:szCs w:val="21"/>
              </w:rPr>
              <w:t>。</w:t>
            </w:r>
          </w:p>
          <w:p w14:paraId="7EC6420A" w14:textId="62FE68EB" w:rsidR="00F05682" w:rsidRPr="00A05FE6" w:rsidRDefault="007B6CFC" w:rsidP="002679A1">
            <w:pPr>
              <w:pStyle w:val="a4"/>
              <w:ind w:left="360" w:firstLineChars="0" w:firstLine="0"/>
              <w:rPr>
                <w:rFonts w:ascii="Times New Roman" w:hAnsi="Times New Roman" w:cs="Times New Roman"/>
                <w:b/>
                <w:szCs w:val="21"/>
              </w:rPr>
            </w:pPr>
            <w:r w:rsidRPr="00A05FE6">
              <w:rPr>
                <w:rFonts w:ascii="Times New Roman" w:hAnsi="Times New Roman" w:cs="Times New Roman"/>
                <w:b/>
                <w:szCs w:val="21"/>
              </w:rPr>
              <w:t>4</w:t>
            </w:r>
            <w:r w:rsidR="00F05682" w:rsidRPr="00A05FE6">
              <w:rPr>
                <w:rFonts w:ascii="Times New Roman" w:hAnsi="Times New Roman" w:cs="Times New Roman"/>
                <w:b/>
                <w:szCs w:val="21"/>
              </w:rPr>
              <w:t>、</w:t>
            </w:r>
            <w:r w:rsidR="002E4A9C" w:rsidRPr="002E4A9C">
              <w:rPr>
                <w:rFonts w:ascii="Times New Roman" w:hAnsi="Times New Roman" w:cs="Times New Roman" w:hint="eastAsia"/>
                <w:b/>
                <w:szCs w:val="21"/>
              </w:rPr>
              <w:t>储能业务</w:t>
            </w:r>
            <w:r w:rsidR="002E4A9C" w:rsidRPr="002E4A9C">
              <w:rPr>
                <w:rFonts w:ascii="Times New Roman" w:hAnsi="Times New Roman" w:cs="Times New Roman" w:hint="eastAsia"/>
                <w:b/>
                <w:szCs w:val="21"/>
              </w:rPr>
              <w:t>2024</w:t>
            </w:r>
            <w:r w:rsidR="002E4A9C" w:rsidRPr="002E4A9C">
              <w:rPr>
                <w:rFonts w:ascii="Times New Roman" w:hAnsi="Times New Roman" w:cs="Times New Roman" w:hint="eastAsia"/>
                <w:b/>
                <w:szCs w:val="21"/>
              </w:rPr>
              <w:t>年确收规模有多少？海外占比多少？</w:t>
            </w:r>
          </w:p>
          <w:p w14:paraId="16E06F33" w14:textId="37F96603" w:rsidR="00F05682" w:rsidRPr="00A05FE6" w:rsidRDefault="002E4A9C" w:rsidP="002679A1">
            <w:pPr>
              <w:spacing w:afterLines="50" w:after="156" w:line="320" w:lineRule="exact"/>
              <w:ind w:firstLineChars="200" w:firstLine="420"/>
              <w:rPr>
                <w:rFonts w:ascii="Times New Roman" w:hAnsi="Times New Roman" w:cs="Times New Roman"/>
                <w:szCs w:val="21"/>
              </w:rPr>
            </w:pPr>
            <w:r w:rsidRPr="002E4A9C">
              <w:rPr>
                <w:rFonts w:ascii="Times New Roman" w:hAnsi="Times New Roman" w:cs="Times New Roman" w:hint="eastAsia"/>
                <w:szCs w:val="21"/>
              </w:rPr>
              <w:t>合并报表层面，储能板块营收</w:t>
            </w:r>
            <w:r w:rsidRPr="002E4A9C">
              <w:rPr>
                <w:rFonts w:ascii="Times New Roman" w:hAnsi="Times New Roman" w:cs="Times New Roman" w:hint="eastAsia"/>
                <w:szCs w:val="21"/>
              </w:rPr>
              <w:t>9.19</w:t>
            </w:r>
            <w:r w:rsidRPr="002E4A9C">
              <w:rPr>
                <w:rFonts w:ascii="Times New Roman" w:hAnsi="Times New Roman" w:cs="Times New Roman" w:hint="eastAsia"/>
                <w:szCs w:val="21"/>
              </w:rPr>
              <w:t>亿元，</w:t>
            </w:r>
            <w:r w:rsidRPr="002E4A9C">
              <w:rPr>
                <w:rFonts w:ascii="Times New Roman" w:hAnsi="Times New Roman" w:cs="Times New Roman" w:hint="eastAsia"/>
                <w:szCs w:val="21"/>
              </w:rPr>
              <w:t>2024</w:t>
            </w:r>
            <w:r w:rsidRPr="002E4A9C">
              <w:rPr>
                <w:rFonts w:ascii="Times New Roman" w:hAnsi="Times New Roman" w:cs="Times New Roman" w:hint="eastAsia"/>
                <w:szCs w:val="21"/>
              </w:rPr>
              <w:t>年储能业务中，海外业务占比非常小</w:t>
            </w:r>
            <w:r w:rsidR="00F05682" w:rsidRPr="00A05FE6">
              <w:rPr>
                <w:rFonts w:ascii="Times New Roman" w:hAnsi="Times New Roman" w:cs="Times New Roman"/>
                <w:szCs w:val="21"/>
              </w:rPr>
              <w:t>。</w:t>
            </w:r>
          </w:p>
          <w:p w14:paraId="3B16AADB" w14:textId="46B65938" w:rsidR="00F05682" w:rsidRPr="00A05FE6" w:rsidRDefault="007B6CFC" w:rsidP="002679A1">
            <w:pPr>
              <w:pStyle w:val="a4"/>
              <w:ind w:left="360" w:firstLineChars="0" w:firstLine="0"/>
              <w:rPr>
                <w:rFonts w:ascii="Times New Roman" w:hAnsi="Times New Roman" w:cs="Times New Roman"/>
                <w:b/>
                <w:szCs w:val="21"/>
              </w:rPr>
            </w:pPr>
            <w:r w:rsidRPr="00A05FE6">
              <w:rPr>
                <w:rFonts w:ascii="Times New Roman" w:hAnsi="Times New Roman" w:cs="Times New Roman"/>
                <w:b/>
                <w:szCs w:val="21"/>
              </w:rPr>
              <w:t>5</w:t>
            </w:r>
            <w:r w:rsidR="00F05682" w:rsidRPr="00A05FE6">
              <w:rPr>
                <w:rFonts w:ascii="Times New Roman" w:hAnsi="Times New Roman" w:cs="Times New Roman"/>
                <w:b/>
                <w:szCs w:val="21"/>
              </w:rPr>
              <w:t>、</w:t>
            </w:r>
            <w:r w:rsidR="002E4A9C" w:rsidRPr="002E4A9C">
              <w:rPr>
                <w:rFonts w:ascii="Times New Roman" w:hAnsi="Times New Roman" w:cs="Times New Roman" w:hint="eastAsia"/>
                <w:b/>
                <w:szCs w:val="21"/>
              </w:rPr>
              <w:t>智能电表</w:t>
            </w:r>
            <w:r w:rsidR="002E4A9C" w:rsidRPr="002E4A9C">
              <w:rPr>
                <w:rFonts w:ascii="Times New Roman" w:hAnsi="Times New Roman" w:cs="Times New Roman" w:hint="eastAsia"/>
                <w:b/>
                <w:szCs w:val="21"/>
              </w:rPr>
              <w:t>2024</w:t>
            </w:r>
            <w:r w:rsidR="002E4A9C" w:rsidRPr="002E4A9C">
              <w:rPr>
                <w:rFonts w:ascii="Times New Roman" w:hAnsi="Times New Roman" w:cs="Times New Roman" w:hint="eastAsia"/>
                <w:b/>
                <w:szCs w:val="21"/>
              </w:rPr>
              <w:t>年收入中国内外占比情况如何？未来海内外发展展望如何？</w:t>
            </w:r>
            <w:r w:rsidR="00C87E57" w:rsidRPr="00A05FE6">
              <w:rPr>
                <w:rFonts w:ascii="Times New Roman" w:hAnsi="Times New Roman" w:cs="Times New Roman"/>
                <w:b/>
                <w:szCs w:val="21"/>
              </w:rPr>
              <w:t xml:space="preserve"> </w:t>
            </w:r>
          </w:p>
          <w:p w14:paraId="6FA5574B" w14:textId="3536BCEF" w:rsidR="00F05682" w:rsidRPr="00A05FE6" w:rsidRDefault="002E4A9C" w:rsidP="002679A1">
            <w:pPr>
              <w:spacing w:afterLines="50" w:after="156" w:line="320" w:lineRule="exact"/>
              <w:ind w:firstLineChars="200" w:firstLine="420"/>
              <w:rPr>
                <w:rFonts w:ascii="Times New Roman" w:hAnsi="Times New Roman" w:cs="Times New Roman"/>
                <w:szCs w:val="21"/>
              </w:rPr>
            </w:pPr>
            <w:r w:rsidRPr="002E4A9C">
              <w:rPr>
                <w:rFonts w:ascii="Times New Roman" w:eastAsia="宋体" w:hAnsi="Times New Roman" w:cs="Times New Roman" w:hint="eastAsia"/>
                <w:szCs w:val="21"/>
              </w:rPr>
              <w:t>2024</w:t>
            </w:r>
            <w:r w:rsidRPr="002E4A9C">
              <w:rPr>
                <w:rFonts w:ascii="Times New Roman" w:eastAsia="宋体" w:hAnsi="Times New Roman" w:cs="Times New Roman" w:hint="eastAsia"/>
                <w:szCs w:val="21"/>
              </w:rPr>
              <w:t>年，公司智能配用电板块收入</w:t>
            </w:r>
            <w:r w:rsidRPr="002E4A9C">
              <w:rPr>
                <w:rFonts w:ascii="Times New Roman" w:eastAsia="宋体" w:hAnsi="Times New Roman" w:cs="Times New Roman" w:hint="eastAsia"/>
                <w:szCs w:val="21"/>
              </w:rPr>
              <w:t>28.30</w:t>
            </w:r>
            <w:r w:rsidRPr="002E4A9C">
              <w:rPr>
                <w:rFonts w:ascii="Times New Roman" w:eastAsia="宋体" w:hAnsi="Times New Roman" w:cs="Times New Roman" w:hint="eastAsia"/>
                <w:szCs w:val="21"/>
              </w:rPr>
              <w:t>亿元</w:t>
            </w:r>
            <w:r w:rsidR="00C87E57">
              <w:rPr>
                <w:rFonts w:ascii="Times New Roman" w:eastAsia="宋体" w:hAnsi="Times New Roman" w:cs="Times New Roman" w:hint="eastAsia"/>
                <w:szCs w:val="21"/>
              </w:rPr>
              <w:t>。</w:t>
            </w:r>
            <w:r w:rsidRPr="002E4A9C">
              <w:rPr>
                <w:rFonts w:ascii="Times New Roman" w:eastAsia="宋体" w:hAnsi="Times New Roman" w:cs="Times New Roman" w:hint="eastAsia"/>
                <w:szCs w:val="21"/>
              </w:rPr>
              <w:t>其中</w:t>
            </w:r>
            <w:r w:rsidR="00C87E57">
              <w:rPr>
                <w:rFonts w:ascii="Times New Roman" w:eastAsia="宋体" w:hAnsi="Times New Roman" w:cs="Times New Roman" w:hint="eastAsia"/>
                <w:szCs w:val="21"/>
              </w:rPr>
              <w:t>，境外收入实现</w:t>
            </w:r>
            <w:r w:rsidR="00C87E57">
              <w:rPr>
                <w:rFonts w:ascii="Times New Roman" w:eastAsia="宋体" w:hAnsi="Times New Roman" w:cs="Times New Roman" w:hint="eastAsia"/>
                <w:szCs w:val="21"/>
              </w:rPr>
              <w:t>1</w:t>
            </w:r>
            <w:r w:rsidR="00C87E57">
              <w:rPr>
                <w:rFonts w:ascii="Times New Roman" w:eastAsia="宋体" w:hAnsi="Times New Roman" w:cs="Times New Roman"/>
                <w:szCs w:val="21"/>
              </w:rPr>
              <w:t>1.26</w:t>
            </w:r>
            <w:r w:rsidRPr="002E4A9C">
              <w:rPr>
                <w:rFonts w:ascii="Times New Roman" w:eastAsia="宋体" w:hAnsi="Times New Roman" w:cs="Times New Roman" w:hint="eastAsia"/>
                <w:szCs w:val="21"/>
              </w:rPr>
              <w:t>亿元</w:t>
            </w:r>
            <w:r w:rsidR="00C87E57">
              <w:rPr>
                <w:rFonts w:ascii="Times New Roman" w:eastAsia="宋体" w:hAnsi="Times New Roman" w:cs="Times New Roman" w:hint="eastAsia"/>
                <w:szCs w:val="21"/>
              </w:rPr>
              <w:t>，同比增长</w:t>
            </w:r>
            <w:r w:rsidR="00C87E57">
              <w:rPr>
                <w:rFonts w:ascii="Times New Roman" w:eastAsia="宋体" w:hAnsi="Times New Roman" w:cs="Times New Roman" w:hint="eastAsia"/>
                <w:szCs w:val="21"/>
              </w:rPr>
              <w:t>3</w:t>
            </w:r>
            <w:r w:rsidR="00C87E57">
              <w:rPr>
                <w:rFonts w:ascii="Times New Roman" w:eastAsia="宋体" w:hAnsi="Times New Roman" w:cs="Times New Roman"/>
                <w:szCs w:val="21"/>
              </w:rPr>
              <w:t>4.22%</w:t>
            </w:r>
            <w:r w:rsidR="00C87E57">
              <w:rPr>
                <w:rFonts w:ascii="Times New Roman" w:eastAsia="宋体" w:hAnsi="Times New Roman" w:cs="Times New Roman" w:hint="eastAsia"/>
                <w:szCs w:val="21"/>
              </w:rPr>
              <w:t>，毛利率为</w:t>
            </w:r>
            <w:r w:rsidR="00C87E57">
              <w:rPr>
                <w:rFonts w:ascii="Times New Roman" w:eastAsia="宋体" w:hAnsi="Times New Roman" w:cs="Times New Roman" w:hint="eastAsia"/>
                <w:szCs w:val="21"/>
              </w:rPr>
              <w:t>2</w:t>
            </w:r>
            <w:r w:rsidR="00C87E57">
              <w:rPr>
                <w:rFonts w:ascii="Times New Roman" w:eastAsia="宋体" w:hAnsi="Times New Roman" w:cs="Times New Roman"/>
                <w:szCs w:val="21"/>
              </w:rPr>
              <w:t>9.43%</w:t>
            </w:r>
            <w:r w:rsidR="00C87E57">
              <w:rPr>
                <w:rFonts w:ascii="Times New Roman" w:eastAsia="宋体" w:hAnsi="Times New Roman" w:cs="Times New Roman" w:hint="eastAsia"/>
                <w:szCs w:val="21"/>
              </w:rPr>
              <w:t>。</w:t>
            </w:r>
            <w:r w:rsidRPr="002E4A9C">
              <w:rPr>
                <w:rFonts w:ascii="Times New Roman" w:eastAsia="宋体" w:hAnsi="Times New Roman" w:cs="Times New Roman" w:hint="eastAsia"/>
                <w:szCs w:val="21"/>
              </w:rPr>
              <w:t>今年，</w:t>
            </w:r>
            <w:r w:rsidR="008F7EC6">
              <w:rPr>
                <w:rFonts w:ascii="Times New Roman" w:eastAsia="宋体" w:hAnsi="Times New Roman" w:cs="Times New Roman" w:hint="eastAsia"/>
                <w:szCs w:val="21"/>
              </w:rPr>
              <w:t>公司</w:t>
            </w:r>
            <w:r w:rsidRPr="002E4A9C">
              <w:rPr>
                <w:rFonts w:ascii="Times New Roman" w:eastAsia="宋体" w:hAnsi="Times New Roman" w:cs="Times New Roman" w:hint="eastAsia"/>
                <w:szCs w:val="21"/>
              </w:rPr>
              <w:t>在稳固国内市场的基础上，大力开拓海外市场，并增加更多投入。</w:t>
            </w:r>
          </w:p>
          <w:p w14:paraId="680482A5" w14:textId="4B102BFF" w:rsidR="00F05682" w:rsidRPr="00A05FE6" w:rsidRDefault="006A0D58" w:rsidP="002679A1">
            <w:pPr>
              <w:pStyle w:val="a4"/>
              <w:ind w:left="360" w:firstLineChars="0" w:firstLine="0"/>
              <w:rPr>
                <w:rFonts w:ascii="Times New Roman" w:hAnsi="Times New Roman" w:cs="Times New Roman"/>
                <w:szCs w:val="21"/>
              </w:rPr>
            </w:pPr>
            <w:r>
              <w:rPr>
                <w:rFonts w:ascii="Times New Roman" w:hAnsi="Times New Roman" w:cs="Times New Roman" w:hint="eastAsia"/>
                <w:b/>
                <w:szCs w:val="21"/>
              </w:rPr>
              <w:t>6</w:t>
            </w:r>
            <w:r w:rsidR="00F05682" w:rsidRPr="00A05FE6">
              <w:rPr>
                <w:rFonts w:ascii="Times New Roman" w:hAnsi="Times New Roman" w:cs="Times New Roman"/>
                <w:b/>
                <w:szCs w:val="21"/>
              </w:rPr>
              <w:t>、</w:t>
            </w:r>
            <w:r w:rsidR="00C75164" w:rsidRPr="00C75164">
              <w:rPr>
                <w:rFonts w:ascii="Times New Roman" w:hAnsi="Times New Roman" w:cs="Times New Roman" w:hint="eastAsia"/>
                <w:b/>
                <w:szCs w:val="21"/>
              </w:rPr>
              <w:t>2024</w:t>
            </w:r>
            <w:r w:rsidR="00C75164" w:rsidRPr="00C75164">
              <w:rPr>
                <w:rFonts w:ascii="Times New Roman" w:hAnsi="Times New Roman" w:cs="Times New Roman" w:hint="eastAsia"/>
                <w:b/>
                <w:szCs w:val="21"/>
              </w:rPr>
              <w:t>年国内电表价格下行对公司的影响如何？</w:t>
            </w:r>
            <w:r w:rsidR="00F05682" w:rsidRPr="00A05FE6">
              <w:rPr>
                <w:rFonts w:ascii="Times New Roman" w:hAnsi="Times New Roman" w:cs="Times New Roman"/>
                <w:b/>
                <w:szCs w:val="21"/>
              </w:rPr>
              <w:t xml:space="preserve"> </w:t>
            </w:r>
          </w:p>
          <w:p w14:paraId="28B694D8" w14:textId="083B5AB1" w:rsidR="004E2FB0" w:rsidRDefault="00C75164" w:rsidP="002679A1">
            <w:pPr>
              <w:spacing w:afterLines="50" w:after="156" w:line="320" w:lineRule="exact"/>
              <w:ind w:firstLineChars="200" w:firstLine="420"/>
              <w:rPr>
                <w:rFonts w:ascii="Times New Roman" w:hAnsi="Times New Roman" w:cs="Times New Roman"/>
                <w:szCs w:val="21"/>
              </w:rPr>
            </w:pPr>
            <w:r w:rsidRPr="00C75164">
              <w:rPr>
                <w:rFonts w:ascii="Times New Roman" w:hAnsi="Times New Roman" w:cs="Times New Roman" w:hint="eastAsia"/>
                <w:szCs w:val="21"/>
              </w:rPr>
              <w:t>国网招标价格呈现出周期性与趋势性变化。公司</w:t>
            </w:r>
            <w:r w:rsidR="00C87E57">
              <w:rPr>
                <w:rFonts w:ascii="Times New Roman" w:hAnsi="Times New Roman" w:cs="Times New Roman" w:hint="eastAsia"/>
                <w:szCs w:val="21"/>
              </w:rPr>
              <w:t>将</w:t>
            </w:r>
            <w:r w:rsidRPr="00C75164">
              <w:rPr>
                <w:rFonts w:ascii="Times New Roman" w:hAnsi="Times New Roman" w:cs="Times New Roman" w:hint="eastAsia"/>
                <w:szCs w:val="21"/>
              </w:rPr>
              <w:t>通过技术研发的创新设计以及供应链可持续的降本来降低直接</w:t>
            </w:r>
            <w:r w:rsidRPr="00C75164">
              <w:rPr>
                <w:rFonts w:ascii="Times New Roman" w:hAnsi="Times New Roman" w:cs="Times New Roman" w:hint="eastAsia"/>
                <w:szCs w:val="21"/>
              </w:rPr>
              <w:t>BOM</w:t>
            </w:r>
            <w:r w:rsidRPr="00C75164">
              <w:rPr>
                <w:rFonts w:ascii="Times New Roman" w:hAnsi="Times New Roman" w:cs="Times New Roman" w:hint="eastAsia"/>
                <w:szCs w:val="21"/>
              </w:rPr>
              <w:t>成本；同时公司</w:t>
            </w:r>
            <w:r w:rsidR="00C87E57">
              <w:rPr>
                <w:rFonts w:ascii="Times New Roman" w:hAnsi="Times New Roman" w:cs="Times New Roman" w:hint="eastAsia"/>
                <w:szCs w:val="21"/>
              </w:rPr>
              <w:t>目前在建的</w:t>
            </w:r>
            <w:r w:rsidRPr="00C75164">
              <w:rPr>
                <w:rFonts w:ascii="Times New Roman" w:hAnsi="Times New Roman" w:cs="Times New Roman" w:hint="eastAsia"/>
                <w:szCs w:val="21"/>
              </w:rPr>
              <w:t>领先行业的全智能化工厂将于年内投入生产，</w:t>
            </w:r>
            <w:r w:rsidR="00F830A1">
              <w:rPr>
                <w:rFonts w:ascii="Times New Roman" w:hAnsi="Times New Roman" w:cs="Times New Roman" w:hint="eastAsia"/>
                <w:szCs w:val="21"/>
              </w:rPr>
              <w:t>未来将</w:t>
            </w:r>
            <w:r w:rsidRPr="00C75164">
              <w:rPr>
                <w:rFonts w:ascii="Times New Roman" w:hAnsi="Times New Roman" w:cs="Times New Roman" w:hint="eastAsia"/>
                <w:szCs w:val="21"/>
              </w:rPr>
              <w:t>通过智能制造推进带来的质量和效率的提升可以有效降低制造成本；所以整体毛利率影响程度可控</w:t>
            </w:r>
            <w:r w:rsidR="00F05682" w:rsidRPr="00A05FE6">
              <w:rPr>
                <w:rFonts w:ascii="Times New Roman" w:hAnsi="Times New Roman" w:cs="Times New Roman"/>
                <w:szCs w:val="21"/>
              </w:rPr>
              <w:t>。</w:t>
            </w:r>
          </w:p>
          <w:p w14:paraId="5924596C" w14:textId="52873AF3" w:rsidR="00C75164" w:rsidRPr="00A05FE6" w:rsidRDefault="006A0D58" w:rsidP="00C75164">
            <w:pPr>
              <w:pStyle w:val="a4"/>
              <w:ind w:left="360" w:firstLineChars="0" w:firstLine="0"/>
              <w:rPr>
                <w:rFonts w:ascii="Times New Roman" w:hAnsi="Times New Roman" w:cs="Times New Roman"/>
                <w:szCs w:val="21"/>
              </w:rPr>
            </w:pPr>
            <w:r>
              <w:rPr>
                <w:rFonts w:ascii="Times New Roman" w:hAnsi="Times New Roman" w:cs="Times New Roman" w:hint="eastAsia"/>
                <w:b/>
                <w:szCs w:val="21"/>
              </w:rPr>
              <w:t>7</w:t>
            </w:r>
            <w:r w:rsidR="00C75164" w:rsidRPr="00A05FE6">
              <w:rPr>
                <w:rFonts w:ascii="Times New Roman" w:hAnsi="Times New Roman" w:cs="Times New Roman"/>
                <w:b/>
                <w:szCs w:val="21"/>
              </w:rPr>
              <w:t>、</w:t>
            </w:r>
            <w:r w:rsidR="00C75164" w:rsidRPr="00C75164">
              <w:rPr>
                <w:rFonts w:ascii="Times New Roman" w:hAnsi="Times New Roman" w:cs="Times New Roman" w:hint="eastAsia"/>
                <w:b/>
                <w:szCs w:val="21"/>
              </w:rPr>
              <w:t>公司氢能及低空经济业务发展情况及规划？</w:t>
            </w:r>
            <w:r w:rsidR="00C75164" w:rsidRPr="00A05FE6">
              <w:rPr>
                <w:rFonts w:ascii="Times New Roman" w:hAnsi="Times New Roman" w:cs="Times New Roman"/>
                <w:b/>
                <w:szCs w:val="21"/>
              </w:rPr>
              <w:t xml:space="preserve"> </w:t>
            </w:r>
          </w:p>
          <w:p w14:paraId="572B3789" w14:textId="389AF1E6" w:rsidR="00C75164" w:rsidRDefault="00C75164" w:rsidP="002679A1">
            <w:pPr>
              <w:spacing w:afterLines="50" w:after="156" w:line="320" w:lineRule="exact"/>
              <w:ind w:firstLineChars="200" w:firstLine="420"/>
              <w:rPr>
                <w:rFonts w:ascii="Times New Roman" w:hAnsi="Times New Roman" w:cs="Times New Roman"/>
                <w:szCs w:val="21"/>
              </w:rPr>
            </w:pPr>
            <w:r w:rsidRPr="00C75164">
              <w:rPr>
                <w:rFonts w:ascii="Times New Roman" w:hAnsi="Times New Roman" w:cs="Times New Roman" w:hint="eastAsia"/>
                <w:szCs w:val="21"/>
              </w:rPr>
              <w:t>在电解水制氢方面，合资公司仍在持续探索。</w:t>
            </w:r>
            <w:r w:rsidR="00FD26AC" w:rsidRPr="00FD26AC">
              <w:rPr>
                <w:rFonts w:ascii="Times New Roman" w:hAnsi="Times New Roman" w:cs="Times New Roman" w:hint="eastAsia"/>
                <w:szCs w:val="21"/>
              </w:rPr>
              <w:t>一方面做好模块化产品的技术储备，推进试点示范项目；另一方面围绕氢能产业链，持续研发产业链测试装置和核心技术。关于氢能投资和低空经济布局，</w:t>
            </w:r>
            <w:r w:rsidR="00FD26AC">
              <w:rPr>
                <w:rFonts w:ascii="Times New Roman" w:hAnsi="Times New Roman" w:cs="Times New Roman" w:hint="eastAsia"/>
                <w:szCs w:val="21"/>
              </w:rPr>
              <w:t>公司</w:t>
            </w:r>
            <w:r w:rsidR="00FD26AC" w:rsidRPr="00FD26AC">
              <w:rPr>
                <w:rFonts w:ascii="Times New Roman" w:hAnsi="Times New Roman" w:cs="Times New Roman" w:hint="eastAsia"/>
                <w:szCs w:val="21"/>
              </w:rPr>
              <w:t>均通过林洋创投这一平台开展对外投资。</w:t>
            </w:r>
            <w:r w:rsidRPr="00C75164">
              <w:rPr>
                <w:rFonts w:ascii="Times New Roman" w:hAnsi="Times New Roman" w:cs="Times New Roman" w:hint="eastAsia"/>
                <w:szCs w:val="21"/>
              </w:rPr>
              <w:t>2024</w:t>
            </w:r>
            <w:r w:rsidRPr="00C75164">
              <w:rPr>
                <w:rFonts w:ascii="Times New Roman" w:hAnsi="Times New Roman" w:cs="Times New Roman" w:hint="eastAsia"/>
                <w:szCs w:val="21"/>
              </w:rPr>
              <w:t>年，林洋创投在创新资本平台上对低空经济进行战略布局。一方面，围绕“新赛道老场景”，重点关注低空经济领域，探索如何让智能、储能、新能源三大主业在传统应用场景中焕发新活力，以配套建设低空经济相关产业；另一方面，鉴于三大主业板块已进入全球化竞争的深水区，着眼海外市场，提前布局对具备市场、渠道和研发能力的海外公司进行股权投资的机会。</w:t>
            </w:r>
          </w:p>
          <w:p w14:paraId="2FFE5950" w14:textId="515E011E" w:rsidR="00FD26AC" w:rsidRPr="00A05FE6" w:rsidRDefault="006A0D58" w:rsidP="00FD26AC">
            <w:pPr>
              <w:pStyle w:val="a4"/>
              <w:ind w:left="360" w:firstLineChars="0" w:firstLine="0"/>
              <w:rPr>
                <w:rFonts w:ascii="Times New Roman" w:hAnsi="Times New Roman" w:cs="Times New Roman"/>
                <w:szCs w:val="21"/>
              </w:rPr>
            </w:pPr>
            <w:r>
              <w:rPr>
                <w:rFonts w:ascii="Times New Roman" w:hAnsi="Times New Roman" w:cs="Times New Roman" w:hint="eastAsia"/>
                <w:b/>
                <w:szCs w:val="21"/>
              </w:rPr>
              <w:t>8</w:t>
            </w:r>
            <w:r w:rsidR="00FD26AC" w:rsidRPr="00A05FE6">
              <w:rPr>
                <w:rFonts w:ascii="Times New Roman" w:hAnsi="Times New Roman" w:cs="Times New Roman"/>
                <w:b/>
                <w:szCs w:val="21"/>
              </w:rPr>
              <w:t>、</w:t>
            </w:r>
            <w:r w:rsidR="00FD26AC" w:rsidRPr="00FD26AC">
              <w:rPr>
                <w:rFonts w:ascii="Times New Roman" w:hAnsi="Times New Roman" w:cs="Times New Roman" w:hint="eastAsia"/>
                <w:b/>
                <w:szCs w:val="21"/>
              </w:rPr>
              <w:t>2025</w:t>
            </w:r>
            <w:r w:rsidR="00FD26AC" w:rsidRPr="00FD26AC">
              <w:rPr>
                <w:rFonts w:ascii="Times New Roman" w:hAnsi="Times New Roman" w:cs="Times New Roman" w:hint="eastAsia"/>
                <w:b/>
                <w:szCs w:val="21"/>
              </w:rPr>
              <w:t>年公司储能海外业务发展预期？</w:t>
            </w:r>
          </w:p>
          <w:p w14:paraId="0B103F59" w14:textId="77777777" w:rsidR="00FD26AC" w:rsidRDefault="00FD26AC" w:rsidP="0054130B">
            <w:pPr>
              <w:spacing w:afterLines="50" w:after="156" w:line="320" w:lineRule="exact"/>
              <w:ind w:firstLineChars="200" w:firstLine="420"/>
              <w:rPr>
                <w:rFonts w:ascii="Times New Roman" w:hAnsi="Times New Roman" w:cs="Times New Roman"/>
                <w:szCs w:val="21"/>
              </w:rPr>
            </w:pPr>
            <w:r w:rsidRPr="00FD26AC">
              <w:rPr>
                <w:rFonts w:ascii="Times New Roman" w:hAnsi="Times New Roman" w:cs="Times New Roman" w:hint="eastAsia"/>
                <w:szCs w:val="21"/>
              </w:rPr>
              <w:t>2025</w:t>
            </w:r>
            <w:r w:rsidRPr="00FD26AC">
              <w:rPr>
                <w:rFonts w:ascii="Times New Roman" w:hAnsi="Times New Roman" w:cs="Times New Roman" w:hint="eastAsia"/>
                <w:szCs w:val="21"/>
              </w:rPr>
              <w:t>年将是</w:t>
            </w:r>
            <w:r w:rsidR="008F7EC6">
              <w:rPr>
                <w:rFonts w:ascii="Times New Roman" w:hAnsi="Times New Roman" w:cs="Times New Roman" w:hint="eastAsia"/>
                <w:szCs w:val="21"/>
              </w:rPr>
              <w:t>公司</w:t>
            </w:r>
            <w:r w:rsidRPr="00FD26AC">
              <w:rPr>
                <w:rFonts w:ascii="Times New Roman" w:hAnsi="Times New Roman" w:cs="Times New Roman" w:hint="eastAsia"/>
                <w:szCs w:val="21"/>
              </w:rPr>
              <w:t>首次实现储能产品规模化海外销售的第一年。在</w:t>
            </w:r>
            <w:r w:rsidRPr="00FD26AC">
              <w:rPr>
                <w:rFonts w:ascii="Times New Roman" w:hAnsi="Times New Roman" w:cs="Times New Roman" w:hint="eastAsia"/>
                <w:szCs w:val="21"/>
              </w:rPr>
              <w:t>2024</w:t>
            </w:r>
            <w:r w:rsidRPr="00FD26AC">
              <w:rPr>
                <w:rFonts w:ascii="Times New Roman" w:hAnsi="Times New Roman" w:cs="Times New Roman" w:hint="eastAsia"/>
                <w:szCs w:val="21"/>
              </w:rPr>
              <w:t>年第三季度，</w:t>
            </w:r>
            <w:r>
              <w:rPr>
                <w:rFonts w:ascii="Times New Roman" w:hAnsi="Times New Roman" w:cs="Times New Roman" w:hint="eastAsia"/>
                <w:szCs w:val="21"/>
              </w:rPr>
              <w:t>公司</w:t>
            </w:r>
            <w:r w:rsidRPr="00FD26AC">
              <w:rPr>
                <w:rFonts w:ascii="Times New Roman" w:hAnsi="Times New Roman" w:cs="Times New Roman" w:hint="eastAsia"/>
                <w:szCs w:val="21"/>
              </w:rPr>
              <w:t>在波兰华沙设立了储能业务欧洲销售市场、技术支持、解决方案和售后服务中心，团队也已组建完成，同时还在波兰规划建设储能工厂。在中东，</w:t>
            </w:r>
            <w:r>
              <w:rPr>
                <w:rFonts w:ascii="Times New Roman" w:hAnsi="Times New Roman" w:cs="Times New Roman" w:hint="eastAsia"/>
                <w:szCs w:val="21"/>
              </w:rPr>
              <w:t>公司</w:t>
            </w:r>
            <w:r w:rsidRPr="00FD26AC">
              <w:rPr>
                <w:rFonts w:ascii="Times New Roman" w:hAnsi="Times New Roman" w:cs="Times New Roman" w:hint="eastAsia"/>
                <w:szCs w:val="21"/>
              </w:rPr>
              <w:t>与战略合作伙伴</w:t>
            </w:r>
            <w:r w:rsidRPr="00FD26AC">
              <w:rPr>
                <w:rFonts w:ascii="Times New Roman" w:hAnsi="Times New Roman" w:cs="Times New Roman" w:hint="eastAsia"/>
                <w:szCs w:val="21"/>
              </w:rPr>
              <w:t>ECC</w:t>
            </w:r>
            <w:r w:rsidRPr="00FD26AC">
              <w:rPr>
                <w:rFonts w:ascii="Times New Roman" w:hAnsi="Times New Roman" w:cs="Times New Roman" w:hint="eastAsia"/>
                <w:szCs w:val="21"/>
              </w:rPr>
              <w:t>公司合资建立了储能工厂，该工厂涵盖电表生产和储能生产</w:t>
            </w:r>
            <w:r>
              <w:rPr>
                <w:rFonts w:ascii="Times New Roman" w:hAnsi="Times New Roman" w:cs="Times New Roman" w:hint="eastAsia"/>
                <w:szCs w:val="21"/>
              </w:rPr>
              <w:t>，</w:t>
            </w:r>
            <w:r w:rsidRPr="00FD26AC">
              <w:rPr>
                <w:rFonts w:ascii="Times New Roman" w:hAnsi="Times New Roman" w:cs="Times New Roman" w:hint="eastAsia"/>
                <w:szCs w:val="21"/>
              </w:rPr>
              <w:t>以此增强本地化交</w:t>
            </w:r>
            <w:r w:rsidRPr="00FD26AC">
              <w:rPr>
                <w:rFonts w:ascii="Times New Roman" w:hAnsi="Times New Roman" w:cs="Times New Roman" w:hint="eastAsia"/>
                <w:szCs w:val="21"/>
              </w:rPr>
              <w:lastRenderedPageBreak/>
              <w:t>付能力，推动中东市场的储能产品销售</w:t>
            </w:r>
            <w:r>
              <w:rPr>
                <w:rFonts w:ascii="Times New Roman" w:hAnsi="Times New Roman" w:cs="Times New Roman" w:hint="eastAsia"/>
                <w:szCs w:val="21"/>
              </w:rPr>
              <w:t>。</w:t>
            </w:r>
            <w:r w:rsidRPr="00FD26AC">
              <w:rPr>
                <w:rFonts w:ascii="Times New Roman" w:hAnsi="Times New Roman" w:cs="Times New Roman" w:hint="eastAsia"/>
                <w:szCs w:val="21"/>
              </w:rPr>
              <w:t>在东南亚，储能业务运营中心设在印尼雅加达，团队已组建完毕。</w:t>
            </w:r>
            <w:r w:rsidR="00105E9A" w:rsidRPr="00105E9A">
              <w:rPr>
                <w:rFonts w:ascii="Times New Roman" w:hAnsi="Times New Roman" w:cs="Times New Roman" w:hint="eastAsia"/>
                <w:szCs w:val="21"/>
              </w:rPr>
              <w:t>此外，围绕东南亚主要市场，在蒙古国和澳洲也展开了业务布局。</w:t>
            </w:r>
          </w:p>
          <w:p w14:paraId="29EE32FB" w14:textId="3F0EF240" w:rsidR="006A0D58" w:rsidRPr="00A05FE6" w:rsidRDefault="006A0D58" w:rsidP="006A0D58">
            <w:pPr>
              <w:pStyle w:val="a4"/>
              <w:ind w:left="360" w:firstLineChars="0" w:firstLine="0"/>
              <w:rPr>
                <w:rFonts w:ascii="Times New Roman" w:hAnsi="Times New Roman" w:cs="Times New Roman"/>
                <w:szCs w:val="21"/>
              </w:rPr>
            </w:pPr>
            <w:r>
              <w:rPr>
                <w:rFonts w:ascii="Times New Roman" w:hAnsi="Times New Roman" w:cs="Times New Roman" w:hint="eastAsia"/>
                <w:b/>
                <w:szCs w:val="21"/>
              </w:rPr>
              <w:t>9</w:t>
            </w:r>
            <w:r w:rsidRPr="00A05FE6">
              <w:rPr>
                <w:rFonts w:ascii="Times New Roman" w:hAnsi="Times New Roman" w:cs="Times New Roman"/>
                <w:b/>
                <w:szCs w:val="21"/>
              </w:rPr>
              <w:t>、</w:t>
            </w:r>
            <w:r w:rsidRPr="00235B02">
              <w:rPr>
                <w:rFonts w:ascii="Times New Roman" w:hAnsi="Times New Roman" w:cs="Times New Roman" w:hint="eastAsia"/>
                <w:b/>
                <w:szCs w:val="21"/>
              </w:rPr>
              <w:t>海外电表订单交付周期是多久</w:t>
            </w:r>
            <w:r w:rsidRPr="00C75164">
              <w:rPr>
                <w:rFonts w:ascii="Times New Roman" w:hAnsi="Times New Roman" w:cs="Times New Roman" w:hint="eastAsia"/>
                <w:b/>
                <w:szCs w:val="21"/>
              </w:rPr>
              <w:t>？</w:t>
            </w:r>
            <w:r w:rsidRPr="00A05FE6">
              <w:rPr>
                <w:rFonts w:ascii="Times New Roman" w:hAnsi="Times New Roman" w:cs="Times New Roman"/>
                <w:b/>
                <w:szCs w:val="21"/>
              </w:rPr>
              <w:t xml:space="preserve"> </w:t>
            </w:r>
          </w:p>
          <w:p w14:paraId="1014E503" w14:textId="32269363" w:rsidR="006A0D58" w:rsidRPr="0054130B" w:rsidRDefault="006A0D58" w:rsidP="006A0D58">
            <w:pPr>
              <w:spacing w:afterLines="50" w:after="156" w:line="320" w:lineRule="exact"/>
              <w:ind w:firstLineChars="200" w:firstLine="420"/>
              <w:rPr>
                <w:rFonts w:ascii="Times New Roman" w:hAnsi="Times New Roman" w:cs="Times New Roman"/>
                <w:szCs w:val="21"/>
              </w:rPr>
            </w:pPr>
            <w:r w:rsidRPr="00235B02">
              <w:rPr>
                <w:rFonts w:ascii="Times New Roman" w:hAnsi="Times New Roman" w:cs="Times New Roman" w:hint="eastAsia"/>
                <w:szCs w:val="21"/>
              </w:rPr>
              <w:t>公司目前海外订单的交付周期约在</w:t>
            </w:r>
            <w:r w:rsidRPr="00235B02">
              <w:rPr>
                <w:rFonts w:ascii="Times New Roman" w:hAnsi="Times New Roman" w:cs="Times New Roman" w:hint="eastAsia"/>
                <w:szCs w:val="21"/>
              </w:rPr>
              <w:t>7</w:t>
            </w:r>
            <w:r w:rsidRPr="00235B02">
              <w:rPr>
                <w:rFonts w:ascii="Times New Roman" w:hAnsi="Times New Roman" w:cs="Times New Roman" w:hint="eastAsia"/>
                <w:szCs w:val="21"/>
              </w:rPr>
              <w:t>～</w:t>
            </w:r>
            <w:r w:rsidRPr="00235B02">
              <w:rPr>
                <w:rFonts w:ascii="Times New Roman" w:hAnsi="Times New Roman" w:cs="Times New Roman" w:hint="eastAsia"/>
                <w:szCs w:val="21"/>
              </w:rPr>
              <w:t>8</w:t>
            </w:r>
            <w:r w:rsidRPr="00235B02">
              <w:rPr>
                <w:rFonts w:ascii="Times New Roman" w:hAnsi="Times New Roman" w:cs="Times New Roman" w:hint="eastAsia"/>
                <w:szCs w:val="21"/>
              </w:rPr>
              <w:t>个月</w:t>
            </w:r>
            <w:r>
              <w:rPr>
                <w:rFonts w:ascii="Times New Roman" w:hAnsi="Times New Roman" w:cs="Times New Roman" w:hint="eastAsia"/>
                <w:szCs w:val="21"/>
              </w:rPr>
              <w:t>。</w:t>
            </w:r>
          </w:p>
        </w:tc>
      </w:tr>
      <w:tr w:rsidR="007748D6" w:rsidRPr="00822ED6" w14:paraId="03E0935F" w14:textId="77777777" w:rsidTr="00763AF0">
        <w:tc>
          <w:tcPr>
            <w:tcW w:w="1809" w:type="dxa"/>
            <w:vAlign w:val="center"/>
          </w:tcPr>
          <w:p w14:paraId="4B930103" w14:textId="77777777" w:rsidR="007748D6" w:rsidRPr="00822ED6" w:rsidRDefault="00C6374B" w:rsidP="007748D6">
            <w:r w:rsidRPr="00822ED6">
              <w:rPr>
                <w:rFonts w:hint="eastAsia"/>
              </w:rPr>
              <w:lastRenderedPageBreak/>
              <w:t>附件</w:t>
            </w:r>
          </w:p>
        </w:tc>
        <w:tc>
          <w:tcPr>
            <w:tcW w:w="6713" w:type="dxa"/>
            <w:vAlign w:val="center"/>
          </w:tcPr>
          <w:p w14:paraId="619A9F5D" w14:textId="2059087F" w:rsidR="007748D6" w:rsidRPr="00822ED6" w:rsidRDefault="00507E3D" w:rsidP="007748D6">
            <w:r>
              <w:rPr>
                <w:rFonts w:hint="eastAsia"/>
              </w:rPr>
              <w:t>无</w:t>
            </w:r>
          </w:p>
        </w:tc>
      </w:tr>
      <w:tr w:rsidR="007748D6" w:rsidRPr="00562D52" w14:paraId="68212CF9" w14:textId="77777777" w:rsidTr="00763AF0">
        <w:tc>
          <w:tcPr>
            <w:tcW w:w="1809" w:type="dxa"/>
            <w:vAlign w:val="center"/>
          </w:tcPr>
          <w:p w14:paraId="59825C28" w14:textId="77777777" w:rsidR="007748D6" w:rsidRPr="00562D52" w:rsidRDefault="00763AF0" w:rsidP="007748D6">
            <w:pPr>
              <w:rPr>
                <w:rFonts w:ascii="宋体" w:eastAsia="宋体" w:hAnsi="宋体" w:hint="eastAsia"/>
              </w:rPr>
            </w:pPr>
            <w:r w:rsidRPr="00562D52">
              <w:rPr>
                <w:rFonts w:ascii="宋体" w:eastAsia="宋体" w:hAnsi="宋体" w:hint="eastAsia"/>
              </w:rPr>
              <w:t>日期</w:t>
            </w:r>
          </w:p>
        </w:tc>
        <w:tc>
          <w:tcPr>
            <w:tcW w:w="6713" w:type="dxa"/>
            <w:vAlign w:val="center"/>
          </w:tcPr>
          <w:p w14:paraId="791650A8" w14:textId="082E678F" w:rsidR="007748D6" w:rsidRPr="00562D52" w:rsidRDefault="00763AF0" w:rsidP="00466BF6">
            <w:pPr>
              <w:rPr>
                <w:rFonts w:ascii="宋体" w:eastAsia="宋体" w:hAnsi="宋体" w:hint="eastAsia"/>
              </w:rPr>
            </w:pPr>
            <w:r w:rsidRPr="00562D52">
              <w:rPr>
                <w:rFonts w:ascii="宋体" w:eastAsia="宋体" w:hAnsi="宋体" w:hint="eastAsia"/>
              </w:rPr>
              <w:t>20</w:t>
            </w:r>
            <w:r w:rsidR="00562D52" w:rsidRPr="00562D52">
              <w:rPr>
                <w:rFonts w:ascii="宋体" w:eastAsia="宋体" w:hAnsi="宋体" w:hint="eastAsia"/>
              </w:rPr>
              <w:t>25</w:t>
            </w:r>
            <w:r w:rsidRPr="00562D52">
              <w:rPr>
                <w:rFonts w:ascii="宋体" w:eastAsia="宋体" w:hAnsi="宋体" w:hint="eastAsia"/>
              </w:rPr>
              <w:t>年</w:t>
            </w:r>
            <w:r w:rsidR="00562D52" w:rsidRPr="00562D52">
              <w:rPr>
                <w:rFonts w:ascii="宋体" w:eastAsia="宋体" w:hAnsi="宋体" w:hint="eastAsia"/>
              </w:rPr>
              <w:t>4</w:t>
            </w:r>
            <w:r w:rsidRPr="00562D52">
              <w:rPr>
                <w:rFonts w:ascii="宋体" w:eastAsia="宋体" w:hAnsi="宋体" w:hint="eastAsia"/>
              </w:rPr>
              <w:t>月</w:t>
            </w:r>
            <w:r w:rsidR="006A5D65" w:rsidRPr="00562D52">
              <w:rPr>
                <w:rFonts w:ascii="宋体" w:eastAsia="宋体" w:hAnsi="宋体" w:hint="eastAsia"/>
              </w:rPr>
              <w:t>2</w:t>
            </w:r>
            <w:r w:rsidR="008F7EC6">
              <w:rPr>
                <w:rFonts w:ascii="宋体" w:eastAsia="宋体" w:hAnsi="宋体" w:hint="eastAsia"/>
              </w:rPr>
              <w:t>8</w:t>
            </w:r>
            <w:r w:rsidRPr="00562D52">
              <w:rPr>
                <w:rFonts w:ascii="宋体" w:eastAsia="宋体" w:hAnsi="宋体" w:hint="eastAsia"/>
              </w:rPr>
              <w:t>日</w:t>
            </w:r>
          </w:p>
        </w:tc>
      </w:tr>
    </w:tbl>
    <w:p w14:paraId="5BC734AE" w14:textId="3C6DBD1B" w:rsidR="004A1E7F" w:rsidRDefault="004A1E7F" w:rsidP="007748D6">
      <w:pPr>
        <w:ind w:firstLineChars="3250" w:firstLine="6825"/>
      </w:pPr>
    </w:p>
    <w:sectPr w:rsidR="004A1E7F" w:rsidSect="004864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6C1A" w14:textId="77777777" w:rsidR="00422B61" w:rsidRDefault="00422B61" w:rsidP="0093396C">
      <w:r>
        <w:separator/>
      </w:r>
    </w:p>
  </w:endnote>
  <w:endnote w:type="continuationSeparator" w:id="0">
    <w:p w14:paraId="03005290" w14:textId="77777777" w:rsidR="00422B61" w:rsidRDefault="00422B61" w:rsidP="009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4D7A" w14:textId="77777777" w:rsidR="00422B61" w:rsidRDefault="00422B61" w:rsidP="0093396C">
      <w:r>
        <w:separator/>
      </w:r>
    </w:p>
  </w:footnote>
  <w:footnote w:type="continuationSeparator" w:id="0">
    <w:p w14:paraId="709A93CA" w14:textId="77777777" w:rsidR="00422B61" w:rsidRDefault="00422B61" w:rsidP="00933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220"/>
    <w:multiLevelType w:val="hybridMultilevel"/>
    <w:tmpl w:val="6B82C84C"/>
    <w:lvl w:ilvl="0" w:tplc="9A485A8E">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42D5E91"/>
    <w:multiLevelType w:val="hybridMultilevel"/>
    <w:tmpl w:val="2BB045BA"/>
    <w:lvl w:ilvl="0" w:tplc="ED64A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5C4B42"/>
    <w:multiLevelType w:val="hybridMultilevel"/>
    <w:tmpl w:val="2BB045BA"/>
    <w:lvl w:ilvl="0" w:tplc="ED64A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217748"/>
    <w:multiLevelType w:val="hybridMultilevel"/>
    <w:tmpl w:val="BF582B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B60598"/>
    <w:multiLevelType w:val="hybridMultilevel"/>
    <w:tmpl w:val="CC740FCE"/>
    <w:lvl w:ilvl="0" w:tplc="173474B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BB23D1"/>
    <w:multiLevelType w:val="hybridMultilevel"/>
    <w:tmpl w:val="2A36A8EE"/>
    <w:lvl w:ilvl="0" w:tplc="FB84AC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9B1CEA"/>
    <w:multiLevelType w:val="hybridMultilevel"/>
    <w:tmpl w:val="2BB045BA"/>
    <w:lvl w:ilvl="0" w:tplc="ED64A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527EB8"/>
    <w:multiLevelType w:val="hybridMultilevel"/>
    <w:tmpl w:val="5C9E775A"/>
    <w:lvl w:ilvl="0" w:tplc="FB84AC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4716DAD"/>
    <w:multiLevelType w:val="hybridMultilevel"/>
    <w:tmpl w:val="BC14E43A"/>
    <w:lvl w:ilvl="0" w:tplc="CB2617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926789"/>
    <w:multiLevelType w:val="hybridMultilevel"/>
    <w:tmpl w:val="09FC4AF6"/>
    <w:lvl w:ilvl="0" w:tplc="E30AB1F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617619"/>
    <w:multiLevelType w:val="hybridMultilevel"/>
    <w:tmpl w:val="AB36D4B8"/>
    <w:lvl w:ilvl="0" w:tplc="ED84746A">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3A40499"/>
    <w:multiLevelType w:val="hybridMultilevel"/>
    <w:tmpl w:val="455EAE86"/>
    <w:lvl w:ilvl="0" w:tplc="A2C266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25501B"/>
    <w:multiLevelType w:val="hybridMultilevel"/>
    <w:tmpl w:val="3CA4F3C2"/>
    <w:lvl w:ilvl="0" w:tplc="948662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FB1FC0"/>
    <w:multiLevelType w:val="hybridMultilevel"/>
    <w:tmpl w:val="52285444"/>
    <w:lvl w:ilvl="0" w:tplc="5ADE8ED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1566332364">
    <w:abstractNumId w:val="5"/>
  </w:num>
  <w:num w:numId="2" w16cid:durableId="1880556825">
    <w:abstractNumId w:val="3"/>
  </w:num>
  <w:num w:numId="3" w16cid:durableId="665062302">
    <w:abstractNumId w:val="7"/>
  </w:num>
  <w:num w:numId="4" w16cid:durableId="2125995496">
    <w:abstractNumId w:val="12"/>
  </w:num>
  <w:num w:numId="5" w16cid:durableId="770665313">
    <w:abstractNumId w:val="0"/>
  </w:num>
  <w:num w:numId="6" w16cid:durableId="916865473">
    <w:abstractNumId w:val="11"/>
  </w:num>
  <w:num w:numId="7" w16cid:durableId="696463636">
    <w:abstractNumId w:val="1"/>
  </w:num>
  <w:num w:numId="8" w16cid:durableId="1988975946">
    <w:abstractNumId w:val="4"/>
  </w:num>
  <w:num w:numId="9" w16cid:durableId="1956791212">
    <w:abstractNumId w:val="9"/>
  </w:num>
  <w:num w:numId="10" w16cid:durableId="1846280928">
    <w:abstractNumId w:val="10"/>
  </w:num>
  <w:num w:numId="11" w16cid:durableId="1724450879">
    <w:abstractNumId w:val="8"/>
  </w:num>
  <w:num w:numId="12" w16cid:durableId="95565741">
    <w:abstractNumId w:val="6"/>
  </w:num>
  <w:num w:numId="13" w16cid:durableId="1290361336">
    <w:abstractNumId w:val="2"/>
  </w:num>
  <w:num w:numId="14" w16cid:durableId="1326739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448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BB"/>
    <w:rsid w:val="00000E15"/>
    <w:rsid w:val="00003E13"/>
    <w:rsid w:val="0000628A"/>
    <w:rsid w:val="0001180C"/>
    <w:rsid w:val="00012710"/>
    <w:rsid w:val="000127B4"/>
    <w:rsid w:val="000179E2"/>
    <w:rsid w:val="00040B2B"/>
    <w:rsid w:val="00056334"/>
    <w:rsid w:val="00061487"/>
    <w:rsid w:val="000706F9"/>
    <w:rsid w:val="000708F6"/>
    <w:rsid w:val="00076154"/>
    <w:rsid w:val="00076D16"/>
    <w:rsid w:val="0008683C"/>
    <w:rsid w:val="00086952"/>
    <w:rsid w:val="000A4023"/>
    <w:rsid w:val="000C6161"/>
    <w:rsid w:val="000D273A"/>
    <w:rsid w:val="000E76F7"/>
    <w:rsid w:val="000F0D76"/>
    <w:rsid w:val="00100977"/>
    <w:rsid w:val="00101434"/>
    <w:rsid w:val="00104019"/>
    <w:rsid w:val="00105E9A"/>
    <w:rsid w:val="0012076A"/>
    <w:rsid w:val="0014325E"/>
    <w:rsid w:val="0014374B"/>
    <w:rsid w:val="001454EA"/>
    <w:rsid w:val="001501E5"/>
    <w:rsid w:val="00170F18"/>
    <w:rsid w:val="00196388"/>
    <w:rsid w:val="001971ED"/>
    <w:rsid w:val="001A1704"/>
    <w:rsid w:val="001A2BA1"/>
    <w:rsid w:val="001A6E41"/>
    <w:rsid w:val="001A70D3"/>
    <w:rsid w:val="001A756D"/>
    <w:rsid w:val="001B007D"/>
    <w:rsid w:val="001C0730"/>
    <w:rsid w:val="001C0A35"/>
    <w:rsid w:val="001D3FDE"/>
    <w:rsid w:val="001D537E"/>
    <w:rsid w:val="001E47EE"/>
    <w:rsid w:val="001E7E4E"/>
    <w:rsid w:val="001F28CE"/>
    <w:rsid w:val="00201E5E"/>
    <w:rsid w:val="0021119A"/>
    <w:rsid w:val="00216D3B"/>
    <w:rsid w:val="00220645"/>
    <w:rsid w:val="002211D2"/>
    <w:rsid w:val="00221F7C"/>
    <w:rsid w:val="0023247B"/>
    <w:rsid w:val="0023276A"/>
    <w:rsid w:val="00233E56"/>
    <w:rsid w:val="00235827"/>
    <w:rsid w:val="00235B02"/>
    <w:rsid w:val="0024111D"/>
    <w:rsid w:val="00257C05"/>
    <w:rsid w:val="00264F28"/>
    <w:rsid w:val="00266711"/>
    <w:rsid w:val="002679A1"/>
    <w:rsid w:val="00267C49"/>
    <w:rsid w:val="00272B9A"/>
    <w:rsid w:val="002766D8"/>
    <w:rsid w:val="00286297"/>
    <w:rsid w:val="00286994"/>
    <w:rsid w:val="002B29DB"/>
    <w:rsid w:val="002B3013"/>
    <w:rsid w:val="002B39A1"/>
    <w:rsid w:val="002B3BD6"/>
    <w:rsid w:val="002B6D66"/>
    <w:rsid w:val="002C314A"/>
    <w:rsid w:val="002C601B"/>
    <w:rsid w:val="002D1D6E"/>
    <w:rsid w:val="002D4D9E"/>
    <w:rsid w:val="002D4F92"/>
    <w:rsid w:val="002D6CD9"/>
    <w:rsid w:val="002E4A9C"/>
    <w:rsid w:val="002F2C34"/>
    <w:rsid w:val="002F5690"/>
    <w:rsid w:val="00300F4C"/>
    <w:rsid w:val="00320F43"/>
    <w:rsid w:val="00324045"/>
    <w:rsid w:val="00327DAB"/>
    <w:rsid w:val="003303CB"/>
    <w:rsid w:val="00333550"/>
    <w:rsid w:val="00335A35"/>
    <w:rsid w:val="003362DC"/>
    <w:rsid w:val="0034314F"/>
    <w:rsid w:val="00345BB2"/>
    <w:rsid w:val="00347BA6"/>
    <w:rsid w:val="00354C49"/>
    <w:rsid w:val="00366051"/>
    <w:rsid w:val="003707D6"/>
    <w:rsid w:val="003712B8"/>
    <w:rsid w:val="00383803"/>
    <w:rsid w:val="00386929"/>
    <w:rsid w:val="003874F8"/>
    <w:rsid w:val="00392538"/>
    <w:rsid w:val="00395480"/>
    <w:rsid w:val="00395F75"/>
    <w:rsid w:val="003A6F39"/>
    <w:rsid w:val="003A7D26"/>
    <w:rsid w:val="003A7E31"/>
    <w:rsid w:val="003B07F5"/>
    <w:rsid w:val="003B4C78"/>
    <w:rsid w:val="003B6937"/>
    <w:rsid w:val="003C3095"/>
    <w:rsid w:val="003C432D"/>
    <w:rsid w:val="003C4BDB"/>
    <w:rsid w:val="003D015D"/>
    <w:rsid w:val="003D1190"/>
    <w:rsid w:val="003D3134"/>
    <w:rsid w:val="003E2318"/>
    <w:rsid w:val="003F0ECB"/>
    <w:rsid w:val="003F415A"/>
    <w:rsid w:val="004020F3"/>
    <w:rsid w:val="00407A5D"/>
    <w:rsid w:val="0041147C"/>
    <w:rsid w:val="004125D8"/>
    <w:rsid w:val="004140CE"/>
    <w:rsid w:val="00416300"/>
    <w:rsid w:val="0041766F"/>
    <w:rsid w:val="00422B61"/>
    <w:rsid w:val="0043033E"/>
    <w:rsid w:val="00430526"/>
    <w:rsid w:val="00433B7A"/>
    <w:rsid w:val="00435016"/>
    <w:rsid w:val="00440307"/>
    <w:rsid w:val="004433A8"/>
    <w:rsid w:val="0044686B"/>
    <w:rsid w:val="00466BF6"/>
    <w:rsid w:val="00484D0E"/>
    <w:rsid w:val="00486445"/>
    <w:rsid w:val="00494E51"/>
    <w:rsid w:val="004A1E7F"/>
    <w:rsid w:val="004B42C0"/>
    <w:rsid w:val="004B6FE8"/>
    <w:rsid w:val="004D7CB7"/>
    <w:rsid w:val="004E0472"/>
    <w:rsid w:val="004E2FB0"/>
    <w:rsid w:val="004E645F"/>
    <w:rsid w:val="004E7BDA"/>
    <w:rsid w:val="004F32F9"/>
    <w:rsid w:val="004F3B28"/>
    <w:rsid w:val="00507E3D"/>
    <w:rsid w:val="00511A1B"/>
    <w:rsid w:val="00520968"/>
    <w:rsid w:val="005273CF"/>
    <w:rsid w:val="0053078D"/>
    <w:rsid w:val="00533537"/>
    <w:rsid w:val="0053750C"/>
    <w:rsid w:val="00540DE2"/>
    <w:rsid w:val="0054130B"/>
    <w:rsid w:val="00541542"/>
    <w:rsid w:val="0054275A"/>
    <w:rsid w:val="005440BB"/>
    <w:rsid w:val="00551265"/>
    <w:rsid w:val="00554FD8"/>
    <w:rsid w:val="00562D52"/>
    <w:rsid w:val="00564760"/>
    <w:rsid w:val="00565185"/>
    <w:rsid w:val="00566F7C"/>
    <w:rsid w:val="005675B6"/>
    <w:rsid w:val="00570394"/>
    <w:rsid w:val="0057435C"/>
    <w:rsid w:val="005846FA"/>
    <w:rsid w:val="00585D5E"/>
    <w:rsid w:val="0058649A"/>
    <w:rsid w:val="005922B3"/>
    <w:rsid w:val="005A3CBD"/>
    <w:rsid w:val="005A422D"/>
    <w:rsid w:val="005C76C8"/>
    <w:rsid w:val="005D1839"/>
    <w:rsid w:val="005E37D5"/>
    <w:rsid w:val="005F1A1E"/>
    <w:rsid w:val="005F7325"/>
    <w:rsid w:val="005F7556"/>
    <w:rsid w:val="00605512"/>
    <w:rsid w:val="006058FA"/>
    <w:rsid w:val="00612EF1"/>
    <w:rsid w:val="0061584F"/>
    <w:rsid w:val="006212EC"/>
    <w:rsid w:val="00624267"/>
    <w:rsid w:val="006279A3"/>
    <w:rsid w:val="00627B2C"/>
    <w:rsid w:val="0064113E"/>
    <w:rsid w:val="0064602F"/>
    <w:rsid w:val="006534A8"/>
    <w:rsid w:val="00663A59"/>
    <w:rsid w:val="00666B57"/>
    <w:rsid w:val="0066769E"/>
    <w:rsid w:val="006707FB"/>
    <w:rsid w:val="006713BC"/>
    <w:rsid w:val="006873D5"/>
    <w:rsid w:val="006A0D58"/>
    <w:rsid w:val="006A16AD"/>
    <w:rsid w:val="006A1CD1"/>
    <w:rsid w:val="006A5D65"/>
    <w:rsid w:val="006C6061"/>
    <w:rsid w:val="006C7892"/>
    <w:rsid w:val="006D4821"/>
    <w:rsid w:val="006D5451"/>
    <w:rsid w:val="006E0233"/>
    <w:rsid w:val="006E760A"/>
    <w:rsid w:val="006F406F"/>
    <w:rsid w:val="006F55A6"/>
    <w:rsid w:val="007121D8"/>
    <w:rsid w:val="00716521"/>
    <w:rsid w:val="007262C3"/>
    <w:rsid w:val="00735716"/>
    <w:rsid w:val="00750AD9"/>
    <w:rsid w:val="00752975"/>
    <w:rsid w:val="00755F21"/>
    <w:rsid w:val="00757934"/>
    <w:rsid w:val="00763AF0"/>
    <w:rsid w:val="007748D6"/>
    <w:rsid w:val="00775082"/>
    <w:rsid w:val="00775F23"/>
    <w:rsid w:val="0078054B"/>
    <w:rsid w:val="00781B9A"/>
    <w:rsid w:val="00783867"/>
    <w:rsid w:val="00792826"/>
    <w:rsid w:val="0079619F"/>
    <w:rsid w:val="007A0D2E"/>
    <w:rsid w:val="007A41F6"/>
    <w:rsid w:val="007A52E0"/>
    <w:rsid w:val="007B0ABB"/>
    <w:rsid w:val="007B6CFC"/>
    <w:rsid w:val="007C11BF"/>
    <w:rsid w:val="007D5740"/>
    <w:rsid w:val="007D57BB"/>
    <w:rsid w:val="007F017E"/>
    <w:rsid w:val="007F2AC6"/>
    <w:rsid w:val="007F6585"/>
    <w:rsid w:val="0081502F"/>
    <w:rsid w:val="00822ED6"/>
    <w:rsid w:val="0082373A"/>
    <w:rsid w:val="008273BB"/>
    <w:rsid w:val="0082741E"/>
    <w:rsid w:val="00827AE8"/>
    <w:rsid w:val="008338E7"/>
    <w:rsid w:val="008401F8"/>
    <w:rsid w:val="00841253"/>
    <w:rsid w:val="00843F49"/>
    <w:rsid w:val="00846F70"/>
    <w:rsid w:val="00847F2E"/>
    <w:rsid w:val="008536B4"/>
    <w:rsid w:val="0086191F"/>
    <w:rsid w:val="008631EE"/>
    <w:rsid w:val="00870681"/>
    <w:rsid w:val="00875F71"/>
    <w:rsid w:val="00877BA3"/>
    <w:rsid w:val="00887935"/>
    <w:rsid w:val="00887E8D"/>
    <w:rsid w:val="008975C7"/>
    <w:rsid w:val="008A32C8"/>
    <w:rsid w:val="008A72A2"/>
    <w:rsid w:val="008B1C1E"/>
    <w:rsid w:val="008B3FEA"/>
    <w:rsid w:val="008B5C3C"/>
    <w:rsid w:val="008C0022"/>
    <w:rsid w:val="008C1220"/>
    <w:rsid w:val="008C2BA5"/>
    <w:rsid w:val="008C40F0"/>
    <w:rsid w:val="008C6A36"/>
    <w:rsid w:val="008E13C2"/>
    <w:rsid w:val="008E591E"/>
    <w:rsid w:val="008E6163"/>
    <w:rsid w:val="008F4C5B"/>
    <w:rsid w:val="008F52C5"/>
    <w:rsid w:val="008F7EC6"/>
    <w:rsid w:val="00902C43"/>
    <w:rsid w:val="00905A46"/>
    <w:rsid w:val="009111A9"/>
    <w:rsid w:val="0092591E"/>
    <w:rsid w:val="0093396C"/>
    <w:rsid w:val="00935189"/>
    <w:rsid w:val="0093720B"/>
    <w:rsid w:val="0094635A"/>
    <w:rsid w:val="009500B8"/>
    <w:rsid w:val="009530A3"/>
    <w:rsid w:val="009658B1"/>
    <w:rsid w:val="009729C6"/>
    <w:rsid w:val="00976EBD"/>
    <w:rsid w:val="00983C34"/>
    <w:rsid w:val="009955F3"/>
    <w:rsid w:val="009B18BB"/>
    <w:rsid w:val="009D7E5C"/>
    <w:rsid w:val="009E6764"/>
    <w:rsid w:val="009F1508"/>
    <w:rsid w:val="009F190E"/>
    <w:rsid w:val="009F39E3"/>
    <w:rsid w:val="009F4A3E"/>
    <w:rsid w:val="00A05FE6"/>
    <w:rsid w:val="00A22559"/>
    <w:rsid w:val="00A44522"/>
    <w:rsid w:val="00A528C1"/>
    <w:rsid w:val="00A66CB7"/>
    <w:rsid w:val="00A67E6F"/>
    <w:rsid w:val="00A74E3A"/>
    <w:rsid w:val="00A75F5A"/>
    <w:rsid w:val="00A76AF0"/>
    <w:rsid w:val="00A8306A"/>
    <w:rsid w:val="00A8586F"/>
    <w:rsid w:val="00AA1025"/>
    <w:rsid w:val="00AB71FE"/>
    <w:rsid w:val="00AD0B73"/>
    <w:rsid w:val="00AD3671"/>
    <w:rsid w:val="00AE18D9"/>
    <w:rsid w:val="00B11BC2"/>
    <w:rsid w:val="00B236A4"/>
    <w:rsid w:val="00B5298B"/>
    <w:rsid w:val="00B54B65"/>
    <w:rsid w:val="00B75191"/>
    <w:rsid w:val="00B76E2C"/>
    <w:rsid w:val="00B773D7"/>
    <w:rsid w:val="00B80786"/>
    <w:rsid w:val="00B851FA"/>
    <w:rsid w:val="00B92880"/>
    <w:rsid w:val="00BA1B21"/>
    <w:rsid w:val="00BA4EE8"/>
    <w:rsid w:val="00BB08BB"/>
    <w:rsid w:val="00BB324A"/>
    <w:rsid w:val="00BC7FE8"/>
    <w:rsid w:val="00BE25FF"/>
    <w:rsid w:val="00BF0690"/>
    <w:rsid w:val="00C0187F"/>
    <w:rsid w:val="00C01DFF"/>
    <w:rsid w:val="00C03312"/>
    <w:rsid w:val="00C05E1A"/>
    <w:rsid w:val="00C259B9"/>
    <w:rsid w:val="00C36B1F"/>
    <w:rsid w:val="00C4751D"/>
    <w:rsid w:val="00C5167A"/>
    <w:rsid w:val="00C519D2"/>
    <w:rsid w:val="00C522EB"/>
    <w:rsid w:val="00C55579"/>
    <w:rsid w:val="00C62B1B"/>
    <w:rsid w:val="00C6374B"/>
    <w:rsid w:val="00C67F3D"/>
    <w:rsid w:val="00C72F0E"/>
    <w:rsid w:val="00C75164"/>
    <w:rsid w:val="00C753D7"/>
    <w:rsid w:val="00C841B6"/>
    <w:rsid w:val="00C87E57"/>
    <w:rsid w:val="00C93B75"/>
    <w:rsid w:val="00C946E3"/>
    <w:rsid w:val="00C95D24"/>
    <w:rsid w:val="00CA607B"/>
    <w:rsid w:val="00CB0038"/>
    <w:rsid w:val="00CC6656"/>
    <w:rsid w:val="00CD1081"/>
    <w:rsid w:val="00CD3E5B"/>
    <w:rsid w:val="00CD3FDC"/>
    <w:rsid w:val="00CE79B0"/>
    <w:rsid w:val="00CF4E04"/>
    <w:rsid w:val="00D01987"/>
    <w:rsid w:val="00D04ECA"/>
    <w:rsid w:val="00D06483"/>
    <w:rsid w:val="00D216D4"/>
    <w:rsid w:val="00D22E33"/>
    <w:rsid w:val="00D30419"/>
    <w:rsid w:val="00D30F7E"/>
    <w:rsid w:val="00D31DF2"/>
    <w:rsid w:val="00D42DFA"/>
    <w:rsid w:val="00D47995"/>
    <w:rsid w:val="00D5638B"/>
    <w:rsid w:val="00D768B6"/>
    <w:rsid w:val="00D95848"/>
    <w:rsid w:val="00DA2ED1"/>
    <w:rsid w:val="00DA3FB3"/>
    <w:rsid w:val="00DA775D"/>
    <w:rsid w:val="00DB1FE7"/>
    <w:rsid w:val="00DB56FA"/>
    <w:rsid w:val="00DC150E"/>
    <w:rsid w:val="00DC15AF"/>
    <w:rsid w:val="00DC1EB9"/>
    <w:rsid w:val="00DC5748"/>
    <w:rsid w:val="00DD1448"/>
    <w:rsid w:val="00DD1DE4"/>
    <w:rsid w:val="00DE16F7"/>
    <w:rsid w:val="00DE1DA7"/>
    <w:rsid w:val="00DF6B63"/>
    <w:rsid w:val="00E00BB7"/>
    <w:rsid w:val="00E01971"/>
    <w:rsid w:val="00E02C05"/>
    <w:rsid w:val="00E05205"/>
    <w:rsid w:val="00E13CF7"/>
    <w:rsid w:val="00E24F85"/>
    <w:rsid w:val="00E25F1C"/>
    <w:rsid w:val="00E31B42"/>
    <w:rsid w:val="00E45F62"/>
    <w:rsid w:val="00E47F10"/>
    <w:rsid w:val="00E52425"/>
    <w:rsid w:val="00E60262"/>
    <w:rsid w:val="00E819AB"/>
    <w:rsid w:val="00E91404"/>
    <w:rsid w:val="00E96B81"/>
    <w:rsid w:val="00EA72D7"/>
    <w:rsid w:val="00EB43D0"/>
    <w:rsid w:val="00EC6E3F"/>
    <w:rsid w:val="00EC7EC1"/>
    <w:rsid w:val="00ED7A40"/>
    <w:rsid w:val="00EF6D2A"/>
    <w:rsid w:val="00F025D7"/>
    <w:rsid w:val="00F02908"/>
    <w:rsid w:val="00F02C8E"/>
    <w:rsid w:val="00F0473C"/>
    <w:rsid w:val="00F05682"/>
    <w:rsid w:val="00F07289"/>
    <w:rsid w:val="00F1294E"/>
    <w:rsid w:val="00F36AEF"/>
    <w:rsid w:val="00F60485"/>
    <w:rsid w:val="00F73F3E"/>
    <w:rsid w:val="00F7730D"/>
    <w:rsid w:val="00F830A1"/>
    <w:rsid w:val="00F8723E"/>
    <w:rsid w:val="00F971BB"/>
    <w:rsid w:val="00FA1680"/>
    <w:rsid w:val="00FB07FC"/>
    <w:rsid w:val="00FB279C"/>
    <w:rsid w:val="00FB434D"/>
    <w:rsid w:val="00FC0162"/>
    <w:rsid w:val="00FC07D0"/>
    <w:rsid w:val="00FC56C4"/>
    <w:rsid w:val="00FD0111"/>
    <w:rsid w:val="00FD1400"/>
    <w:rsid w:val="00FD25AF"/>
    <w:rsid w:val="00FD26AC"/>
    <w:rsid w:val="00FD3375"/>
    <w:rsid w:val="00FE0885"/>
    <w:rsid w:val="00FE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7D665"/>
  <w15:docId w15:val="{284510E0-3A5D-400C-85AB-18078B24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4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48D6"/>
    <w:pPr>
      <w:ind w:firstLineChars="200" w:firstLine="420"/>
    </w:pPr>
  </w:style>
  <w:style w:type="paragraph" w:styleId="a5">
    <w:name w:val="header"/>
    <w:basedOn w:val="a"/>
    <w:link w:val="a6"/>
    <w:uiPriority w:val="99"/>
    <w:unhideWhenUsed/>
    <w:rsid w:val="0093396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3396C"/>
    <w:rPr>
      <w:sz w:val="18"/>
      <w:szCs w:val="18"/>
    </w:rPr>
  </w:style>
  <w:style w:type="paragraph" w:styleId="a7">
    <w:name w:val="footer"/>
    <w:basedOn w:val="a"/>
    <w:link w:val="a8"/>
    <w:uiPriority w:val="99"/>
    <w:unhideWhenUsed/>
    <w:rsid w:val="0093396C"/>
    <w:pPr>
      <w:tabs>
        <w:tab w:val="center" w:pos="4153"/>
        <w:tab w:val="right" w:pos="8306"/>
      </w:tabs>
      <w:snapToGrid w:val="0"/>
      <w:jc w:val="left"/>
    </w:pPr>
    <w:rPr>
      <w:sz w:val="18"/>
      <w:szCs w:val="18"/>
    </w:rPr>
  </w:style>
  <w:style w:type="character" w:customStyle="1" w:styleId="a8">
    <w:name w:val="页脚 字符"/>
    <w:basedOn w:val="a0"/>
    <w:link w:val="a7"/>
    <w:uiPriority w:val="99"/>
    <w:rsid w:val="0093396C"/>
    <w:rPr>
      <w:sz w:val="18"/>
      <w:szCs w:val="18"/>
    </w:rPr>
  </w:style>
  <w:style w:type="character" w:styleId="a9">
    <w:name w:val="Hyperlink"/>
    <w:basedOn w:val="a0"/>
    <w:uiPriority w:val="99"/>
    <w:unhideWhenUsed/>
    <w:rsid w:val="00847F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8130">
      <w:bodyDiv w:val="1"/>
      <w:marLeft w:val="0"/>
      <w:marRight w:val="0"/>
      <w:marTop w:val="0"/>
      <w:marBottom w:val="0"/>
      <w:divBdr>
        <w:top w:val="none" w:sz="0" w:space="0" w:color="auto"/>
        <w:left w:val="none" w:sz="0" w:space="0" w:color="auto"/>
        <w:bottom w:val="none" w:sz="0" w:space="0" w:color="auto"/>
        <w:right w:val="none" w:sz="0" w:space="0" w:color="auto"/>
      </w:divBdr>
    </w:div>
    <w:div w:id="473910967">
      <w:bodyDiv w:val="1"/>
      <w:marLeft w:val="0"/>
      <w:marRight w:val="0"/>
      <w:marTop w:val="0"/>
      <w:marBottom w:val="0"/>
      <w:divBdr>
        <w:top w:val="none" w:sz="0" w:space="0" w:color="auto"/>
        <w:left w:val="none" w:sz="0" w:space="0" w:color="auto"/>
        <w:bottom w:val="none" w:sz="0" w:space="0" w:color="auto"/>
        <w:right w:val="none" w:sz="0" w:space="0" w:color="auto"/>
      </w:divBdr>
    </w:div>
    <w:div w:id="581648756">
      <w:bodyDiv w:val="1"/>
      <w:marLeft w:val="0"/>
      <w:marRight w:val="0"/>
      <w:marTop w:val="0"/>
      <w:marBottom w:val="0"/>
      <w:divBdr>
        <w:top w:val="none" w:sz="0" w:space="0" w:color="auto"/>
        <w:left w:val="none" w:sz="0" w:space="0" w:color="auto"/>
        <w:bottom w:val="none" w:sz="0" w:space="0" w:color="auto"/>
        <w:right w:val="none" w:sz="0" w:space="0" w:color="auto"/>
      </w:divBdr>
    </w:div>
    <w:div w:id="706686947">
      <w:bodyDiv w:val="1"/>
      <w:marLeft w:val="0"/>
      <w:marRight w:val="0"/>
      <w:marTop w:val="0"/>
      <w:marBottom w:val="0"/>
      <w:divBdr>
        <w:top w:val="none" w:sz="0" w:space="0" w:color="auto"/>
        <w:left w:val="none" w:sz="0" w:space="0" w:color="auto"/>
        <w:bottom w:val="none" w:sz="0" w:space="0" w:color="auto"/>
        <w:right w:val="none" w:sz="0" w:space="0" w:color="auto"/>
      </w:divBdr>
    </w:div>
    <w:div w:id="869031441">
      <w:bodyDiv w:val="1"/>
      <w:marLeft w:val="0"/>
      <w:marRight w:val="0"/>
      <w:marTop w:val="0"/>
      <w:marBottom w:val="0"/>
      <w:divBdr>
        <w:top w:val="none" w:sz="0" w:space="0" w:color="auto"/>
        <w:left w:val="none" w:sz="0" w:space="0" w:color="auto"/>
        <w:bottom w:val="none" w:sz="0" w:space="0" w:color="auto"/>
        <w:right w:val="none" w:sz="0" w:space="0" w:color="auto"/>
      </w:divBdr>
    </w:div>
    <w:div w:id="909266499">
      <w:bodyDiv w:val="1"/>
      <w:marLeft w:val="0"/>
      <w:marRight w:val="0"/>
      <w:marTop w:val="0"/>
      <w:marBottom w:val="0"/>
      <w:divBdr>
        <w:top w:val="none" w:sz="0" w:space="0" w:color="auto"/>
        <w:left w:val="none" w:sz="0" w:space="0" w:color="auto"/>
        <w:bottom w:val="none" w:sz="0" w:space="0" w:color="auto"/>
        <w:right w:val="none" w:sz="0" w:space="0" w:color="auto"/>
      </w:divBdr>
    </w:div>
    <w:div w:id="1276209282">
      <w:bodyDiv w:val="1"/>
      <w:marLeft w:val="0"/>
      <w:marRight w:val="0"/>
      <w:marTop w:val="0"/>
      <w:marBottom w:val="0"/>
      <w:divBdr>
        <w:top w:val="none" w:sz="0" w:space="0" w:color="auto"/>
        <w:left w:val="none" w:sz="0" w:space="0" w:color="auto"/>
        <w:bottom w:val="none" w:sz="0" w:space="0" w:color="auto"/>
        <w:right w:val="none" w:sz="0" w:space="0" w:color="auto"/>
      </w:divBdr>
    </w:div>
    <w:div w:id="1710227979">
      <w:bodyDiv w:val="1"/>
      <w:marLeft w:val="0"/>
      <w:marRight w:val="0"/>
      <w:marTop w:val="0"/>
      <w:marBottom w:val="0"/>
      <w:divBdr>
        <w:top w:val="none" w:sz="0" w:space="0" w:color="auto"/>
        <w:left w:val="none" w:sz="0" w:space="0" w:color="auto"/>
        <w:bottom w:val="none" w:sz="0" w:space="0" w:color="auto"/>
        <w:right w:val="none" w:sz="0" w:space="0" w:color="auto"/>
      </w:divBdr>
    </w:div>
    <w:div w:id="1842697062">
      <w:bodyDiv w:val="1"/>
      <w:marLeft w:val="0"/>
      <w:marRight w:val="0"/>
      <w:marTop w:val="0"/>
      <w:marBottom w:val="0"/>
      <w:divBdr>
        <w:top w:val="none" w:sz="0" w:space="0" w:color="auto"/>
        <w:left w:val="none" w:sz="0" w:space="0" w:color="auto"/>
        <w:bottom w:val="none" w:sz="0" w:space="0" w:color="auto"/>
        <w:right w:val="none" w:sz="0" w:space="0" w:color="auto"/>
      </w:divBdr>
    </w:div>
    <w:div w:id="1894808339">
      <w:bodyDiv w:val="1"/>
      <w:marLeft w:val="0"/>
      <w:marRight w:val="0"/>
      <w:marTop w:val="0"/>
      <w:marBottom w:val="0"/>
      <w:divBdr>
        <w:top w:val="none" w:sz="0" w:space="0" w:color="auto"/>
        <w:left w:val="none" w:sz="0" w:space="0" w:color="auto"/>
        <w:bottom w:val="none" w:sz="0" w:space="0" w:color="auto"/>
        <w:right w:val="none" w:sz="0" w:space="0" w:color="auto"/>
      </w:divBdr>
    </w:div>
    <w:div w:id="2069104921">
      <w:bodyDiv w:val="1"/>
      <w:marLeft w:val="0"/>
      <w:marRight w:val="0"/>
      <w:marTop w:val="0"/>
      <w:marBottom w:val="0"/>
      <w:divBdr>
        <w:top w:val="none" w:sz="0" w:space="0" w:color="auto"/>
        <w:left w:val="none" w:sz="0" w:space="0" w:color="auto"/>
        <w:bottom w:val="none" w:sz="0" w:space="0" w:color="auto"/>
        <w:right w:val="none" w:sz="0" w:space="0" w:color="auto"/>
      </w:divBdr>
    </w:div>
    <w:div w:id="20838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988</Words>
  <Characters>1028</Characters>
  <Application>Microsoft Office Word</Application>
  <DocSecurity>0</DocSecurity>
  <Lines>54</Lines>
  <Paragraphs>54</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DNB0516</dc:creator>
  <cp:lastModifiedBy>jinjing wei</cp:lastModifiedBy>
  <cp:revision>8</cp:revision>
  <cp:lastPrinted>2018-08-23T09:17:00Z</cp:lastPrinted>
  <dcterms:created xsi:type="dcterms:W3CDTF">2025-04-27T08:29:00Z</dcterms:created>
  <dcterms:modified xsi:type="dcterms:W3CDTF">2025-04-28T08:14:00Z</dcterms:modified>
</cp:coreProperties>
</file>