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AEFC9" w14:textId="255B4882" w:rsidR="005A0559" w:rsidRDefault="00650708" w:rsidP="005A0559">
      <w:pPr>
        <w:pStyle w:val="a3"/>
        <w:spacing w:line="520" w:lineRule="exact"/>
        <w:jc w:val="center"/>
        <w:rPr>
          <w:rFonts w:hAnsi="宋体" w:cs="宋体"/>
          <w:b/>
          <w:sz w:val="36"/>
          <w:szCs w:val="24"/>
        </w:rPr>
      </w:pPr>
      <w:proofErr w:type="gramStart"/>
      <w:r>
        <w:rPr>
          <w:rFonts w:hAnsi="宋体" w:cs="宋体" w:hint="eastAsia"/>
          <w:b/>
          <w:sz w:val="36"/>
          <w:szCs w:val="24"/>
        </w:rPr>
        <w:t>兖</w:t>
      </w:r>
      <w:proofErr w:type="gramEnd"/>
      <w:r>
        <w:rPr>
          <w:rFonts w:hAnsi="宋体" w:cs="宋体" w:hint="eastAsia"/>
          <w:b/>
          <w:sz w:val="36"/>
          <w:szCs w:val="24"/>
        </w:rPr>
        <w:t>矿能源集团</w:t>
      </w:r>
      <w:r w:rsidR="005A0559">
        <w:rPr>
          <w:rFonts w:hAnsi="宋体" w:cs="宋体" w:hint="eastAsia"/>
          <w:b/>
          <w:sz w:val="36"/>
          <w:szCs w:val="24"/>
        </w:rPr>
        <w:t>股份有限公司</w:t>
      </w:r>
    </w:p>
    <w:p w14:paraId="1B4DB1C9" w14:textId="0D86F122" w:rsidR="005A0559" w:rsidRDefault="00B13042" w:rsidP="005A0559">
      <w:pPr>
        <w:pStyle w:val="a3"/>
        <w:spacing w:line="520" w:lineRule="exact"/>
        <w:jc w:val="center"/>
        <w:rPr>
          <w:rFonts w:hAnsi="宋体" w:cs="宋体"/>
          <w:b/>
          <w:sz w:val="36"/>
          <w:szCs w:val="24"/>
        </w:rPr>
      </w:pPr>
      <w:r>
        <w:rPr>
          <w:rFonts w:hAnsi="宋体" w:cs="宋体" w:hint="eastAsia"/>
          <w:b/>
          <w:sz w:val="36"/>
          <w:szCs w:val="24"/>
        </w:rPr>
        <w:t>2025</w:t>
      </w:r>
      <w:r w:rsidR="0055675A">
        <w:rPr>
          <w:rFonts w:hAnsi="宋体" w:cs="宋体" w:hint="eastAsia"/>
          <w:b/>
          <w:sz w:val="36"/>
          <w:szCs w:val="24"/>
        </w:rPr>
        <w:t>年第一季度</w:t>
      </w:r>
      <w:r w:rsidR="005A0559" w:rsidRPr="005A0559">
        <w:rPr>
          <w:rFonts w:hAnsi="宋体" w:cs="宋体"/>
          <w:b/>
          <w:sz w:val="36"/>
          <w:szCs w:val="24"/>
        </w:rPr>
        <w:t>业绩说明会</w:t>
      </w:r>
      <w:r w:rsidR="005A0559">
        <w:rPr>
          <w:rFonts w:hAnsi="宋体" w:cs="宋体" w:hint="eastAsia"/>
          <w:b/>
          <w:sz w:val="36"/>
          <w:szCs w:val="24"/>
        </w:rPr>
        <w:t>会</w:t>
      </w:r>
      <w:r w:rsidR="005A0559" w:rsidRPr="005B5BC7">
        <w:rPr>
          <w:rFonts w:hAnsi="宋体" w:cs="宋体" w:hint="eastAsia"/>
          <w:b/>
          <w:sz w:val="36"/>
          <w:szCs w:val="24"/>
        </w:rPr>
        <w:t>议</w:t>
      </w:r>
      <w:r w:rsidR="005A0559" w:rsidRPr="005B5BC7">
        <w:rPr>
          <w:rFonts w:hAnsi="宋体" w:cs="宋体"/>
          <w:b/>
          <w:sz w:val="36"/>
          <w:szCs w:val="24"/>
        </w:rPr>
        <w:t>纪要</w:t>
      </w:r>
    </w:p>
    <w:p w14:paraId="75BC6245" w14:textId="263E8F30" w:rsidR="00120966" w:rsidRPr="00B13042" w:rsidRDefault="00120966" w:rsidP="000747EE">
      <w:pPr>
        <w:pStyle w:val="a3"/>
        <w:spacing w:line="520" w:lineRule="exact"/>
        <w:ind w:firstLineChars="200" w:firstLine="600"/>
        <w:rPr>
          <w:rFonts w:hAnsi="宋体"/>
          <w:sz w:val="30"/>
          <w:szCs w:val="30"/>
        </w:rPr>
      </w:pPr>
    </w:p>
    <w:p w14:paraId="51AF2F6B" w14:textId="5895A8D3" w:rsidR="0076723F" w:rsidRPr="00305D38" w:rsidRDefault="00B13042" w:rsidP="00A655DF">
      <w:pPr>
        <w:adjustRightInd w:val="0"/>
        <w:snapToGrid w:val="0"/>
        <w:spacing w:line="600" w:lineRule="exact"/>
        <w:ind w:firstLineChars="200" w:firstLine="640"/>
        <w:rPr>
          <w:rFonts w:ascii="宋体" w:eastAsia="宋体" w:hAnsi="宋体"/>
          <w:sz w:val="32"/>
          <w:szCs w:val="32"/>
        </w:rPr>
      </w:pPr>
      <w:r>
        <w:rPr>
          <w:rFonts w:ascii="宋体" w:eastAsia="宋体" w:hAnsi="宋体"/>
          <w:sz w:val="32"/>
          <w:szCs w:val="32"/>
        </w:rPr>
        <w:t>2025</w:t>
      </w:r>
      <w:r w:rsidR="0076723F" w:rsidRPr="00305D38">
        <w:rPr>
          <w:rFonts w:ascii="宋体" w:eastAsia="宋体" w:hAnsi="宋体"/>
          <w:sz w:val="32"/>
          <w:szCs w:val="32"/>
        </w:rPr>
        <w:t>年</w:t>
      </w:r>
      <w:r w:rsidR="00367A5D">
        <w:rPr>
          <w:rFonts w:ascii="宋体" w:eastAsia="宋体" w:hAnsi="宋体"/>
          <w:sz w:val="32"/>
          <w:szCs w:val="32"/>
        </w:rPr>
        <w:t>4</w:t>
      </w:r>
      <w:r w:rsidR="0076723F" w:rsidRPr="00305D38">
        <w:rPr>
          <w:rFonts w:ascii="宋体" w:eastAsia="宋体" w:hAnsi="宋体" w:hint="eastAsia"/>
          <w:sz w:val="32"/>
          <w:szCs w:val="32"/>
        </w:rPr>
        <w:t>月</w:t>
      </w:r>
      <w:r w:rsidR="0055675A">
        <w:rPr>
          <w:rFonts w:ascii="宋体" w:eastAsia="宋体" w:hAnsi="宋体" w:hint="eastAsia"/>
          <w:sz w:val="32"/>
          <w:szCs w:val="32"/>
        </w:rPr>
        <w:t>2</w:t>
      </w:r>
      <w:r>
        <w:rPr>
          <w:rFonts w:ascii="宋体" w:eastAsia="宋体" w:hAnsi="宋体"/>
          <w:sz w:val="32"/>
          <w:szCs w:val="32"/>
        </w:rPr>
        <w:t>7</w:t>
      </w:r>
      <w:r w:rsidR="0076723F" w:rsidRPr="00305D38">
        <w:rPr>
          <w:rFonts w:ascii="宋体" w:eastAsia="宋体" w:hAnsi="宋体" w:hint="eastAsia"/>
          <w:sz w:val="32"/>
          <w:szCs w:val="32"/>
        </w:rPr>
        <w:t>日，</w:t>
      </w:r>
      <w:proofErr w:type="gramStart"/>
      <w:r w:rsidR="00650708">
        <w:rPr>
          <w:rFonts w:ascii="宋体" w:eastAsia="宋体" w:hAnsi="宋体" w:hint="eastAsia"/>
          <w:sz w:val="32"/>
          <w:szCs w:val="32"/>
        </w:rPr>
        <w:t>兖</w:t>
      </w:r>
      <w:proofErr w:type="gramEnd"/>
      <w:r w:rsidR="00650708">
        <w:rPr>
          <w:rFonts w:ascii="宋体" w:eastAsia="宋体" w:hAnsi="宋体" w:hint="eastAsia"/>
          <w:sz w:val="32"/>
          <w:szCs w:val="32"/>
        </w:rPr>
        <w:t>矿能源集团</w:t>
      </w:r>
      <w:r w:rsidR="0076723F" w:rsidRPr="00305D38">
        <w:rPr>
          <w:rFonts w:ascii="宋体" w:eastAsia="宋体" w:hAnsi="宋体" w:hint="eastAsia"/>
          <w:sz w:val="32"/>
          <w:szCs w:val="32"/>
        </w:rPr>
        <w:t>股份有限公司（“</w:t>
      </w:r>
      <w:r w:rsidR="00650708">
        <w:rPr>
          <w:rFonts w:ascii="宋体" w:eastAsia="宋体" w:hAnsi="宋体" w:hint="eastAsia"/>
          <w:sz w:val="32"/>
          <w:szCs w:val="32"/>
        </w:rPr>
        <w:t>兖矿能源</w:t>
      </w:r>
      <w:r w:rsidR="0076723F" w:rsidRPr="00305D38">
        <w:rPr>
          <w:rFonts w:ascii="宋体" w:eastAsia="宋体" w:hAnsi="宋体" w:hint="eastAsia"/>
          <w:sz w:val="32"/>
          <w:szCs w:val="32"/>
        </w:rPr>
        <w:t>”或“公司”）以电话</w:t>
      </w:r>
      <w:r w:rsidR="009D6D0A">
        <w:rPr>
          <w:rFonts w:ascii="宋体" w:eastAsia="宋体" w:hAnsi="宋体" w:hint="eastAsia"/>
          <w:sz w:val="32"/>
          <w:szCs w:val="32"/>
        </w:rPr>
        <w:t>及网络会议</w:t>
      </w:r>
      <w:r w:rsidR="0076723F" w:rsidRPr="00305D38">
        <w:rPr>
          <w:rFonts w:ascii="宋体" w:eastAsia="宋体" w:hAnsi="宋体" w:hint="eastAsia"/>
          <w:sz w:val="32"/>
          <w:szCs w:val="32"/>
        </w:rPr>
        <w:t>的方式召开</w:t>
      </w:r>
      <w:r>
        <w:rPr>
          <w:rFonts w:ascii="宋体" w:eastAsia="宋体" w:hAnsi="宋体"/>
          <w:sz w:val="32"/>
          <w:szCs w:val="32"/>
        </w:rPr>
        <w:t>2025</w:t>
      </w:r>
      <w:r w:rsidR="0055675A">
        <w:rPr>
          <w:rFonts w:ascii="宋体" w:eastAsia="宋体" w:hAnsi="宋体"/>
          <w:sz w:val="32"/>
          <w:szCs w:val="32"/>
        </w:rPr>
        <w:t>年第一季度</w:t>
      </w:r>
      <w:r w:rsidR="0076723F" w:rsidRPr="00305D38">
        <w:rPr>
          <w:rFonts w:ascii="宋体" w:eastAsia="宋体" w:hAnsi="宋体" w:hint="eastAsia"/>
          <w:sz w:val="32"/>
          <w:szCs w:val="32"/>
        </w:rPr>
        <w:t>业绩说明会。</w:t>
      </w:r>
      <w:r w:rsidR="00364396" w:rsidRPr="00305D38">
        <w:rPr>
          <w:rFonts w:ascii="宋体" w:eastAsia="宋体" w:hAnsi="宋体" w:hint="eastAsia"/>
          <w:sz w:val="32"/>
          <w:szCs w:val="32"/>
        </w:rPr>
        <w:t>公司</w:t>
      </w:r>
      <w:r w:rsidR="00490063" w:rsidRPr="00490063">
        <w:rPr>
          <w:rFonts w:ascii="宋体" w:eastAsia="宋体" w:hAnsi="宋体" w:hint="eastAsia"/>
          <w:sz w:val="32"/>
          <w:szCs w:val="32"/>
        </w:rPr>
        <w:t>党委书记、总经理王九红先生</w:t>
      </w:r>
      <w:r w:rsidR="00062DEF">
        <w:rPr>
          <w:rFonts w:ascii="宋体" w:eastAsia="宋体" w:hAnsi="宋体" w:hint="eastAsia"/>
          <w:sz w:val="32"/>
          <w:szCs w:val="32"/>
        </w:rPr>
        <w:t>，</w:t>
      </w:r>
      <w:r w:rsidR="00364396" w:rsidRPr="00305D38">
        <w:rPr>
          <w:rFonts w:ascii="宋体" w:eastAsia="宋体" w:hAnsi="宋体" w:hint="eastAsia"/>
          <w:sz w:val="32"/>
          <w:szCs w:val="32"/>
        </w:rPr>
        <w:t>董事、董事会秘书黄霄龙先生</w:t>
      </w:r>
      <w:r w:rsidR="00613F28">
        <w:rPr>
          <w:rFonts w:ascii="宋体" w:eastAsia="宋体" w:hAnsi="宋体" w:hint="eastAsia"/>
          <w:sz w:val="32"/>
          <w:szCs w:val="32"/>
        </w:rPr>
        <w:t>，</w:t>
      </w:r>
      <w:r w:rsidR="00367A5D" w:rsidRPr="00367A5D">
        <w:rPr>
          <w:rFonts w:ascii="宋体" w:eastAsia="宋体" w:hAnsi="宋体" w:hint="eastAsia"/>
          <w:sz w:val="32"/>
          <w:szCs w:val="32"/>
        </w:rPr>
        <w:t>财务总监</w:t>
      </w:r>
      <w:r w:rsidR="00367A5D">
        <w:rPr>
          <w:rFonts w:ascii="宋体" w:eastAsia="宋体" w:hAnsi="宋体" w:hint="eastAsia"/>
          <w:sz w:val="32"/>
          <w:szCs w:val="32"/>
        </w:rPr>
        <w:t>赵治国</w:t>
      </w:r>
      <w:r w:rsidR="00367A5D" w:rsidRPr="00367A5D">
        <w:rPr>
          <w:rFonts w:ascii="宋体" w:eastAsia="宋体" w:hAnsi="宋体" w:hint="eastAsia"/>
          <w:sz w:val="32"/>
          <w:szCs w:val="32"/>
        </w:rPr>
        <w:t>先生，</w:t>
      </w:r>
      <w:r w:rsidR="00613F28">
        <w:rPr>
          <w:rFonts w:ascii="宋体" w:eastAsia="宋体" w:hAnsi="宋体" w:hint="eastAsia"/>
          <w:sz w:val="32"/>
          <w:szCs w:val="32"/>
        </w:rPr>
        <w:t>独立董事</w:t>
      </w:r>
      <w:r w:rsidR="00367A5D">
        <w:rPr>
          <w:rFonts w:ascii="宋体" w:eastAsia="宋体" w:hAnsi="宋体" w:hint="eastAsia"/>
          <w:sz w:val="32"/>
          <w:szCs w:val="32"/>
        </w:rPr>
        <w:t>胡家栋</w:t>
      </w:r>
      <w:r w:rsidR="00613F28">
        <w:rPr>
          <w:rFonts w:ascii="宋体" w:eastAsia="宋体" w:hAnsi="宋体" w:hint="eastAsia"/>
          <w:sz w:val="32"/>
          <w:szCs w:val="32"/>
        </w:rPr>
        <w:t>先生</w:t>
      </w:r>
      <w:r w:rsidR="0076723F" w:rsidRPr="00305D38">
        <w:rPr>
          <w:rFonts w:ascii="宋体" w:eastAsia="宋体" w:hAnsi="宋体" w:hint="eastAsia"/>
          <w:sz w:val="32"/>
          <w:szCs w:val="32"/>
        </w:rPr>
        <w:t>和有关业务负责人出席会议，向投资者</w:t>
      </w:r>
      <w:r w:rsidR="00A655DF" w:rsidRPr="00305D38">
        <w:rPr>
          <w:rFonts w:ascii="宋体" w:eastAsia="宋体" w:hAnsi="宋体" w:hint="eastAsia"/>
          <w:sz w:val="32"/>
          <w:szCs w:val="32"/>
        </w:rPr>
        <w:t>介绍</w:t>
      </w:r>
      <w:r>
        <w:rPr>
          <w:rFonts w:ascii="宋体" w:eastAsia="宋体" w:hAnsi="宋体"/>
          <w:sz w:val="32"/>
          <w:szCs w:val="32"/>
        </w:rPr>
        <w:t>2025</w:t>
      </w:r>
      <w:r w:rsidR="00A655DF" w:rsidRPr="00305D38">
        <w:rPr>
          <w:rFonts w:ascii="宋体" w:eastAsia="宋体" w:hAnsi="宋体"/>
          <w:sz w:val="32"/>
          <w:szCs w:val="32"/>
        </w:rPr>
        <w:t>年</w:t>
      </w:r>
      <w:r w:rsidR="00B72FFE">
        <w:rPr>
          <w:rFonts w:ascii="宋体" w:eastAsia="宋体" w:hAnsi="宋体" w:hint="eastAsia"/>
          <w:sz w:val="32"/>
          <w:szCs w:val="32"/>
        </w:rPr>
        <w:t>第一季度</w:t>
      </w:r>
      <w:r w:rsidR="00A655DF" w:rsidRPr="00305D38">
        <w:rPr>
          <w:rFonts w:ascii="宋体" w:eastAsia="宋体" w:hAnsi="宋体"/>
          <w:sz w:val="32"/>
          <w:szCs w:val="32"/>
        </w:rPr>
        <w:t>经营业绩、</w:t>
      </w:r>
      <w:r w:rsidR="00B72FFE">
        <w:rPr>
          <w:rFonts w:ascii="宋体" w:eastAsia="宋体" w:hAnsi="宋体" w:hint="eastAsia"/>
          <w:sz w:val="32"/>
          <w:szCs w:val="32"/>
        </w:rPr>
        <w:t>未来</w:t>
      </w:r>
      <w:r w:rsidR="00A655DF" w:rsidRPr="00305D38">
        <w:rPr>
          <w:rFonts w:ascii="宋体" w:eastAsia="宋体" w:hAnsi="宋体"/>
          <w:sz w:val="32"/>
          <w:szCs w:val="32"/>
        </w:rPr>
        <w:t>市场分析和</w:t>
      </w:r>
      <w:r w:rsidR="00A655DF" w:rsidRPr="00305D38">
        <w:rPr>
          <w:rFonts w:ascii="宋体" w:eastAsia="宋体" w:hAnsi="宋体" w:hint="eastAsia"/>
          <w:sz w:val="32"/>
          <w:szCs w:val="32"/>
        </w:rPr>
        <w:t>经营措施等相关情况，并就投资者关注的问题进行沟通和交流。</w:t>
      </w:r>
      <w:r w:rsidR="0076723F" w:rsidRPr="00305D38">
        <w:rPr>
          <w:rFonts w:ascii="宋体" w:eastAsia="宋体" w:hAnsi="宋体" w:hint="eastAsia"/>
          <w:sz w:val="32"/>
          <w:szCs w:val="32"/>
        </w:rPr>
        <w:t>现就本次会议沟通、交流的重点内容整理如下：</w:t>
      </w:r>
    </w:p>
    <w:p w14:paraId="0519968C" w14:textId="22E8FAA3" w:rsidR="000B625D" w:rsidRPr="00305D38" w:rsidRDefault="00336561" w:rsidP="00336561">
      <w:pPr>
        <w:pStyle w:val="1"/>
        <w:spacing w:before="156" w:after="156"/>
        <w:ind w:firstLineChars="200" w:firstLine="643"/>
      </w:pPr>
      <w:r w:rsidRPr="00336561">
        <w:t>2025年第一季度吨煤销售成本情况及成本管控措施</w:t>
      </w:r>
    </w:p>
    <w:p w14:paraId="2D156AAD" w14:textId="4D1BCE13" w:rsidR="00511A6D" w:rsidRPr="00511A6D" w:rsidRDefault="00511A6D" w:rsidP="00511A6D">
      <w:pPr>
        <w:adjustRightInd w:val="0"/>
        <w:snapToGrid w:val="0"/>
        <w:spacing w:line="600" w:lineRule="exact"/>
        <w:ind w:firstLineChars="200" w:firstLine="640"/>
        <w:rPr>
          <w:rFonts w:ascii="宋体" w:eastAsia="宋体" w:hAnsi="宋体"/>
          <w:sz w:val="32"/>
          <w:szCs w:val="32"/>
        </w:rPr>
      </w:pPr>
      <w:r w:rsidRPr="00511A6D">
        <w:rPr>
          <w:rFonts w:ascii="宋体" w:eastAsia="宋体" w:hAnsi="宋体"/>
          <w:sz w:val="32"/>
          <w:szCs w:val="32"/>
        </w:rPr>
        <w:t>2025年第一季度</w:t>
      </w:r>
      <w:r w:rsidR="009949FF">
        <w:rPr>
          <w:rFonts w:ascii="宋体" w:eastAsia="宋体" w:hAnsi="宋体" w:hint="eastAsia"/>
          <w:sz w:val="32"/>
          <w:szCs w:val="32"/>
        </w:rPr>
        <w:t>公司及其附属公司（</w:t>
      </w:r>
      <w:r w:rsidR="009949FF" w:rsidRPr="009949FF">
        <w:rPr>
          <w:rFonts w:ascii="宋体" w:eastAsia="宋体" w:hAnsi="宋体" w:hint="eastAsia"/>
          <w:sz w:val="32"/>
          <w:szCs w:val="32"/>
        </w:rPr>
        <w:t>“</w:t>
      </w:r>
      <w:r w:rsidR="009949FF" w:rsidRPr="009949FF">
        <w:rPr>
          <w:rFonts w:ascii="宋体" w:eastAsia="宋体" w:hAnsi="宋体"/>
          <w:sz w:val="32"/>
          <w:szCs w:val="32"/>
        </w:rPr>
        <w:t>本集团</w:t>
      </w:r>
      <w:r w:rsidR="009949FF">
        <w:rPr>
          <w:rFonts w:ascii="宋体" w:eastAsia="宋体" w:hAnsi="宋体" w:hint="eastAsia"/>
          <w:sz w:val="32"/>
          <w:szCs w:val="32"/>
        </w:rPr>
        <w:t>”）</w:t>
      </w:r>
      <w:r w:rsidRPr="00511A6D">
        <w:rPr>
          <w:rFonts w:ascii="宋体" w:eastAsia="宋体" w:hAnsi="宋体"/>
          <w:sz w:val="32"/>
          <w:szCs w:val="32"/>
        </w:rPr>
        <w:t>自产商</w:t>
      </w:r>
      <w:proofErr w:type="gramStart"/>
      <w:r w:rsidRPr="00511A6D">
        <w:rPr>
          <w:rFonts w:ascii="宋体" w:eastAsia="宋体" w:hAnsi="宋体"/>
          <w:sz w:val="32"/>
          <w:szCs w:val="32"/>
        </w:rPr>
        <w:t>品煤吨煤</w:t>
      </w:r>
      <w:proofErr w:type="gramEnd"/>
      <w:r w:rsidRPr="00511A6D">
        <w:rPr>
          <w:rFonts w:ascii="宋体" w:eastAsia="宋体" w:hAnsi="宋体"/>
          <w:sz w:val="32"/>
          <w:szCs w:val="32"/>
        </w:rPr>
        <w:t>销售成本</w:t>
      </w:r>
      <w:r w:rsidR="00FB0087" w:rsidRPr="00FB0087">
        <w:rPr>
          <w:rFonts w:ascii="宋体" w:eastAsia="宋体" w:hAnsi="宋体"/>
          <w:sz w:val="32"/>
          <w:szCs w:val="32"/>
        </w:rPr>
        <w:t>318元/吨，同比下降51元/吨或13.8%。</w:t>
      </w:r>
      <w:r w:rsidR="00E82CF2">
        <w:rPr>
          <w:rFonts w:ascii="宋体" w:eastAsia="宋体" w:hAnsi="宋体" w:hint="eastAsia"/>
          <w:sz w:val="32"/>
          <w:szCs w:val="32"/>
        </w:rPr>
        <w:t>后续公司将继续加强</w:t>
      </w:r>
      <w:proofErr w:type="gramStart"/>
      <w:r w:rsidR="00E82CF2">
        <w:rPr>
          <w:rFonts w:ascii="宋体" w:eastAsia="宋体" w:hAnsi="宋体" w:hint="eastAsia"/>
          <w:sz w:val="32"/>
          <w:szCs w:val="32"/>
        </w:rPr>
        <w:t>控本降费力</w:t>
      </w:r>
      <w:proofErr w:type="gramEnd"/>
      <w:r w:rsidR="00E82CF2">
        <w:rPr>
          <w:rFonts w:ascii="宋体" w:eastAsia="宋体" w:hAnsi="宋体" w:hint="eastAsia"/>
          <w:sz w:val="32"/>
          <w:szCs w:val="32"/>
        </w:rPr>
        <w:t>度，有效对冲煤价下降影响。</w:t>
      </w:r>
    </w:p>
    <w:p w14:paraId="464385B8" w14:textId="1E491E6A" w:rsidR="00FB0087" w:rsidRPr="00FB0087" w:rsidRDefault="00FB0087" w:rsidP="00FB0087">
      <w:pPr>
        <w:adjustRightInd w:val="0"/>
        <w:snapToGrid w:val="0"/>
        <w:spacing w:line="600" w:lineRule="exact"/>
        <w:ind w:firstLineChars="200" w:firstLine="640"/>
        <w:rPr>
          <w:rFonts w:ascii="宋体" w:eastAsia="宋体" w:hAnsi="宋体"/>
          <w:sz w:val="32"/>
          <w:szCs w:val="32"/>
        </w:rPr>
      </w:pPr>
      <w:r w:rsidRPr="00FB0087">
        <w:rPr>
          <w:rFonts w:ascii="宋体" w:eastAsia="宋体" w:hAnsi="宋体" w:hint="eastAsia"/>
          <w:sz w:val="32"/>
          <w:szCs w:val="32"/>
        </w:rPr>
        <w:t>公司成本管控措施</w:t>
      </w:r>
      <w:r w:rsidR="00634290">
        <w:rPr>
          <w:rFonts w:ascii="宋体" w:eastAsia="宋体" w:hAnsi="宋体" w:hint="eastAsia"/>
          <w:sz w:val="32"/>
          <w:szCs w:val="32"/>
        </w:rPr>
        <w:t>主要体现在：</w:t>
      </w:r>
    </w:p>
    <w:p w14:paraId="276DADE0" w14:textId="77777777" w:rsidR="00FB0087" w:rsidRPr="00FB0087" w:rsidRDefault="00FB0087" w:rsidP="00FB0087">
      <w:pPr>
        <w:adjustRightInd w:val="0"/>
        <w:snapToGrid w:val="0"/>
        <w:spacing w:line="600" w:lineRule="exact"/>
        <w:ind w:firstLineChars="200" w:firstLine="640"/>
        <w:rPr>
          <w:rFonts w:ascii="宋体" w:eastAsia="宋体" w:hAnsi="宋体"/>
          <w:sz w:val="32"/>
          <w:szCs w:val="32"/>
        </w:rPr>
      </w:pPr>
      <w:r w:rsidRPr="00FB0087">
        <w:rPr>
          <w:rFonts w:ascii="宋体" w:eastAsia="宋体" w:hAnsi="宋体" w:hint="eastAsia"/>
          <w:sz w:val="32"/>
          <w:szCs w:val="32"/>
        </w:rPr>
        <w:t>一是强化生产降本。优化工艺流程和生产组织，提高生产效率。加大生产作业全流程管控，逐项分析生产单位产品单耗，重点压减材料、修理、设备租赁等费用。</w:t>
      </w:r>
    </w:p>
    <w:p w14:paraId="35B42F89" w14:textId="4EA6BA08" w:rsidR="00FB0087" w:rsidRPr="00FB0087" w:rsidRDefault="00FB0087" w:rsidP="00FB0087">
      <w:pPr>
        <w:adjustRightInd w:val="0"/>
        <w:snapToGrid w:val="0"/>
        <w:spacing w:line="600" w:lineRule="exact"/>
        <w:ind w:firstLineChars="200" w:firstLine="640"/>
        <w:rPr>
          <w:rFonts w:ascii="宋体" w:eastAsia="宋体" w:hAnsi="宋体"/>
          <w:sz w:val="32"/>
          <w:szCs w:val="32"/>
        </w:rPr>
      </w:pPr>
      <w:r w:rsidRPr="00FB0087">
        <w:rPr>
          <w:rFonts w:ascii="宋体" w:eastAsia="宋体" w:hAnsi="宋体" w:hint="eastAsia"/>
          <w:sz w:val="32"/>
          <w:szCs w:val="32"/>
        </w:rPr>
        <w:t>二是深化管理降本。充分发挥财务共享平台刚性控制功能，分产业、分单位</w:t>
      </w:r>
      <w:proofErr w:type="gramStart"/>
      <w:r w:rsidRPr="00FB0087">
        <w:rPr>
          <w:rFonts w:ascii="宋体" w:eastAsia="宋体" w:hAnsi="宋体" w:hint="eastAsia"/>
          <w:sz w:val="32"/>
          <w:szCs w:val="32"/>
        </w:rPr>
        <w:t>制定控费措施</w:t>
      </w:r>
      <w:proofErr w:type="gramEnd"/>
      <w:r w:rsidRPr="00FB0087">
        <w:rPr>
          <w:rFonts w:ascii="宋体" w:eastAsia="宋体" w:hAnsi="宋体" w:hint="eastAsia"/>
          <w:sz w:val="32"/>
          <w:szCs w:val="32"/>
        </w:rPr>
        <w:t>，严禁预算外支出</w:t>
      </w:r>
      <w:r w:rsidRPr="00FB0087">
        <w:rPr>
          <w:rFonts w:ascii="宋体" w:eastAsia="宋体" w:hAnsi="宋体"/>
          <w:sz w:val="32"/>
          <w:szCs w:val="32"/>
        </w:rPr>
        <w:t>。持续深化“六定管理”，优化人力资源配置，实现控员提效。</w:t>
      </w:r>
    </w:p>
    <w:p w14:paraId="5C906758" w14:textId="6AB08D08" w:rsidR="00FB0087" w:rsidRPr="00FB0087" w:rsidRDefault="00FB0087" w:rsidP="00FB0087">
      <w:pPr>
        <w:adjustRightInd w:val="0"/>
        <w:snapToGrid w:val="0"/>
        <w:spacing w:line="600" w:lineRule="exact"/>
        <w:ind w:firstLineChars="200" w:firstLine="640"/>
        <w:rPr>
          <w:rFonts w:ascii="宋体" w:eastAsia="宋体" w:hAnsi="宋体"/>
          <w:sz w:val="32"/>
          <w:szCs w:val="32"/>
        </w:rPr>
      </w:pPr>
      <w:r w:rsidRPr="00FB0087">
        <w:rPr>
          <w:rFonts w:ascii="宋体" w:eastAsia="宋体" w:hAnsi="宋体" w:hint="eastAsia"/>
          <w:sz w:val="32"/>
          <w:szCs w:val="32"/>
        </w:rPr>
        <w:lastRenderedPageBreak/>
        <w:t>三是加强资金管理。强化资金集中管理，提高资金使用效率；用足用好国家专项贷款、利率优惠等资金政策，多</w:t>
      </w:r>
      <w:proofErr w:type="gramStart"/>
      <w:r w:rsidRPr="00FB0087">
        <w:rPr>
          <w:rFonts w:ascii="宋体" w:eastAsia="宋体" w:hAnsi="宋体" w:hint="eastAsia"/>
          <w:sz w:val="32"/>
          <w:szCs w:val="32"/>
        </w:rPr>
        <w:t>措</w:t>
      </w:r>
      <w:proofErr w:type="gramEnd"/>
      <w:r w:rsidRPr="00FB0087">
        <w:rPr>
          <w:rFonts w:ascii="宋体" w:eastAsia="宋体" w:hAnsi="宋体" w:hint="eastAsia"/>
          <w:sz w:val="32"/>
          <w:szCs w:val="32"/>
        </w:rPr>
        <w:t>并举获取低成本资金；拓展融资渠道，强化低息置换高息</w:t>
      </w:r>
      <w:r w:rsidRPr="00FB0087">
        <w:rPr>
          <w:rFonts w:ascii="宋体" w:eastAsia="宋体" w:hAnsi="宋体"/>
          <w:sz w:val="32"/>
          <w:szCs w:val="32"/>
        </w:rPr>
        <w:t>。</w:t>
      </w:r>
    </w:p>
    <w:p w14:paraId="2AD98D3C" w14:textId="77777777" w:rsidR="00FB0087" w:rsidRPr="00FB0087" w:rsidRDefault="00FB0087" w:rsidP="00FB0087">
      <w:pPr>
        <w:adjustRightInd w:val="0"/>
        <w:snapToGrid w:val="0"/>
        <w:spacing w:line="600" w:lineRule="exact"/>
        <w:ind w:firstLineChars="200" w:firstLine="640"/>
        <w:rPr>
          <w:rFonts w:ascii="宋体" w:eastAsia="宋体" w:hAnsi="宋体"/>
          <w:sz w:val="32"/>
          <w:szCs w:val="32"/>
        </w:rPr>
      </w:pPr>
      <w:r w:rsidRPr="00FB0087">
        <w:rPr>
          <w:rFonts w:ascii="宋体" w:eastAsia="宋体" w:hAnsi="宋体" w:hint="eastAsia"/>
          <w:sz w:val="32"/>
          <w:szCs w:val="32"/>
        </w:rPr>
        <w:t>四是优化物流管理。发挥物流多式联运、</w:t>
      </w:r>
      <w:proofErr w:type="gramStart"/>
      <w:r w:rsidRPr="00FB0087">
        <w:rPr>
          <w:rFonts w:ascii="宋体" w:eastAsia="宋体" w:hAnsi="宋体" w:hint="eastAsia"/>
          <w:sz w:val="32"/>
          <w:szCs w:val="32"/>
        </w:rPr>
        <w:t>物销协同</w:t>
      </w:r>
      <w:proofErr w:type="gramEnd"/>
      <w:r w:rsidRPr="00FB0087">
        <w:rPr>
          <w:rFonts w:ascii="宋体" w:eastAsia="宋体" w:hAnsi="宋体" w:hint="eastAsia"/>
          <w:sz w:val="32"/>
          <w:szCs w:val="32"/>
        </w:rPr>
        <w:t>优势，定期分析铁运、汽运、水运效益，优化渠道、运输、储存和结算方式，降低销售费用。</w:t>
      </w:r>
    </w:p>
    <w:p w14:paraId="770C10B5" w14:textId="17BB4A06" w:rsidR="00FB0087" w:rsidRPr="00FB0087" w:rsidRDefault="00FB0087" w:rsidP="00FB0087">
      <w:pPr>
        <w:adjustRightInd w:val="0"/>
        <w:snapToGrid w:val="0"/>
        <w:spacing w:line="600" w:lineRule="exact"/>
        <w:ind w:firstLineChars="200" w:firstLine="640"/>
        <w:rPr>
          <w:rFonts w:ascii="宋体" w:eastAsia="宋体" w:hAnsi="宋体"/>
          <w:sz w:val="32"/>
          <w:szCs w:val="32"/>
        </w:rPr>
      </w:pPr>
      <w:r w:rsidRPr="00FB0087">
        <w:rPr>
          <w:rFonts w:ascii="宋体" w:eastAsia="宋体" w:hAnsi="宋体" w:hint="eastAsia"/>
          <w:sz w:val="32"/>
          <w:szCs w:val="32"/>
        </w:rPr>
        <w:t>五是盘活存量资产。加大清仓利库、修旧利废和闲置资产盘活，加强设备统筹管理，降低存量物资</w:t>
      </w:r>
      <w:r w:rsidRPr="00FB0087">
        <w:rPr>
          <w:rFonts w:ascii="宋体" w:eastAsia="宋体" w:hAnsi="宋体"/>
          <w:sz w:val="32"/>
          <w:szCs w:val="32"/>
        </w:rPr>
        <w:t>。</w:t>
      </w:r>
    </w:p>
    <w:p w14:paraId="6A132D69" w14:textId="07137DFB" w:rsidR="00511A6D" w:rsidRDefault="00FB0087" w:rsidP="00FB0087">
      <w:pPr>
        <w:adjustRightInd w:val="0"/>
        <w:snapToGrid w:val="0"/>
        <w:spacing w:line="600" w:lineRule="exact"/>
        <w:ind w:firstLineChars="200" w:firstLine="640"/>
        <w:rPr>
          <w:rFonts w:ascii="宋体" w:eastAsia="宋体" w:hAnsi="宋体"/>
          <w:sz w:val="32"/>
          <w:szCs w:val="32"/>
        </w:rPr>
      </w:pPr>
      <w:r w:rsidRPr="00FB0087">
        <w:rPr>
          <w:rFonts w:ascii="宋体" w:eastAsia="宋体" w:hAnsi="宋体" w:hint="eastAsia"/>
          <w:sz w:val="32"/>
          <w:szCs w:val="32"/>
        </w:rPr>
        <w:t>六是严控采购成本。把控采购源头支出，加大集中采购、</w:t>
      </w:r>
      <w:proofErr w:type="gramStart"/>
      <w:r w:rsidRPr="00FB0087">
        <w:rPr>
          <w:rFonts w:ascii="宋体" w:eastAsia="宋体" w:hAnsi="宋体" w:hint="eastAsia"/>
          <w:sz w:val="32"/>
          <w:szCs w:val="32"/>
        </w:rPr>
        <w:t>统谈分签</w:t>
      </w:r>
      <w:proofErr w:type="gramEnd"/>
      <w:r w:rsidRPr="00FB0087">
        <w:rPr>
          <w:rFonts w:ascii="宋体" w:eastAsia="宋体" w:hAnsi="宋体" w:hint="eastAsia"/>
          <w:sz w:val="32"/>
          <w:szCs w:val="32"/>
        </w:rPr>
        <w:t>、比价采购，确保采购降本</w:t>
      </w:r>
      <w:r w:rsidR="00511A6D" w:rsidRPr="00511A6D">
        <w:rPr>
          <w:rFonts w:ascii="宋体" w:eastAsia="宋体" w:hAnsi="宋体" w:hint="eastAsia"/>
          <w:sz w:val="32"/>
          <w:szCs w:val="32"/>
        </w:rPr>
        <w:t>。</w:t>
      </w:r>
    </w:p>
    <w:p w14:paraId="1150403B" w14:textId="6CD3B5BA" w:rsidR="00AC2D0D" w:rsidRPr="003D2C3B" w:rsidRDefault="00FB0087" w:rsidP="00FB0087">
      <w:pPr>
        <w:pStyle w:val="1"/>
        <w:spacing w:before="156" w:after="156"/>
        <w:ind w:firstLineChars="200" w:firstLine="643"/>
      </w:pPr>
      <w:r>
        <w:rPr>
          <w:rFonts w:hint="eastAsia"/>
        </w:rPr>
        <w:t>2</w:t>
      </w:r>
      <w:r>
        <w:t>025</w:t>
      </w:r>
      <w:r>
        <w:rPr>
          <w:rFonts w:hint="eastAsia"/>
        </w:rPr>
        <w:t>年第一季度</w:t>
      </w:r>
      <w:r w:rsidRPr="00FB0087">
        <w:rPr>
          <w:rFonts w:hint="eastAsia"/>
        </w:rPr>
        <w:t>商品煤产量、销量差距原因</w:t>
      </w:r>
    </w:p>
    <w:p w14:paraId="427879DB" w14:textId="0D9AF95E" w:rsidR="004D58D2" w:rsidRDefault="00FB0087" w:rsidP="00E82CF2">
      <w:pPr>
        <w:ind w:firstLineChars="200" w:firstLine="640"/>
        <w:rPr>
          <w:rFonts w:ascii="宋体" w:eastAsia="宋体" w:hAnsi="宋体"/>
          <w:sz w:val="32"/>
          <w:szCs w:val="32"/>
        </w:rPr>
      </w:pPr>
      <w:r w:rsidRPr="00FB0087">
        <w:rPr>
          <w:rFonts w:ascii="宋体" w:eastAsia="宋体" w:hAnsi="宋体"/>
          <w:sz w:val="32"/>
          <w:szCs w:val="32"/>
        </w:rPr>
        <w:t>2025年第一季度，商品煤产量3680万吨</w:t>
      </w:r>
      <w:r w:rsidR="009949FF">
        <w:rPr>
          <w:rFonts w:ascii="宋体" w:eastAsia="宋体" w:hAnsi="宋体" w:hint="eastAsia"/>
          <w:sz w:val="32"/>
          <w:szCs w:val="32"/>
        </w:rPr>
        <w:t>，</w:t>
      </w:r>
      <w:r w:rsidRPr="00FB0087">
        <w:rPr>
          <w:rFonts w:ascii="宋体" w:eastAsia="宋体" w:hAnsi="宋体"/>
          <w:sz w:val="32"/>
          <w:szCs w:val="32"/>
        </w:rPr>
        <w:t>商品煤销量（</w:t>
      </w:r>
      <w:proofErr w:type="gramStart"/>
      <w:r w:rsidRPr="00FB0087">
        <w:rPr>
          <w:rFonts w:ascii="宋体" w:eastAsia="宋体" w:hAnsi="宋体"/>
          <w:sz w:val="32"/>
          <w:szCs w:val="32"/>
        </w:rPr>
        <w:t>含贸易煤</w:t>
      </w:r>
      <w:proofErr w:type="gramEnd"/>
      <w:r w:rsidRPr="00FB0087">
        <w:rPr>
          <w:rFonts w:ascii="宋体" w:eastAsia="宋体" w:hAnsi="宋体"/>
          <w:sz w:val="32"/>
          <w:szCs w:val="32"/>
        </w:rPr>
        <w:t>）3143万吨，剔除贸易煤销量94万吨后，自产商品煤销量3049万吨。自产商品煤产量与销量差额631万吨，主要为</w:t>
      </w:r>
      <w:r w:rsidR="00E82CF2">
        <w:rPr>
          <w:rFonts w:ascii="宋体" w:eastAsia="宋体" w:hAnsi="宋体" w:hint="eastAsia"/>
          <w:sz w:val="32"/>
          <w:szCs w:val="32"/>
        </w:rPr>
        <w:t>：（1）</w:t>
      </w:r>
      <w:r w:rsidRPr="00FB0087">
        <w:rPr>
          <w:rFonts w:ascii="宋体" w:eastAsia="宋体" w:hAnsi="宋体"/>
          <w:sz w:val="32"/>
          <w:szCs w:val="32"/>
        </w:rPr>
        <w:t>内部化工</w:t>
      </w:r>
      <w:r w:rsidR="000D394A">
        <w:rPr>
          <w:rFonts w:ascii="宋体" w:eastAsia="宋体" w:hAnsi="宋体" w:hint="eastAsia"/>
          <w:sz w:val="32"/>
          <w:szCs w:val="32"/>
        </w:rPr>
        <w:t>、</w:t>
      </w:r>
      <w:r w:rsidRPr="00FB0087">
        <w:rPr>
          <w:rFonts w:ascii="宋体" w:eastAsia="宋体" w:hAnsi="宋体"/>
          <w:sz w:val="32"/>
          <w:szCs w:val="32"/>
        </w:rPr>
        <w:t>电力用煤378万吨</w:t>
      </w:r>
      <w:r w:rsidR="00E82CF2">
        <w:rPr>
          <w:rFonts w:ascii="宋体" w:eastAsia="宋体" w:hAnsi="宋体" w:hint="eastAsia"/>
          <w:sz w:val="32"/>
          <w:szCs w:val="32"/>
        </w:rPr>
        <w:t>；（2）公司判断煤价将企稳回升，调整销售策略，</w:t>
      </w:r>
      <w:r w:rsidRPr="00FB0087">
        <w:rPr>
          <w:rFonts w:ascii="宋体" w:eastAsia="宋体" w:hAnsi="宋体"/>
          <w:sz w:val="32"/>
          <w:szCs w:val="32"/>
        </w:rPr>
        <w:t>库存增加254万吨。</w:t>
      </w:r>
    </w:p>
    <w:p w14:paraId="5BF83861" w14:textId="2F51DBC0" w:rsidR="004C4EBB" w:rsidRPr="00A20894" w:rsidRDefault="003D2C3B" w:rsidP="00B12AA8">
      <w:pPr>
        <w:pStyle w:val="1"/>
        <w:spacing w:before="156" w:after="156"/>
        <w:ind w:firstLineChars="200" w:firstLine="643"/>
      </w:pPr>
      <w:r w:rsidRPr="00A20894">
        <w:rPr>
          <w:rFonts w:hint="eastAsia"/>
        </w:rPr>
        <w:t>对</w:t>
      </w:r>
      <w:r w:rsidR="00B13042" w:rsidRPr="00A20894">
        <w:t>2025</w:t>
      </w:r>
      <w:r w:rsidRPr="00A20894">
        <w:t>年</w:t>
      </w:r>
      <w:r w:rsidR="000B136E" w:rsidRPr="00A20894">
        <w:rPr>
          <w:rFonts w:hint="eastAsia"/>
        </w:rPr>
        <w:t>未来三个季度</w:t>
      </w:r>
      <w:r w:rsidRPr="00A20894">
        <w:t>国内煤价走势判断</w:t>
      </w:r>
    </w:p>
    <w:p w14:paraId="167136BE" w14:textId="2C215DF9" w:rsidR="0008164F" w:rsidRPr="00A20894" w:rsidRDefault="002B0480" w:rsidP="003D2C3B">
      <w:pPr>
        <w:adjustRightInd w:val="0"/>
        <w:snapToGrid w:val="0"/>
        <w:spacing w:line="600" w:lineRule="exact"/>
        <w:ind w:firstLineChars="200" w:firstLine="640"/>
        <w:rPr>
          <w:rFonts w:ascii="宋体" w:eastAsia="宋体" w:hAnsi="宋体"/>
          <w:sz w:val="32"/>
          <w:szCs w:val="32"/>
        </w:rPr>
      </w:pPr>
      <w:r w:rsidRPr="00A20894">
        <w:rPr>
          <w:rFonts w:ascii="宋体" w:eastAsia="宋体" w:hAnsi="宋体" w:hint="eastAsia"/>
          <w:sz w:val="32"/>
          <w:szCs w:val="32"/>
        </w:rPr>
        <w:t>预计</w:t>
      </w:r>
      <w:r w:rsidR="00AB4EA3" w:rsidRPr="00A20894">
        <w:rPr>
          <w:rFonts w:ascii="宋体" w:eastAsia="宋体" w:hAnsi="宋体"/>
          <w:sz w:val="32"/>
          <w:szCs w:val="32"/>
        </w:rPr>
        <w:t>2025年</w:t>
      </w:r>
      <w:r w:rsidR="00C83775" w:rsidRPr="00C83775">
        <w:rPr>
          <w:rFonts w:ascii="宋体" w:eastAsia="宋体" w:hAnsi="宋体" w:hint="eastAsia"/>
          <w:sz w:val="32"/>
          <w:szCs w:val="32"/>
        </w:rPr>
        <w:t>第</w:t>
      </w:r>
      <w:r w:rsidRPr="00A20894">
        <w:rPr>
          <w:rFonts w:ascii="宋体" w:eastAsia="宋体" w:hAnsi="宋体" w:hint="eastAsia"/>
          <w:sz w:val="32"/>
          <w:szCs w:val="32"/>
        </w:rPr>
        <w:t>二季度煤炭价格止跌回稳，</w:t>
      </w:r>
      <w:r w:rsidR="00D45C89" w:rsidRPr="00A20894">
        <w:rPr>
          <w:rFonts w:ascii="宋体" w:eastAsia="宋体" w:hAnsi="宋体"/>
          <w:sz w:val="32"/>
          <w:szCs w:val="32"/>
        </w:rPr>
        <w:t>下半年煤价有望修复性反弹</w:t>
      </w:r>
      <w:r w:rsidR="00D45C89" w:rsidRPr="00A20894">
        <w:rPr>
          <w:rFonts w:ascii="宋体" w:eastAsia="宋体" w:hAnsi="宋体" w:hint="eastAsia"/>
          <w:sz w:val="32"/>
          <w:szCs w:val="32"/>
        </w:rPr>
        <w:t>，整体好于上半年。</w:t>
      </w:r>
      <w:r w:rsidRPr="00A20894">
        <w:rPr>
          <w:rFonts w:ascii="宋体" w:eastAsia="宋体" w:hAnsi="宋体" w:hint="eastAsia"/>
          <w:sz w:val="32"/>
          <w:szCs w:val="32"/>
        </w:rPr>
        <w:t>主要是由于：</w:t>
      </w:r>
    </w:p>
    <w:p w14:paraId="6DEE1520" w14:textId="6323BADE" w:rsidR="005D471E" w:rsidRPr="00A20894" w:rsidRDefault="005D471E" w:rsidP="005D471E">
      <w:pPr>
        <w:adjustRightInd w:val="0"/>
        <w:snapToGrid w:val="0"/>
        <w:spacing w:line="600" w:lineRule="exact"/>
        <w:ind w:firstLineChars="200" w:firstLine="640"/>
        <w:rPr>
          <w:rFonts w:ascii="宋体" w:eastAsia="宋体" w:hAnsi="宋体"/>
          <w:sz w:val="32"/>
          <w:szCs w:val="32"/>
        </w:rPr>
      </w:pPr>
      <w:r w:rsidRPr="00A20894">
        <w:rPr>
          <w:rFonts w:ascii="宋体" w:eastAsia="宋体" w:hAnsi="宋体" w:hint="eastAsia"/>
          <w:sz w:val="32"/>
          <w:szCs w:val="32"/>
        </w:rPr>
        <w:t>供给方面，</w:t>
      </w:r>
      <w:r w:rsidRPr="00A20894">
        <w:rPr>
          <w:rFonts w:ascii="宋体" w:eastAsia="宋体" w:hAnsi="宋体"/>
          <w:sz w:val="32"/>
          <w:szCs w:val="32"/>
        </w:rPr>
        <w:t>2025年国内煤炭供应增量有限，</w:t>
      </w:r>
      <w:r w:rsidRPr="00A20894">
        <w:rPr>
          <w:rFonts w:ascii="宋体" w:eastAsia="宋体" w:hAnsi="宋体" w:hint="eastAsia"/>
          <w:sz w:val="32"/>
          <w:szCs w:val="32"/>
        </w:rPr>
        <w:t>受中国控制低质</w:t>
      </w:r>
      <w:proofErr w:type="gramStart"/>
      <w:r w:rsidRPr="00A20894">
        <w:rPr>
          <w:rFonts w:ascii="宋体" w:eastAsia="宋体" w:hAnsi="宋体" w:hint="eastAsia"/>
          <w:sz w:val="32"/>
          <w:szCs w:val="32"/>
        </w:rPr>
        <w:t>煤进口</w:t>
      </w:r>
      <w:proofErr w:type="gramEnd"/>
      <w:r w:rsidRPr="00A20894">
        <w:rPr>
          <w:rFonts w:ascii="宋体" w:eastAsia="宋体" w:hAnsi="宋体" w:hint="eastAsia"/>
          <w:sz w:val="32"/>
          <w:szCs w:val="32"/>
        </w:rPr>
        <w:t>影响，预计</w:t>
      </w:r>
      <w:r w:rsidRPr="00A20894">
        <w:rPr>
          <w:rFonts w:ascii="宋体" w:eastAsia="宋体" w:hAnsi="宋体"/>
          <w:sz w:val="32"/>
          <w:szCs w:val="32"/>
        </w:rPr>
        <w:t>煤炭进口量</w:t>
      </w:r>
      <w:r w:rsidRPr="00A20894">
        <w:rPr>
          <w:rFonts w:ascii="宋体" w:eastAsia="宋体" w:hAnsi="宋体" w:hint="eastAsia"/>
          <w:sz w:val="32"/>
          <w:szCs w:val="32"/>
        </w:rPr>
        <w:t>同比下降</w:t>
      </w:r>
      <w:r w:rsidRPr="00A20894">
        <w:rPr>
          <w:rFonts w:ascii="宋体" w:eastAsia="宋体" w:hAnsi="宋体"/>
          <w:sz w:val="32"/>
          <w:szCs w:val="32"/>
        </w:rPr>
        <w:t>。</w:t>
      </w:r>
    </w:p>
    <w:p w14:paraId="7FA4809A" w14:textId="25646F19" w:rsidR="00EE4263" w:rsidRDefault="0008164F" w:rsidP="00843A3C">
      <w:pPr>
        <w:adjustRightInd w:val="0"/>
        <w:snapToGrid w:val="0"/>
        <w:spacing w:line="600" w:lineRule="exact"/>
        <w:ind w:firstLineChars="200" w:firstLine="640"/>
        <w:rPr>
          <w:rFonts w:ascii="宋体" w:eastAsia="宋体" w:hAnsi="宋体"/>
          <w:sz w:val="32"/>
          <w:szCs w:val="32"/>
        </w:rPr>
      </w:pPr>
      <w:r w:rsidRPr="00A20894">
        <w:rPr>
          <w:rFonts w:ascii="宋体" w:eastAsia="宋体" w:hAnsi="宋体" w:hint="eastAsia"/>
          <w:sz w:val="32"/>
          <w:szCs w:val="32"/>
        </w:rPr>
        <w:t>需求方面，</w:t>
      </w:r>
      <w:r w:rsidR="002B0480" w:rsidRPr="00A20894">
        <w:rPr>
          <w:rFonts w:ascii="宋体" w:eastAsia="宋体" w:hAnsi="宋体" w:hint="eastAsia"/>
          <w:sz w:val="32"/>
          <w:szCs w:val="32"/>
        </w:rPr>
        <w:t>国民经济回升向好态势</w:t>
      </w:r>
      <w:r w:rsidR="00D45C89" w:rsidRPr="00A20894">
        <w:rPr>
          <w:rFonts w:ascii="宋体" w:eastAsia="宋体" w:hAnsi="宋体" w:hint="eastAsia"/>
          <w:sz w:val="32"/>
          <w:szCs w:val="32"/>
        </w:rPr>
        <w:t>日益显现</w:t>
      </w:r>
      <w:r w:rsidR="002B0480" w:rsidRPr="00A20894">
        <w:rPr>
          <w:rFonts w:ascii="宋体" w:eastAsia="宋体" w:hAnsi="宋体" w:hint="eastAsia"/>
          <w:sz w:val="32"/>
          <w:szCs w:val="32"/>
        </w:rPr>
        <w:t>，</w:t>
      </w:r>
      <w:r w:rsidR="002B0480" w:rsidRPr="00A20894">
        <w:rPr>
          <w:rFonts w:ascii="宋体" w:eastAsia="宋体" w:hAnsi="宋体"/>
          <w:sz w:val="32"/>
          <w:szCs w:val="32"/>
        </w:rPr>
        <w:t>2025年超</w:t>
      </w:r>
      <w:r w:rsidR="002B0480" w:rsidRPr="00A20894">
        <w:rPr>
          <w:rFonts w:ascii="宋体" w:eastAsia="宋体" w:hAnsi="宋体"/>
          <w:sz w:val="32"/>
          <w:szCs w:val="32"/>
        </w:rPr>
        <w:lastRenderedPageBreak/>
        <w:t>长期特别国债投向“两重”“两新”项目，基建投资增速将逐步提升</w:t>
      </w:r>
      <w:r w:rsidR="005D471E" w:rsidRPr="00A20894">
        <w:rPr>
          <w:rFonts w:ascii="宋体" w:eastAsia="宋体" w:hAnsi="宋体" w:hint="eastAsia"/>
          <w:sz w:val="32"/>
          <w:szCs w:val="32"/>
        </w:rPr>
        <w:t>，</w:t>
      </w:r>
      <w:r w:rsidR="00C61B31">
        <w:rPr>
          <w:rFonts w:ascii="宋体" w:eastAsia="宋体" w:hAnsi="宋体" w:hint="eastAsia"/>
          <w:sz w:val="32"/>
          <w:szCs w:val="32"/>
        </w:rPr>
        <w:t>国家拉动投资促进经济发展的政策将逐步落地，</w:t>
      </w:r>
      <w:r w:rsidR="005D471E" w:rsidRPr="00A20894">
        <w:rPr>
          <w:rFonts w:ascii="宋体" w:eastAsia="宋体" w:hAnsi="宋体" w:hint="eastAsia"/>
          <w:sz w:val="32"/>
          <w:szCs w:val="32"/>
        </w:rPr>
        <w:t>煤炭消费将保持较高水平的刚性需求。</w:t>
      </w:r>
      <w:r w:rsidR="00790F1D" w:rsidRPr="00A20894">
        <w:rPr>
          <w:rFonts w:ascii="宋体" w:eastAsia="宋体" w:hAnsi="宋体" w:hint="eastAsia"/>
          <w:sz w:val="32"/>
          <w:szCs w:val="32"/>
        </w:rPr>
        <w:t>长江水利委员会</w:t>
      </w:r>
      <w:r w:rsidR="005D471E" w:rsidRPr="00A20894">
        <w:rPr>
          <w:rFonts w:ascii="宋体" w:eastAsia="宋体" w:hAnsi="宋体" w:hint="eastAsia"/>
          <w:sz w:val="32"/>
          <w:szCs w:val="32"/>
        </w:rPr>
        <w:t>预测长江中下游降水量偏少</w:t>
      </w:r>
      <w:r w:rsidR="005D471E" w:rsidRPr="00A20894">
        <w:rPr>
          <w:rFonts w:ascii="宋体" w:eastAsia="宋体" w:hAnsi="宋体"/>
          <w:sz w:val="32"/>
          <w:szCs w:val="32"/>
        </w:rPr>
        <w:t>20%以上，</w:t>
      </w:r>
      <w:r w:rsidR="00790F1D" w:rsidRPr="00A20894">
        <w:rPr>
          <w:rFonts w:ascii="宋体" w:eastAsia="宋体" w:hAnsi="宋体" w:hint="eastAsia"/>
          <w:sz w:val="32"/>
          <w:szCs w:val="32"/>
        </w:rPr>
        <w:t>预计水电增速回落，火电</w:t>
      </w:r>
      <w:r w:rsidR="00A20894" w:rsidRPr="00A20894">
        <w:rPr>
          <w:rFonts w:ascii="宋体" w:eastAsia="宋体" w:hAnsi="宋体" w:hint="eastAsia"/>
          <w:sz w:val="32"/>
          <w:szCs w:val="32"/>
        </w:rPr>
        <w:t>发电量有所增长</w:t>
      </w:r>
      <w:r w:rsidR="00790F1D" w:rsidRPr="00A20894">
        <w:rPr>
          <w:rFonts w:ascii="宋体" w:eastAsia="宋体" w:hAnsi="宋体" w:hint="eastAsia"/>
          <w:sz w:val="32"/>
          <w:szCs w:val="32"/>
        </w:rPr>
        <w:t>。</w:t>
      </w:r>
    </w:p>
    <w:p w14:paraId="2009EA10" w14:textId="11507676" w:rsidR="000B136E" w:rsidRPr="003D2C3B" w:rsidRDefault="002B0480" w:rsidP="000B136E">
      <w:pPr>
        <w:pStyle w:val="1"/>
        <w:spacing w:before="156" w:after="156"/>
        <w:ind w:firstLineChars="200" w:firstLine="643"/>
      </w:pPr>
      <w:r w:rsidRPr="002B0480">
        <w:rPr>
          <w:rFonts w:hint="eastAsia"/>
        </w:rPr>
        <w:t>预计</w:t>
      </w:r>
      <w:r w:rsidRPr="002B0480">
        <w:t>2025年</w:t>
      </w:r>
      <w:r w:rsidR="00C83775" w:rsidRPr="00C83775">
        <w:rPr>
          <w:rFonts w:hint="eastAsia"/>
        </w:rPr>
        <w:t>第</w:t>
      </w:r>
      <w:r w:rsidRPr="002B0480">
        <w:t>二季度经营表现</w:t>
      </w:r>
    </w:p>
    <w:p w14:paraId="1A62B55B" w14:textId="5D46A284" w:rsidR="002B0480" w:rsidRPr="002B0480" w:rsidRDefault="002B0480" w:rsidP="002B0480">
      <w:pPr>
        <w:adjustRightInd w:val="0"/>
        <w:snapToGrid w:val="0"/>
        <w:spacing w:line="600" w:lineRule="exact"/>
        <w:ind w:firstLineChars="200" w:firstLine="640"/>
        <w:rPr>
          <w:rFonts w:ascii="宋体" w:eastAsia="宋体" w:hAnsi="宋体"/>
          <w:sz w:val="32"/>
          <w:szCs w:val="32"/>
        </w:rPr>
      </w:pPr>
      <w:r w:rsidRPr="002B0480">
        <w:rPr>
          <w:rFonts w:ascii="宋体" w:eastAsia="宋体" w:hAnsi="宋体" w:hint="eastAsia"/>
          <w:sz w:val="32"/>
          <w:szCs w:val="32"/>
        </w:rPr>
        <w:t>公司</w:t>
      </w:r>
      <w:r w:rsidR="00C83775" w:rsidRPr="00C83775">
        <w:rPr>
          <w:rFonts w:ascii="宋体" w:eastAsia="宋体" w:hAnsi="宋体" w:hint="eastAsia"/>
          <w:sz w:val="32"/>
          <w:szCs w:val="32"/>
        </w:rPr>
        <w:t>第</w:t>
      </w:r>
      <w:r w:rsidRPr="002B0480">
        <w:rPr>
          <w:rFonts w:ascii="宋体" w:eastAsia="宋体" w:hAnsi="宋体" w:hint="eastAsia"/>
          <w:sz w:val="32"/>
          <w:szCs w:val="32"/>
        </w:rPr>
        <w:t>一季度各项经营指标</w:t>
      </w:r>
      <w:r w:rsidR="00E82CF2">
        <w:rPr>
          <w:rFonts w:ascii="宋体" w:eastAsia="宋体" w:hAnsi="宋体" w:hint="eastAsia"/>
          <w:sz w:val="32"/>
          <w:szCs w:val="32"/>
        </w:rPr>
        <w:t>优于</w:t>
      </w:r>
      <w:r w:rsidRPr="002B0480">
        <w:rPr>
          <w:rFonts w:ascii="宋体" w:eastAsia="宋体" w:hAnsi="宋体" w:hint="eastAsia"/>
          <w:sz w:val="32"/>
          <w:szCs w:val="32"/>
        </w:rPr>
        <w:t>年初</w:t>
      </w:r>
      <w:r w:rsidR="00E82CF2">
        <w:rPr>
          <w:rFonts w:ascii="宋体" w:eastAsia="宋体" w:hAnsi="宋体" w:hint="eastAsia"/>
          <w:sz w:val="32"/>
          <w:szCs w:val="32"/>
        </w:rPr>
        <w:t>预算</w:t>
      </w:r>
      <w:r w:rsidRPr="002B0480">
        <w:rPr>
          <w:rFonts w:ascii="宋体" w:eastAsia="宋体" w:hAnsi="宋体" w:hint="eastAsia"/>
          <w:sz w:val="32"/>
          <w:szCs w:val="32"/>
        </w:rPr>
        <w:t>，预计全年将</w:t>
      </w:r>
      <w:r w:rsidR="00E82CF2">
        <w:rPr>
          <w:rFonts w:ascii="宋体" w:eastAsia="宋体" w:hAnsi="宋体" w:hint="eastAsia"/>
          <w:sz w:val="32"/>
          <w:szCs w:val="32"/>
        </w:rPr>
        <w:t>确保</w:t>
      </w:r>
      <w:r w:rsidR="00E82CF2" w:rsidRPr="002B0480">
        <w:rPr>
          <w:rFonts w:ascii="宋体" w:eastAsia="宋体" w:hAnsi="宋体" w:hint="eastAsia"/>
          <w:sz w:val="32"/>
          <w:szCs w:val="32"/>
        </w:rPr>
        <w:t>完成</w:t>
      </w:r>
      <w:r w:rsidRPr="002B0480">
        <w:rPr>
          <w:rFonts w:ascii="宋体" w:eastAsia="宋体" w:hAnsi="宋体" w:hint="eastAsia"/>
          <w:sz w:val="32"/>
          <w:szCs w:val="32"/>
        </w:rPr>
        <w:t>既定目标。</w:t>
      </w:r>
    </w:p>
    <w:p w14:paraId="65E01169" w14:textId="0B2E42AD" w:rsidR="000B136E" w:rsidRPr="000B136E" w:rsidRDefault="002B0480" w:rsidP="002B0480">
      <w:pPr>
        <w:adjustRightInd w:val="0"/>
        <w:snapToGrid w:val="0"/>
        <w:spacing w:line="600" w:lineRule="exact"/>
        <w:ind w:firstLineChars="200" w:firstLine="640"/>
        <w:rPr>
          <w:rFonts w:ascii="宋体" w:eastAsia="宋体" w:hAnsi="宋体"/>
          <w:sz w:val="32"/>
          <w:szCs w:val="32"/>
        </w:rPr>
      </w:pPr>
      <w:r w:rsidRPr="002B0480">
        <w:rPr>
          <w:rFonts w:ascii="宋体" w:eastAsia="宋体" w:hAnsi="宋体" w:hint="eastAsia"/>
          <w:sz w:val="32"/>
          <w:szCs w:val="32"/>
        </w:rPr>
        <w:t>预计</w:t>
      </w:r>
      <w:r w:rsidR="00C83775" w:rsidRPr="00C83775">
        <w:rPr>
          <w:rFonts w:ascii="宋体" w:eastAsia="宋体" w:hAnsi="宋体" w:hint="eastAsia"/>
          <w:sz w:val="32"/>
          <w:szCs w:val="32"/>
        </w:rPr>
        <w:t>第</w:t>
      </w:r>
      <w:r w:rsidRPr="002B0480">
        <w:rPr>
          <w:rFonts w:ascii="宋体" w:eastAsia="宋体" w:hAnsi="宋体" w:hint="eastAsia"/>
          <w:sz w:val="32"/>
          <w:szCs w:val="32"/>
        </w:rPr>
        <w:t>二季度，公司生产经营</w:t>
      </w:r>
      <w:r w:rsidR="00E82CF2">
        <w:rPr>
          <w:rFonts w:ascii="宋体" w:eastAsia="宋体" w:hAnsi="宋体" w:hint="eastAsia"/>
          <w:sz w:val="32"/>
          <w:szCs w:val="32"/>
        </w:rPr>
        <w:t>持续改善</w:t>
      </w:r>
      <w:r w:rsidRPr="002B0480">
        <w:rPr>
          <w:rFonts w:ascii="宋体" w:eastAsia="宋体" w:hAnsi="宋体" w:hint="eastAsia"/>
          <w:sz w:val="32"/>
          <w:szCs w:val="32"/>
        </w:rPr>
        <w:t>。</w:t>
      </w:r>
      <w:r w:rsidR="00E82CF2">
        <w:rPr>
          <w:rFonts w:ascii="宋体" w:eastAsia="宋体" w:hAnsi="宋体" w:hint="eastAsia"/>
          <w:sz w:val="32"/>
          <w:szCs w:val="32"/>
        </w:rPr>
        <w:t>优势产能有效释放、</w:t>
      </w:r>
      <w:r w:rsidRPr="002B0480">
        <w:rPr>
          <w:rFonts w:ascii="宋体" w:eastAsia="宋体" w:hAnsi="宋体" w:hint="eastAsia"/>
          <w:sz w:val="32"/>
          <w:szCs w:val="32"/>
        </w:rPr>
        <w:t>增产提效，煤炭价格止跌回稳，成本管控和化工板块盈利改善有效对冲煤价波动的影响。</w:t>
      </w:r>
    </w:p>
    <w:p w14:paraId="34B8EE52" w14:textId="77777777" w:rsidR="00232F98" w:rsidRDefault="00232F98" w:rsidP="00232F98">
      <w:pPr>
        <w:pStyle w:val="1"/>
        <w:spacing w:before="156" w:after="156"/>
        <w:ind w:firstLineChars="200" w:firstLine="643"/>
      </w:pPr>
      <w:r w:rsidRPr="00490063">
        <w:rPr>
          <w:rFonts w:hint="eastAsia"/>
        </w:rPr>
        <w:t>公司前次收购控股股东旗下的鲁西矿业、新疆能</w:t>
      </w:r>
      <w:proofErr w:type="gramStart"/>
      <w:r w:rsidRPr="00490063">
        <w:rPr>
          <w:rFonts w:hint="eastAsia"/>
        </w:rPr>
        <w:t>化能否</w:t>
      </w:r>
      <w:proofErr w:type="gramEnd"/>
      <w:r w:rsidRPr="00490063">
        <w:rPr>
          <w:rFonts w:hint="eastAsia"/>
        </w:rPr>
        <w:t>实现业绩承诺</w:t>
      </w:r>
    </w:p>
    <w:p w14:paraId="359B7E81" w14:textId="77777777" w:rsidR="00232F98" w:rsidRPr="00490063" w:rsidRDefault="00232F98" w:rsidP="00232F98">
      <w:pPr>
        <w:adjustRightInd w:val="0"/>
        <w:snapToGrid w:val="0"/>
        <w:spacing w:line="600" w:lineRule="exact"/>
        <w:ind w:firstLineChars="200" w:firstLine="640"/>
        <w:rPr>
          <w:rFonts w:ascii="宋体" w:eastAsia="宋体" w:hAnsi="宋体"/>
          <w:sz w:val="32"/>
          <w:szCs w:val="32"/>
        </w:rPr>
      </w:pPr>
      <w:r w:rsidRPr="00490063">
        <w:rPr>
          <w:rFonts w:ascii="宋体" w:eastAsia="宋体" w:hAnsi="宋体"/>
          <w:sz w:val="32"/>
          <w:szCs w:val="32"/>
        </w:rPr>
        <w:t>2023年</w:t>
      </w:r>
      <w:r>
        <w:rPr>
          <w:rFonts w:ascii="宋体" w:eastAsia="宋体" w:hAnsi="宋体" w:hint="eastAsia"/>
          <w:sz w:val="32"/>
          <w:szCs w:val="32"/>
        </w:rPr>
        <w:t>公司</w:t>
      </w:r>
      <w:r w:rsidRPr="00490063">
        <w:rPr>
          <w:rFonts w:ascii="宋体" w:eastAsia="宋体" w:hAnsi="宋体"/>
          <w:sz w:val="32"/>
          <w:szCs w:val="32"/>
        </w:rPr>
        <w:t>收购</w:t>
      </w:r>
      <w:r w:rsidRPr="009949FF">
        <w:rPr>
          <w:rFonts w:ascii="宋体" w:eastAsia="宋体" w:hAnsi="宋体" w:hint="eastAsia"/>
          <w:sz w:val="32"/>
          <w:szCs w:val="32"/>
        </w:rPr>
        <w:t>山东能源集团鲁西矿业有限公司（“鲁西矿业”）</w:t>
      </w:r>
      <w:r w:rsidRPr="00490063">
        <w:rPr>
          <w:rFonts w:ascii="宋体" w:eastAsia="宋体" w:hAnsi="宋体"/>
          <w:sz w:val="32"/>
          <w:szCs w:val="32"/>
        </w:rPr>
        <w:t>、</w:t>
      </w:r>
      <w:proofErr w:type="gramStart"/>
      <w:r w:rsidRPr="009949FF">
        <w:rPr>
          <w:rFonts w:ascii="宋体" w:eastAsia="宋体" w:hAnsi="宋体" w:hint="eastAsia"/>
          <w:sz w:val="32"/>
          <w:szCs w:val="32"/>
        </w:rPr>
        <w:t>兖</w:t>
      </w:r>
      <w:proofErr w:type="gramEnd"/>
      <w:r w:rsidRPr="009949FF">
        <w:rPr>
          <w:rFonts w:ascii="宋体" w:eastAsia="宋体" w:hAnsi="宋体" w:hint="eastAsia"/>
          <w:sz w:val="32"/>
          <w:szCs w:val="32"/>
        </w:rPr>
        <w:t>矿新疆能化有限公司（“新疆能化”）</w:t>
      </w:r>
      <w:r w:rsidRPr="00490063">
        <w:rPr>
          <w:rFonts w:ascii="宋体" w:eastAsia="宋体" w:hAnsi="宋体"/>
          <w:sz w:val="32"/>
          <w:szCs w:val="32"/>
        </w:rPr>
        <w:t>时</w:t>
      </w:r>
      <w:r w:rsidRPr="009949FF">
        <w:rPr>
          <w:rFonts w:ascii="宋体" w:eastAsia="宋体" w:hAnsi="宋体"/>
          <w:sz w:val="32"/>
          <w:szCs w:val="32"/>
        </w:rPr>
        <w:t>，</w:t>
      </w:r>
      <w:r w:rsidRPr="009949FF">
        <w:rPr>
          <w:rFonts w:ascii="宋体" w:eastAsia="宋体" w:hAnsi="宋体" w:hint="eastAsia"/>
          <w:sz w:val="32"/>
          <w:szCs w:val="32"/>
        </w:rPr>
        <w:t>转让方</w:t>
      </w:r>
      <w:r w:rsidRPr="00490063">
        <w:rPr>
          <w:rFonts w:ascii="宋体" w:eastAsia="宋体" w:hAnsi="宋体"/>
          <w:sz w:val="32"/>
          <w:szCs w:val="32"/>
        </w:rPr>
        <w:t>对经营业绩进行了承诺，是按2023-2025年度累计</w:t>
      </w:r>
      <w:proofErr w:type="gramStart"/>
      <w:r w:rsidRPr="00490063">
        <w:rPr>
          <w:rFonts w:ascii="宋体" w:eastAsia="宋体" w:hAnsi="宋体"/>
          <w:sz w:val="32"/>
          <w:szCs w:val="32"/>
        </w:rPr>
        <w:t>扣非归母净</w:t>
      </w:r>
      <w:proofErr w:type="gramEnd"/>
      <w:r w:rsidRPr="00490063">
        <w:rPr>
          <w:rFonts w:ascii="宋体" w:eastAsia="宋体" w:hAnsi="宋体"/>
          <w:sz w:val="32"/>
          <w:szCs w:val="32"/>
        </w:rPr>
        <w:t>利润进行综合评定，三年结束后，</w:t>
      </w:r>
      <w:r>
        <w:rPr>
          <w:rFonts w:ascii="宋体" w:eastAsia="宋体" w:hAnsi="宋体" w:hint="eastAsia"/>
          <w:sz w:val="32"/>
          <w:szCs w:val="32"/>
        </w:rPr>
        <w:t>公司</w:t>
      </w:r>
      <w:r w:rsidRPr="00490063">
        <w:rPr>
          <w:rFonts w:ascii="宋体" w:eastAsia="宋体" w:hAnsi="宋体"/>
          <w:sz w:val="32"/>
          <w:szCs w:val="32"/>
        </w:rPr>
        <w:t>将聘请审计师进行专项审计，确定业绩实现情况。</w:t>
      </w:r>
    </w:p>
    <w:p w14:paraId="7B4524BC" w14:textId="20180EF0" w:rsidR="00E82CF2" w:rsidRDefault="00232F98" w:rsidP="00232F98">
      <w:pPr>
        <w:adjustRightInd w:val="0"/>
        <w:snapToGrid w:val="0"/>
        <w:spacing w:line="600" w:lineRule="exact"/>
        <w:ind w:firstLineChars="200" w:firstLine="640"/>
        <w:rPr>
          <w:rFonts w:ascii="宋体" w:eastAsia="宋体" w:hAnsi="宋体"/>
          <w:sz w:val="32"/>
          <w:szCs w:val="32"/>
        </w:rPr>
      </w:pPr>
      <w:r w:rsidRPr="00367964">
        <w:rPr>
          <w:rFonts w:ascii="宋体" w:eastAsia="宋体" w:hAnsi="宋体"/>
          <w:sz w:val="32"/>
          <w:szCs w:val="32"/>
        </w:rPr>
        <w:t>2024年</w:t>
      </w:r>
      <w:r w:rsidR="00E82CF2">
        <w:rPr>
          <w:rFonts w:ascii="宋体" w:eastAsia="宋体" w:hAnsi="宋体" w:hint="eastAsia"/>
          <w:sz w:val="32"/>
          <w:szCs w:val="32"/>
        </w:rPr>
        <w:t>以来，鲁西矿业和新疆能化的经营业绩受到</w:t>
      </w:r>
      <w:r w:rsidRPr="00367964">
        <w:rPr>
          <w:rFonts w:ascii="宋体" w:eastAsia="宋体" w:hAnsi="宋体"/>
          <w:sz w:val="32"/>
          <w:szCs w:val="32"/>
        </w:rPr>
        <w:t>煤炭市场下行</w:t>
      </w:r>
      <w:r w:rsidR="00725C5D">
        <w:rPr>
          <w:rFonts w:ascii="宋体" w:eastAsia="宋体" w:hAnsi="宋体" w:hint="eastAsia"/>
          <w:sz w:val="32"/>
          <w:szCs w:val="32"/>
        </w:rPr>
        <w:t>、</w:t>
      </w:r>
      <w:r w:rsidRPr="00367964">
        <w:rPr>
          <w:rFonts w:ascii="宋体" w:eastAsia="宋体" w:hAnsi="宋体"/>
          <w:sz w:val="32"/>
          <w:szCs w:val="32"/>
        </w:rPr>
        <w:t>千米深井开采政策制约产能释放等不可抗力影响，2025年随着五彩湾四号露天矿的建成投产、贡献利润，以及鲁西矿业产能提升，鲁西矿业、新疆能</w:t>
      </w:r>
      <w:proofErr w:type="gramStart"/>
      <w:r w:rsidRPr="00367964">
        <w:rPr>
          <w:rFonts w:ascii="宋体" w:eastAsia="宋体" w:hAnsi="宋体"/>
          <w:sz w:val="32"/>
          <w:szCs w:val="32"/>
        </w:rPr>
        <w:t>化效益</w:t>
      </w:r>
      <w:proofErr w:type="gramEnd"/>
      <w:r w:rsidRPr="00367964">
        <w:rPr>
          <w:rFonts w:ascii="宋体" w:eastAsia="宋体" w:hAnsi="宋体"/>
          <w:sz w:val="32"/>
          <w:szCs w:val="32"/>
        </w:rPr>
        <w:t>将得到改善。</w:t>
      </w:r>
      <w:r w:rsidR="00E82CF2">
        <w:rPr>
          <w:rFonts w:ascii="宋体" w:eastAsia="宋体" w:hAnsi="宋体" w:hint="eastAsia"/>
          <w:sz w:val="32"/>
          <w:szCs w:val="32"/>
        </w:rPr>
        <w:lastRenderedPageBreak/>
        <w:t>2</w:t>
      </w:r>
      <w:r w:rsidR="00E82CF2">
        <w:rPr>
          <w:rFonts w:ascii="宋体" w:eastAsia="宋体" w:hAnsi="宋体"/>
          <w:sz w:val="32"/>
          <w:szCs w:val="32"/>
        </w:rPr>
        <w:t>026</w:t>
      </w:r>
      <w:r w:rsidR="00E82CF2">
        <w:rPr>
          <w:rFonts w:ascii="宋体" w:eastAsia="宋体" w:hAnsi="宋体" w:hint="eastAsia"/>
          <w:sz w:val="32"/>
          <w:szCs w:val="32"/>
        </w:rPr>
        <w:t>年根据专项审计结论，按照《股权转让协议》约定执行。</w:t>
      </w:r>
    </w:p>
    <w:p w14:paraId="282D7D33" w14:textId="1D288DF4" w:rsidR="009C2D6E" w:rsidRPr="009C2D6E" w:rsidRDefault="00BE29AD" w:rsidP="009C2D6E">
      <w:pPr>
        <w:pStyle w:val="1"/>
        <w:spacing w:before="156" w:after="156"/>
        <w:ind w:firstLineChars="200" w:firstLine="643"/>
      </w:pPr>
      <w:r w:rsidRPr="00BE29AD">
        <w:rPr>
          <w:rFonts w:hint="eastAsia"/>
        </w:rPr>
        <w:t>如何</w:t>
      </w:r>
      <w:proofErr w:type="gramStart"/>
      <w:r w:rsidRPr="00BE29AD">
        <w:rPr>
          <w:rFonts w:hint="eastAsia"/>
        </w:rPr>
        <w:t>平衡降</w:t>
      </w:r>
      <w:proofErr w:type="gramEnd"/>
      <w:r w:rsidRPr="00BE29AD">
        <w:rPr>
          <w:rFonts w:hint="eastAsia"/>
        </w:rPr>
        <w:t>负债、资本开支和分红的关系</w:t>
      </w:r>
    </w:p>
    <w:p w14:paraId="27FBC75E" w14:textId="01CD261F" w:rsidR="002B0480" w:rsidRDefault="0031365D" w:rsidP="00CD42E7">
      <w:pPr>
        <w:adjustRightInd w:val="0"/>
        <w:snapToGrid w:val="0"/>
        <w:spacing w:line="600" w:lineRule="exact"/>
        <w:ind w:firstLineChars="200" w:firstLine="640"/>
        <w:rPr>
          <w:rFonts w:ascii="宋体" w:eastAsia="宋体" w:hAnsi="宋体"/>
          <w:sz w:val="32"/>
          <w:szCs w:val="32"/>
        </w:rPr>
      </w:pPr>
      <w:r>
        <w:rPr>
          <w:rFonts w:ascii="宋体" w:eastAsia="宋体" w:hAnsi="宋体" w:hint="eastAsia"/>
          <w:sz w:val="32"/>
          <w:szCs w:val="32"/>
        </w:rPr>
        <w:t>公司目前资金使用理念是确保</w:t>
      </w:r>
      <w:r w:rsidRPr="0031365D">
        <w:rPr>
          <w:rFonts w:ascii="宋体" w:eastAsia="宋体" w:hAnsi="宋体" w:hint="eastAsia"/>
          <w:sz w:val="32"/>
          <w:szCs w:val="32"/>
        </w:rPr>
        <w:t>维持正常生产所需资本</w:t>
      </w:r>
      <w:r w:rsidR="004067CA">
        <w:rPr>
          <w:rFonts w:ascii="宋体" w:eastAsia="宋体" w:hAnsi="宋体" w:hint="eastAsia"/>
          <w:sz w:val="32"/>
          <w:szCs w:val="32"/>
        </w:rPr>
        <w:t>开支</w:t>
      </w:r>
      <w:r>
        <w:rPr>
          <w:rFonts w:ascii="宋体" w:eastAsia="宋体" w:hAnsi="宋体" w:hint="eastAsia"/>
          <w:sz w:val="32"/>
          <w:szCs w:val="32"/>
        </w:rPr>
        <w:t>，</w:t>
      </w:r>
      <w:r w:rsidR="004067CA">
        <w:rPr>
          <w:rFonts w:ascii="宋体" w:eastAsia="宋体" w:hAnsi="宋体" w:hint="eastAsia"/>
          <w:sz w:val="32"/>
          <w:szCs w:val="32"/>
        </w:rPr>
        <w:t>并</w:t>
      </w:r>
      <w:r>
        <w:rPr>
          <w:rFonts w:ascii="宋体" w:eastAsia="宋体" w:hAnsi="宋体" w:hint="eastAsia"/>
          <w:sz w:val="32"/>
          <w:szCs w:val="32"/>
        </w:rPr>
        <w:t>按</w:t>
      </w:r>
      <w:proofErr w:type="gramStart"/>
      <w:r>
        <w:rPr>
          <w:rFonts w:ascii="宋体" w:eastAsia="宋体" w:hAnsi="宋体" w:hint="eastAsia"/>
          <w:sz w:val="32"/>
          <w:szCs w:val="32"/>
        </w:rPr>
        <w:t>当前利润</w:t>
      </w:r>
      <w:proofErr w:type="gramEnd"/>
      <w:r>
        <w:rPr>
          <w:rFonts w:ascii="宋体" w:eastAsia="宋体" w:hAnsi="宋体" w:hint="eastAsia"/>
          <w:sz w:val="32"/>
          <w:szCs w:val="32"/>
        </w:rPr>
        <w:t>分配政策兑现现金分红，</w:t>
      </w:r>
      <w:r w:rsidR="00BE29AD">
        <w:rPr>
          <w:rFonts w:ascii="宋体" w:eastAsia="宋体" w:hAnsi="宋体" w:hint="eastAsia"/>
          <w:sz w:val="32"/>
          <w:szCs w:val="32"/>
        </w:rPr>
        <w:t>在此基础上，</w:t>
      </w:r>
      <w:r w:rsidR="00BB3C33">
        <w:rPr>
          <w:rFonts w:ascii="宋体" w:eastAsia="宋体" w:hAnsi="宋体" w:hint="eastAsia"/>
          <w:sz w:val="32"/>
          <w:szCs w:val="32"/>
        </w:rPr>
        <w:t>再考虑</w:t>
      </w:r>
      <w:r w:rsidR="00BE29AD">
        <w:rPr>
          <w:rFonts w:ascii="宋体" w:eastAsia="宋体" w:hAnsi="宋体" w:hint="eastAsia"/>
          <w:sz w:val="32"/>
          <w:szCs w:val="32"/>
        </w:rPr>
        <w:t>项目建设及收购兼并等战略性投资</w:t>
      </w:r>
      <w:r w:rsidR="00BB3C33">
        <w:rPr>
          <w:rFonts w:ascii="宋体" w:eastAsia="宋体" w:hAnsi="宋体" w:hint="eastAsia"/>
          <w:sz w:val="32"/>
          <w:szCs w:val="32"/>
        </w:rPr>
        <w:t>以及降低资产负债率</w:t>
      </w:r>
      <w:r w:rsidR="00BE29AD">
        <w:rPr>
          <w:rFonts w:ascii="宋体" w:eastAsia="宋体" w:hAnsi="宋体" w:hint="eastAsia"/>
          <w:sz w:val="32"/>
          <w:szCs w:val="32"/>
        </w:rPr>
        <w:t>。</w:t>
      </w:r>
    </w:p>
    <w:p w14:paraId="114850DF" w14:textId="1C550656" w:rsidR="00BB3C33" w:rsidRDefault="00BB3C33" w:rsidP="00BB3C33">
      <w:pPr>
        <w:adjustRightInd w:val="0"/>
        <w:snapToGrid w:val="0"/>
        <w:spacing w:line="600" w:lineRule="exact"/>
        <w:ind w:firstLineChars="200" w:firstLine="640"/>
        <w:rPr>
          <w:rFonts w:ascii="宋体" w:eastAsia="宋体" w:hAnsi="宋体"/>
          <w:sz w:val="32"/>
          <w:szCs w:val="32"/>
        </w:rPr>
      </w:pPr>
      <w:r w:rsidRPr="00BB3C33">
        <w:rPr>
          <w:rFonts w:ascii="宋体" w:eastAsia="宋体" w:hAnsi="宋体" w:hint="eastAsia"/>
          <w:sz w:val="32"/>
          <w:szCs w:val="32"/>
        </w:rPr>
        <w:t>根据中国会计准则，</w:t>
      </w:r>
      <w:r w:rsidRPr="00BB3C33">
        <w:rPr>
          <w:rFonts w:ascii="宋体" w:eastAsia="宋体" w:hAnsi="宋体"/>
          <w:sz w:val="32"/>
          <w:szCs w:val="32"/>
        </w:rPr>
        <w:t>2024年，本集团经营活动产生的现金流量净额223亿元，扣除财务公司存贷款影响后，本集团经营性</w:t>
      </w:r>
      <w:proofErr w:type="gramStart"/>
      <w:r w:rsidRPr="00BB3C33">
        <w:rPr>
          <w:rFonts w:ascii="宋体" w:eastAsia="宋体" w:hAnsi="宋体"/>
          <w:sz w:val="32"/>
          <w:szCs w:val="32"/>
        </w:rPr>
        <w:t>现金流约240亿元</w:t>
      </w:r>
      <w:proofErr w:type="gramEnd"/>
      <w:r w:rsidRPr="00BB3C33">
        <w:rPr>
          <w:rFonts w:ascii="宋体" w:eastAsia="宋体" w:hAnsi="宋体"/>
          <w:sz w:val="32"/>
          <w:szCs w:val="32"/>
        </w:rPr>
        <w:t>，全年现金</w:t>
      </w:r>
      <w:proofErr w:type="gramStart"/>
      <w:r w:rsidRPr="00BB3C33">
        <w:rPr>
          <w:rFonts w:ascii="宋体" w:eastAsia="宋体" w:hAnsi="宋体"/>
          <w:sz w:val="32"/>
          <w:szCs w:val="32"/>
        </w:rPr>
        <w:t>流能够</w:t>
      </w:r>
      <w:proofErr w:type="gramEnd"/>
      <w:r w:rsidRPr="00BB3C33">
        <w:rPr>
          <w:rFonts w:ascii="宋体" w:eastAsia="宋体" w:hAnsi="宋体"/>
          <w:sz w:val="32"/>
          <w:szCs w:val="32"/>
        </w:rPr>
        <w:t>满足资本开支和分红的需求。</w:t>
      </w:r>
    </w:p>
    <w:p w14:paraId="04E0CD44" w14:textId="5895CE77" w:rsidR="00BB3C33" w:rsidRPr="00BB3C33" w:rsidRDefault="00BB3C33" w:rsidP="004067CA">
      <w:pPr>
        <w:adjustRightInd w:val="0"/>
        <w:snapToGrid w:val="0"/>
        <w:spacing w:line="600" w:lineRule="exact"/>
        <w:ind w:firstLineChars="200" w:firstLine="640"/>
        <w:rPr>
          <w:rFonts w:ascii="宋体" w:eastAsia="宋体" w:hAnsi="宋体"/>
          <w:sz w:val="32"/>
          <w:szCs w:val="32"/>
        </w:rPr>
      </w:pPr>
      <w:r w:rsidRPr="00BB3C33">
        <w:rPr>
          <w:rFonts w:ascii="宋体" w:eastAsia="宋体" w:hAnsi="宋体" w:hint="eastAsia"/>
          <w:sz w:val="32"/>
          <w:szCs w:val="32"/>
        </w:rPr>
        <w:t>截至</w:t>
      </w:r>
      <w:r w:rsidRPr="00BB3C33">
        <w:rPr>
          <w:rFonts w:ascii="宋体" w:eastAsia="宋体" w:hAnsi="宋体"/>
          <w:sz w:val="32"/>
          <w:szCs w:val="32"/>
        </w:rPr>
        <w:t>2025年3月31日，本集团资产负债率62.59%，比年初降低0.31个百分点</w:t>
      </w:r>
      <w:r w:rsidR="004067CA">
        <w:rPr>
          <w:rFonts w:ascii="宋体" w:eastAsia="宋体" w:hAnsi="宋体" w:hint="eastAsia"/>
          <w:sz w:val="32"/>
          <w:szCs w:val="32"/>
        </w:rPr>
        <w:t>，</w:t>
      </w:r>
      <w:r w:rsidR="004067CA" w:rsidRPr="004067CA">
        <w:rPr>
          <w:rFonts w:ascii="宋体" w:eastAsia="宋体" w:hAnsi="宋体" w:hint="eastAsia"/>
          <w:sz w:val="32"/>
          <w:szCs w:val="32"/>
        </w:rPr>
        <w:t>处于</w:t>
      </w:r>
      <w:r w:rsidR="004067CA" w:rsidRPr="004067CA">
        <w:rPr>
          <w:rFonts w:ascii="宋体" w:eastAsia="宋体" w:hAnsi="宋体"/>
          <w:sz w:val="32"/>
          <w:szCs w:val="32"/>
        </w:rPr>
        <w:t>50%-70%的安全区间。</w:t>
      </w:r>
      <w:r w:rsidRPr="00BB3C33">
        <w:rPr>
          <w:rFonts w:ascii="宋体" w:eastAsia="宋体" w:hAnsi="宋体" w:hint="eastAsia"/>
          <w:sz w:val="32"/>
          <w:szCs w:val="32"/>
        </w:rPr>
        <w:t>公司双管双控负债规模和资产负债率，在满足生产经营、现金分红、投资并购支出情况下，全力降杠杆、减负债。</w:t>
      </w:r>
    </w:p>
    <w:p w14:paraId="1A0254EF" w14:textId="0267863F" w:rsidR="004067CA" w:rsidRDefault="00BB3C33" w:rsidP="00BB3C33">
      <w:pPr>
        <w:adjustRightInd w:val="0"/>
        <w:snapToGrid w:val="0"/>
        <w:spacing w:line="600" w:lineRule="exact"/>
        <w:ind w:firstLineChars="200" w:firstLine="640"/>
        <w:rPr>
          <w:rFonts w:ascii="宋体" w:eastAsia="宋体" w:hAnsi="宋体"/>
          <w:sz w:val="32"/>
          <w:szCs w:val="32"/>
        </w:rPr>
      </w:pPr>
      <w:r w:rsidRPr="00BB3C33">
        <w:rPr>
          <w:rFonts w:ascii="宋体" w:eastAsia="宋体" w:hAnsi="宋体" w:hint="eastAsia"/>
          <w:sz w:val="32"/>
          <w:szCs w:val="32"/>
        </w:rPr>
        <w:t>本集团拥有通畅的债权融资渠道，</w:t>
      </w:r>
      <w:r w:rsidR="004067CA">
        <w:rPr>
          <w:rFonts w:ascii="宋体" w:eastAsia="宋体" w:hAnsi="宋体" w:hint="eastAsia"/>
          <w:sz w:val="32"/>
          <w:szCs w:val="32"/>
        </w:rPr>
        <w:t>且</w:t>
      </w:r>
      <w:r w:rsidRPr="00BB3C33">
        <w:rPr>
          <w:rFonts w:ascii="宋体" w:eastAsia="宋体" w:hAnsi="宋体"/>
          <w:sz w:val="32"/>
          <w:szCs w:val="32"/>
        </w:rPr>
        <w:t>融资成本</w:t>
      </w:r>
      <w:r w:rsidR="004067CA">
        <w:rPr>
          <w:rFonts w:ascii="宋体" w:eastAsia="宋体" w:hAnsi="宋体" w:hint="eastAsia"/>
          <w:sz w:val="32"/>
          <w:szCs w:val="32"/>
        </w:rPr>
        <w:t>较低</w:t>
      </w:r>
      <w:r w:rsidRPr="00BB3C33">
        <w:rPr>
          <w:rFonts w:ascii="宋体" w:eastAsia="宋体" w:hAnsi="宋体"/>
          <w:sz w:val="32"/>
          <w:szCs w:val="32"/>
        </w:rPr>
        <w:t>，</w:t>
      </w:r>
      <w:r w:rsidR="004067CA" w:rsidRPr="004067CA">
        <w:rPr>
          <w:rFonts w:ascii="宋体" w:eastAsia="宋体" w:hAnsi="宋体" w:hint="eastAsia"/>
          <w:sz w:val="32"/>
          <w:szCs w:val="32"/>
        </w:rPr>
        <w:t>利用低成本的融资优势投资回报率更高的优质项目，有利于提升公司盈利能力和利润水平。</w:t>
      </w:r>
    </w:p>
    <w:p w14:paraId="1EC9C49E" w14:textId="104FDB16" w:rsidR="00283576" w:rsidRDefault="009C2D6E" w:rsidP="00BB3C33">
      <w:pPr>
        <w:pStyle w:val="1"/>
        <w:spacing w:before="156" w:after="156"/>
        <w:ind w:firstLineChars="200" w:firstLine="643"/>
      </w:pPr>
      <w:proofErr w:type="gramStart"/>
      <w:r w:rsidRPr="009C2D6E">
        <w:rPr>
          <w:rFonts w:hint="eastAsia"/>
        </w:rPr>
        <w:t>兖</w:t>
      </w:r>
      <w:proofErr w:type="gramEnd"/>
      <w:r w:rsidRPr="009C2D6E">
        <w:rPr>
          <w:rFonts w:hint="eastAsia"/>
        </w:rPr>
        <w:t>煤澳洲</w:t>
      </w:r>
      <w:r w:rsidRPr="009C2D6E">
        <w:t>向中国销售商品煤情况</w:t>
      </w:r>
    </w:p>
    <w:p w14:paraId="22B1403B" w14:textId="2EC0655C" w:rsidR="009B0E79" w:rsidRDefault="009C2D6E" w:rsidP="00EF78FF">
      <w:pPr>
        <w:ind w:firstLineChars="200" w:firstLine="640"/>
        <w:rPr>
          <w:rFonts w:ascii="宋体" w:eastAsia="宋体" w:hAnsi="宋体"/>
          <w:sz w:val="32"/>
          <w:szCs w:val="32"/>
        </w:rPr>
      </w:pPr>
      <w:r w:rsidRPr="009C2D6E">
        <w:rPr>
          <w:rFonts w:ascii="宋体" w:eastAsia="宋体" w:hAnsi="宋体" w:hint="eastAsia"/>
          <w:sz w:val="32"/>
          <w:szCs w:val="32"/>
        </w:rPr>
        <w:t>按销售收入划分</w:t>
      </w:r>
      <w:r>
        <w:rPr>
          <w:rFonts w:ascii="宋体" w:eastAsia="宋体" w:hAnsi="宋体" w:hint="eastAsia"/>
          <w:sz w:val="32"/>
          <w:szCs w:val="32"/>
        </w:rPr>
        <w:t>，</w:t>
      </w:r>
      <w:proofErr w:type="gramStart"/>
      <w:r w:rsidR="00BD5435" w:rsidRPr="00BD5435">
        <w:rPr>
          <w:rFonts w:ascii="宋体" w:eastAsia="宋体" w:hAnsi="宋体" w:hint="eastAsia"/>
          <w:sz w:val="32"/>
          <w:szCs w:val="32"/>
        </w:rPr>
        <w:t>兖</w:t>
      </w:r>
      <w:proofErr w:type="gramEnd"/>
      <w:r w:rsidR="00BD5435" w:rsidRPr="00BD5435">
        <w:rPr>
          <w:rFonts w:ascii="宋体" w:eastAsia="宋体" w:hAnsi="宋体" w:hint="eastAsia"/>
          <w:sz w:val="32"/>
          <w:szCs w:val="32"/>
        </w:rPr>
        <w:t>煤澳大利亚有限公司</w:t>
      </w:r>
      <w:r w:rsidR="00BD5435" w:rsidRPr="009C2D6E">
        <w:rPr>
          <w:rFonts w:ascii="宋体" w:eastAsia="宋体" w:hAnsi="宋体"/>
          <w:sz w:val="32"/>
          <w:szCs w:val="32"/>
        </w:rPr>
        <w:t>2024年</w:t>
      </w:r>
      <w:r w:rsidRPr="009C2D6E">
        <w:rPr>
          <w:rFonts w:ascii="宋体" w:eastAsia="宋体" w:hAnsi="宋体"/>
          <w:sz w:val="32"/>
          <w:szCs w:val="32"/>
        </w:rPr>
        <w:t>向中国销售商品煤占比为29%</w:t>
      </w:r>
      <w:r>
        <w:rPr>
          <w:rFonts w:ascii="宋体" w:eastAsia="宋体" w:hAnsi="宋体" w:hint="eastAsia"/>
          <w:sz w:val="32"/>
          <w:szCs w:val="32"/>
        </w:rPr>
        <w:t>。</w:t>
      </w:r>
    </w:p>
    <w:p w14:paraId="415EEA84" w14:textId="77777777" w:rsidR="00292A1D" w:rsidRPr="00292A1D" w:rsidRDefault="00292A1D" w:rsidP="00292A1D">
      <w:pPr>
        <w:pStyle w:val="1"/>
        <w:spacing w:before="156" w:after="156"/>
        <w:ind w:firstLineChars="200" w:firstLine="643"/>
      </w:pPr>
      <w:bookmarkStart w:id="0" w:name="_Hlk196813844"/>
      <w:r w:rsidRPr="00292A1D">
        <w:rPr>
          <w:rFonts w:hint="eastAsia"/>
        </w:rPr>
        <w:t>收购西北矿业的业绩承诺情况</w:t>
      </w:r>
    </w:p>
    <w:p w14:paraId="7157AB48" w14:textId="77777777" w:rsidR="00292A1D" w:rsidRPr="00DF1243" w:rsidRDefault="00292A1D" w:rsidP="00292A1D">
      <w:pPr>
        <w:adjustRightInd w:val="0"/>
        <w:snapToGrid w:val="0"/>
        <w:spacing w:line="600" w:lineRule="exact"/>
        <w:ind w:firstLineChars="200" w:firstLine="640"/>
        <w:rPr>
          <w:rFonts w:ascii="宋体" w:eastAsia="宋体" w:hAnsi="宋体"/>
          <w:sz w:val="32"/>
          <w:szCs w:val="32"/>
        </w:rPr>
      </w:pPr>
      <w:r w:rsidRPr="00DF1243">
        <w:rPr>
          <w:rFonts w:ascii="宋体" w:eastAsia="宋体" w:hAnsi="宋体" w:hint="eastAsia"/>
          <w:sz w:val="32"/>
          <w:szCs w:val="32"/>
        </w:rPr>
        <w:lastRenderedPageBreak/>
        <w:t>为最大程度保护上市公司及股东利益，公司收购山东能源集团西北矿业有限公司（“西北矿业”）股权的交易设置了业绩承诺条款，西北矿业原股东方承诺西北矿业</w:t>
      </w:r>
      <w:r w:rsidRPr="00DF1243">
        <w:rPr>
          <w:rFonts w:ascii="宋体" w:eastAsia="宋体" w:hAnsi="宋体"/>
          <w:sz w:val="32"/>
          <w:szCs w:val="32"/>
        </w:rPr>
        <w:t>2025-2027三年累计</w:t>
      </w:r>
      <w:proofErr w:type="gramStart"/>
      <w:r w:rsidRPr="00DF1243">
        <w:rPr>
          <w:rFonts w:ascii="宋体" w:eastAsia="宋体" w:hAnsi="宋体"/>
          <w:sz w:val="32"/>
          <w:szCs w:val="32"/>
        </w:rPr>
        <w:t>扣非归母净</w:t>
      </w:r>
      <w:proofErr w:type="gramEnd"/>
      <w:r w:rsidRPr="00DF1243">
        <w:rPr>
          <w:rFonts w:ascii="宋体" w:eastAsia="宋体" w:hAnsi="宋体"/>
          <w:sz w:val="32"/>
          <w:szCs w:val="32"/>
        </w:rPr>
        <w:t>利润不低于71亿元，承诺期满后进行专项审计及评估，若实现净利润与业绩承诺有差距，或承诺期末评估值与本次交易评估值有差距，原股东方按照对应的差额孰高者乘以上市公司收购西北矿业的股权比例予以现金补足。</w:t>
      </w:r>
    </w:p>
    <w:p w14:paraId="4B52E77C" w14:textId="77777777" w:rsidR="00292A1D" w:rsidRPr="00987982" w:rsidRDefault="00292A1D" w:rsidP="00292A1D">
      <w:pPr>
        <w:adjustRightInd w:val="0"/>
        <w:snapToGrid w:val="0"/>
        <w:spacing w:line="600" w:lineRule="exact"/>
        <w:ind w:firstLineChars="200" w:firstLine="640"/>
        <w:rPr>
          <w:rFonts w:ascii="宋体" w:eastAsia="宋体" w:hAnsi="宋体"/>
          <w:sz w:val="32"/>
          <w:szCs w:val="32"/>
        </w:rPr>
      </w:pPr>
      <w:r w:rsidRPr="00DF1243">
        <w:rPr>
          <w:rFonts w:ascii="宋体" w:eastAsia="宋体" w:hAnsi="宋体" w:hint="eastAsia"/>
          <w:sz w:val="32"/>
          <w:szCs w:val="32"/>
        </w:rPr>
        <w:t>上述机制既锁定中短期利润保障，又以资产重</w:t>
      </w:r>
      <w:proofErr w:type="gramStart"/>
      <w:r w:rsidRPr="00DF1243">
        <w:rPr>
          <w:rFonts w:ascii="宋体" w:eastAsia="宋体" w:hAnsi="宋体" w:hint="eastAsia"/>
          <w:sz w:val="32"/>
          <w:szCs w:val="32"/>
        </w:rPr>
        <w:t>估机制</w:t>
      </w:r>
      <w:proofErr w:type="gramEnd"/>
      <w:r w:rsidRPr="00DF1243">
        <w:rPr>
          <w:rFonts w:ascii="宋体" w:eastAsia="宋体" w:hAnsi="宋体" w:hint="eastAsia"/>
          <w:sz w:val="32"/>
          <w:szCs w:val="32"/>
        </w:rPr>
        <w:t>防范资产减值风险，充分体现兖矿能源对投资者负责的态度，同时彰显标的资产质量与发展信心。</w:t>
      </w:r>
    </w:p>
    <w:bookmarkEnd w:id="0"/>
    <w:p w14:paraId="05C2D921" w14:textId="5E6BE21B" w:rsidR="00BB3C33" w:rsidRPr="00292A1D" w:rsidRDefault="00BB3C33" w:rsidP="00EF78FF">
      <w:pPr>
        <w:ind w:firstLineChars="200" w:firstLine="640"/>
        <w:rPr>
          <w:rFonts w:ascii="宋体" w:eastAsia="宋体" w:hAnsi="宋体"/>
          <w:sz w:val="32"/>
          <w:szCs w:val="32"/>
        </w:rPr>
      </w:pPr>
    </w:p>
    <w:sectPr w:rsidR="00BB3C33" w:rsidRPr="00292A1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C5569" w14:textId="77777777" w:rsidR="00A30440" w:rsidRDefault="00A30440" w:rsidP="00482F81">
      <w:r>
        <w:separator/>
      </w:r>
    </w:p>
  </w:endnote>
  <w:endnote w:type="continuationSeparator" w:id="0">
    <w:p w14:paraId="2FF2A40B" w14:textId="77777777" w:rsidR="00A30440" w:rsidRDefault="00A30440" w:rsidP="0048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409237"/>
      <w:docPartObj>
        <w:docPartGallery w:val="Page Numbers (Bottom of Page)"/>
        <w:docPartUnique/>
      </w:docPartObj>
    </w:sdtPr>
    <w:sdtEndPr/>
    <w:sdtContent>
      <w:p w14:paraId="5D45A900" w14:textId="17C98CAD" w:rsidR="006167B5" w:rsidRDefault="006167B5">
        <w:pPr>
          <w:pStyle w:val="a9"/>
          <w:jc w:val="center"/>
        </w:pPr>
        <w:r>
          <w:fldChar w:fldCharType="begin"/>
        </w:r>
        <w:r>
          <w:instrText>PAGE   \* MERGEFORMAT</w:instrText>
        </w:r>
        <w:r>
          <w:fldChar w:fldCharType="separate"/>
        </w:r>
        <w:r>
          <w:rPr>
            <w:lang w:val="zh-CN"/>
          </w:rPr>
          <w:t>2</w:t>
        </w:r>
        <w:r>
          <w:fldChar w:fldCharType="end"/>
        </w:r>
      </w:p>
    </w:sdtContent>
  </w:sdt>
  <w:p w14:paraId="4D67397B" w14:textId="77777777" w:rsidR="006167B5" w:rsidRDefault="006167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0E757" w14:textId="77777777" w:rsidR="00A30440" w:rsidRDefault="00A30440" w:rsidP="00482F81">
      <w:r>
        <w:separator/>
      </w:r>
    </w:p>
  </w:footnote>
  <w:footnote w:type="continuationSeparator" w:id="0">
    <w:p w14:paraId="3608907C" w14:textId="77777777" w:rsidR="00A30440" w:rsidRDefault="00A30440" w:rsidP="00482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11902"/>
    <w:multiLevelType w:val="hybridMultilevel"/>
    <w:tmpl w:val="91C603BC"/>
    <w:lvl w:ilvl="0" w:tplc="3E52318A">
      <w:start w:val="1"/>
      <w:numFmt w:val="chineseCountingThousand"/>
      <w:pStyle w:val="1"/>
      <w:suff w:val="nothing"/>
      <w:lvlText w:val="%1、"/>
      <w:lvlJc w:val="left"/>
      <w:pPr>
        <w:ind w:left="0" w:firstLine="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46972"/>
    <w:multiLevelType w:val="hybridMultilevel"/>
    <w:tmpl w:val="054692BA"/>
    <w:lvl w:ilvl="0" w:tplc="5E36A434">
      <w:start w:val="1"/>
      <w:numFmt w:val="decimal"/>
      <w:suff w:val="nothing"/>
      <w:lvlText w:val="%1."/>
      <w:lvlJc w:val="left"/>
      <w:pPr>
        <w:ind w:left="1555" w:hanging="420"/>
      </w:pPr>
      <w:rPr>
        <w:rFonts w:hint="eastAsia"/>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15:restartNumberingAfterBreak="0">
    <w:nsid w:val="338A73E8"/>
    <w:multiLevelType w:val="multilevel"/>
    <w:tmpl w:val="70F046BA"/>
    <w:lvl w:ilvl="0">
      <w:start w:val="1"/>
      <w:numFmt w:val="chineseCountingThousand"/>
      <w:pStyle w:val="2"/>
      <w:suff w:val="nothing"/>
      <w:lvlText w:val="%1、"/>
      <w:lvlJc w:val="left"/>
      <w:pPr>
        <w:ind w:left="1130" w:hanging="420"/>
      </w:pPr>
      <w:rPr>
        <w:rFonts w:hint="eastAsia"/>
        <w:lang w:val="en-US"/>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15:restartNumberingAfterBreak="0">
    <w:nsid w:val="4BF1104E"/>
    <w:multiLevelType w:val="hybridMultilevel"/>
    <w:tmpl w:val="50B0CC0C"/>
    <w:lvl w:ilvl="0" w:tplc="8018AAD2">
      <w:start w:val="1"/>
      <w:numFmt w:val="decimal"/>
      <w:suff w:val="nothing"/>
      <w:lvlText w:val="%1."/>
      <w:lvlJc w:val="left"/>
      <w:pPr>
        <w:ind w:left="1063" w:hanging="420"/>
      </w:pPr>
      <w:rPr>
        <w:rFonts w:hint="eastAsia"/>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15:restartNumberingAfterBreak="0">
    <w:nsid w:val="61832905"/>
    <w:multiLevelType w:val="hybridMultilevel"/>
    <w:tmpl w:val="F508D63A"/>
    <w:lvl w:ilvl="0" w:tplc="7CF8ADD2">
      <w:start w:val="3"/>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abstractNumId w:val="0"/>
  </w:num>
  <w:num w:numId="2">
    <w:abstractNumId w:val="1"/>
  </w:num>
  <w:num w:numId="3">
    <w:abstractNumId w:val="3"/>
  </w:num>
  <w:num w:numId="4">
    <w:abstractNumId w:val="0"/>
  </w:num>
  <w:num w:numId="5">
    <w:abstractNumId w:val="2"/>
  </w:num>
  <w:num w:numId="6">
    <w:abstractNumId w:val="2"/>
    <w:lvlOverride w:ilvl="0">
      <w:startOverride w:val="1"/>
    </w:lvlOverride>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0"/>
    <w:lvlOverride w:ilvl="0">
      <w:startOverride w:val="1"/>
    </w:lvlOverride>
  </w:num>
  <w:num w:numId="14">
    <w:abstractNumId w:val="0"/>
  </w:num>
  <w:num w:numId="15">
    <w:abstractNumId w:val="0"/>
    <w:lvlOverride w:ilvl="0">
      <w:startOverride w:val="1"/>
    </w:lvlOverride>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lvlOverride w:ilvl="0">
      <w:startOverride w:val="1"/>
    </w:lvlOverride>
  </w:num>
  <w:num w:numId="43">
    <w:abstractNumId w:val="0"/>
  </w:num>
  <w:num w:numId="44">
    <w:abstractNumId w:val="4"/>
  </w:num>
  <w:num w:numId="45">
    <w:abstractNumId w:val="0"/>
  </w:num>
  <w:num w:numId="46">
    <w:abstractNumId w:val="0"/>
  </w:num>
  <w:num w:numId="47">
    <w:abstractNumId w:val="0"/>
    <w:lvlOverride w:ilvl="0">
      <w:startOverride w:val="1"/>
    </w:lvlOverride>
  </w:num>
  <w:num w:numId="48">
    <w:abstractNumId w:val="0"/>
    <w:lvlOverride w:ilvl="0">
      <w:startOverride w:val="1"/>
    </w:lvlOverride>
  </w:num>
  <w:num w:numId="49">
    <w:abstractNumId w:val="0"/>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66"/>
    <w:rsid w:val="0000209F"/>
    <w:rsid w:val="00006779"/>
    <w:rsid w:val="000110DF"/>
    <w:rsid w:val="000155D6"/>
    <w:rsid w:val="00035137"/>
    <w:rsid w:val="00040055"/>
    <w:rsid w:val="000413C7"/>
    <w:rsid w:val="0004303F"/>
    <w:rsid w:val="000505AE"/>
    <w:rsid w:val="00062DEF"/>
    <w:rsid w:val="00072133"/>
    <w:rsid w:val="000747EE"/>
    <w:rsid w:val="000753DD"/>
    <w:rsid w:val="00077941"/>
    <w:rsid w:val="00080C35"/>
    <w:rsid w:val="0008164F"/>
    <w:rsid w:val="00082A09"/>
    <w:rsid w:val="00086E2E"/>
    <w:rsid w:val="0009179D"/>
    <w:rsid w:val="000923A0"/>
    <w:rsid w:val="000A1349"/>
    <w:rsid w:val="000A3AF5"/>
    <w:rsid w:val="000A72BD"/>
    <w:rsid w:val="000B136E"/>
    <w:rsid w:val="000B625D"/>
    <w:rsid w:val="000D394A"/>
    <w:rsid w:val="000D5F04"/>
    <w:rsid w:val="000D611B"/>
    <w:rsid w:val="000E20D7"/>
    <w:rsid w:val="000E3052"/>
    <w:rsid w:val="000E65E2"/>
    <w:rsid w:val="000F2DAA"/>
    <w:rsid w:val="000F6577"/>
    <w:rsid w:val="00100FAD"/>
    <w:rsid w:val="001038E8"/>
    <w:rsid w:val="001135AE"/>
    <w:rsid w:val="00113701"/>
    <w:rsid w:val="001175BF"/>
    <w:rsid w:val="00120966"/>
    <w:rsid w:val="001271D9"/>
    <w:rsid w:val="00130FFE"/>
    <w:rsid w:val="001341EE"/>
    <w:rsid w:val="001360C3"/>
    <w:rsid w:val="00147E4B"/>
    <w:rsid w:val="00151749"/>
    <w:rsid w:val="0017047E"/>
    <w:rsid w:val="00194294"/>
    <w:rsid w:val="00196D6A"/>
    <w:rsid w:val="001B326F"/>
    <w:rsid w:val="001E0A32"/>
    <w:rsid w:val="00221BEE"/>
    <w:rsid w:val="00224766"/>
    <w:rsid w:val="00224FF0"/>
    <w:rsid w:val="00232F98"/>
    <w:rsid w:val="00252011"/>
    <w:rsid w:val="00252E1B"/>
    <w:rsid w:val="00255378"/>
    <w:rsid w:val="00257929"/>
    <w:rsid w:val="002621E6"/>
    <w:rsid w:val="00262C05"/>
    <w:rsid w:val="00274AC2"/>
    <w:rsid w:val="00275CF7"/>
    <w:rsid w:val="00276BD2"/>
    <w:rsid w:val="0027770A"/>
    <w:rsid w:val="00283576"/>
    <w:rsid w:val="002852B4"/>
    <w:rsid w:val="00285492"/>
    <w:rsid w:val="00292A1D"/>
    <w:rsid w:val="002A7A29"/>
    <w:rsid w:val="002A7D71"/>
    <w:rsid w:val="002B0480"/>
    <w:rsid w:val="002B6170"/>
    <w:rsid w:val="002C23B3"/>
    <w:rsid w:val="002D614F"/>
    <w:rsid w:val="002E1096"/>
    <w:rsid w:val="002F7D2D"/>
    <w:rsid w:val="00305D38"/>
    <w:rsid w:val="0030608B"/>
    <w:rsid w:val="0031365D"/>
    <w:rsid w:val="003302C5"/>
    <w:rsid w:val="00336561"/>
    <w:rsid w:val="003528B3"/>
    <w:rsid w:val="00360407"/>
    <w:rsid w:val="003626D6"/>
    <w:rsid w:val="00364396"/>
    <w:rsid w:val="00366A66"/>
    <w:rsid w:val="00367964"/>
    <w:rsid w:val="00367A5D"/>
    <w:rsid w:val="003724F0"/>
    <w:rsid w:val="00375399"/>
    <w:rsid w:val="003761B5"/>
    <w:rsid w:val="00385E38"/>
    <w:rsid w:val="0039636B"/>
    <w:rsid w:val="003A044C"/>
    <w:rsid w:val="003A1437"/>
    <w:rsid w:val="003C09B7"/>
    <w:rsid w:val="003D2C3B"/>
    <w:rsid w:val="003D3A35"/>
    <w:rsid w:val="003D5F7D"/>
    <w:rsid w:val="003F5E84"/>
    <w:rsid w:val="004067CA"/>
    <w:rsid w:val="00411ADA"/>
    <w:rsid w:val="004205EA"/>
    <w:rsid w:val="004270BF"/>
    <w:rsid w:val="00427D5E"/>
    <w:rsid w:val="00454D93"/>
    <w:rsid w:val="00456ED7"/>
    <w:rsid w:val="0047410B"/>
    <w:rsid w:val="0048037F"/>
    <w:rsid w:val="00482F81"/>
    <w:rsid w:val="004844EC"/>
    <w:rsid w:val="00490063"/>
    <w:rsid w:val="004A3FC9"/>
    <w:rsid w:val="004B0878"/>
    <w:rsid w:val="004B7F9A"/>
    <w:rsid w:val="004C4EBB"/>
    <w:rsid w:val="004D58D2"/>
    <w:rsid w:val="004E35E3"/>
    <w:rsid w:val="00500376"/>
    <w:rsid w:val="00511A6D"/>
    <w:rsid w:val="005302F3"/>
    <w:rsid w:val="00544B1F"/>
    <w:rsid w:val="005535CF"/>
    <w:rsid w:val="0055675A"/>
    <w:rsid w:val="005619AF"/>
    <w:rsid w:val="005636B1"/>
    <w:rsid w:val="0058069D"/>
    <w:rsid w:val="00580A34"/>
    <w:rsid w:val="005837EE"/>
    <w:rsid w:val="00585350"/>
    <w:rsid w:val="005A0559"/>
    <w:rsid w:val="005B57B2"/>
    <w:rsid w:val="005B7ECD"/>
    <w:rsid w:val="005D471E"/>
    <w:rsid w:val="005D6B0A"/>
    <w:rsid w:val="005E02C5"/>
    <w:rsid w:val="005E097B"/>
    <w:rsid w:val="005E5600"/>
    <w:rsid w:val="005F1DDE"/>
    <w:rsid w:val="005F5503"/>
    <w:rsid w:val="00601472"/>
    <w:rsid w:val="00613F28"/>
    <w:rsid w:val="006167B5"/>
    <w:rsid w:val="006302DA"/>
    <w:rsid w:val="0063157F"/>
    <w:rsid w:val="00634290"/>
    <w:rsid w:val="00642123"/>
    <w:rsid w:val="00650708"/>
    <w:rsid w:val="006542BC"/>
    <w:rsid w:val="00655C68"/>
    <w:rsid w:val="00657B90"/>
    <w:rsid w:val="006616F4"/>
    <w:rsid w:val="00663523"/>
    <w:rsid w:val="006637C5"/>
    <w:rsid w:val="00680052"/>
    <w:rsid w:val="006802B3"/>
    <w:rsid w:val="00692287"/>
    <w:rsid w:val="00694021"/>
    <w:rsid w:val="006A32A1"/>
    <w:rsid w:val="006A7141"/>
    <w:rsid w:val="006A77F6"/>
    <w:rsid w:val="006B6500"/>
    <w:rsid w:val="006C311D"/>
    <w:rsid w:val="006D001E"/>
    <w:rsid w:val="006E1E60"/>
    <w:rsid w:val="006F1F23"/>
    <w:rsid w:val="00703AE6"/>
    <w:rsid w:val="00724C7F"/>
    <w:rsid w:val="00725C5D"/>
    <w:rsid w:val="007274D0"/>
    <w:rsid w:val="00735EF8"/>
    <w:rsid w:val="00740FAE"/>
    <w:rsid w:val="00743E30"/>
    <w:rsid w:val="00746776"/>
    <w:rsid w:val="00755571"/>
    <w:rsid w:val="00762982"/>
    <w:rsid w:val="0076723F"/>
    <w:rsid w:val="0078142B"/>
    <w:rsid w:val="00786CC0"/>
    <w:rsid w:val="00790F1D"/>
    <w:rsid w:val="00796090"/>
    <w:rsid w:val="007A0ACB"/>
    <w:rsid w:val="007B5CED"/>
    <w:rsid w:val="007B7EE0"/>
    <w:rsid w:val="007E2F18"/>
    <w:rsid w:val="007F4187"/>
    <w:rsid w:val="007F5C42"/>
    <w:rsid w:val="008045FC"/>
    <w:rsid w:val="008059C7"/>
    <w:rsid w:val="00807C2E"/>
    <w:rsid w:val="00830D8E"/>
    <w:rsid w:val="00835EC7"/>
    <w:rsid w:val="00841FA1"/>
    <w:rsid w:val="008426E1"/>
    <w:rsid w:val="00843A3C"/>
    <w:rsid w:val="008567BB"/>
    <w:rsid w:val="00857FED"/>
    <w:rsid w:val="00863D20"/>
    <w:rsid w:val="00875F4E"/>
    <w:rsid w:val="008814C0"/>
    <w:rsid w:val="00892192"/>
    <w:rsid w:val="008A14F4"/>
    <w:rsid w:val="008A4D59"/>
    <w:rsid w:val="008B07C9"/>
    <w:rsid w:val="008B7149"/>
    <w:rsid w:val="008C2573"/>
    <w:rsid w:val="008E5F8D"/>
    <w:rsid w:val="009002D4"/>
    <w:rsid w:val="00902249"/>
    <w:rsid w:val="00902A7F"/>
    <w:rsid w:val="0094036E"/>
    <w:rsid w:val="00951304"/>
    <w:rsid w:val="0097550D"/>
    <w:rsid w:val="00981DC9"/>
    <w:rsid w:val="00982817"/>
    <w:rsid w:val="009848AE"/>
    <w:rsid w:val="00987982"/>
    <w:rsid w:val="00992F9C"/>
    <w:rsid w:val="009949FF"/>
    <w:rsid w:val="009A493A"/>
    <w:rsid w:val="009B0E79"/>
    <w:rsid w:val="009B2A4B"/>
    <w:rsid w:val="009C1E3E"/>
    <w:rsid w:val="009C2D6E"/>
    <w:rsid w:val="009D6D0A"/>
    <w:rsid w:val="009E0637"/>
    <w:rsid w:val="009F2A3A"/>
    <w:rsid w:val="009F5452"/>
    <w:rsid w:val="00A0251B"/>
    <w:rsid w:val="00A02D43"/>
    <w:rsid w:val="00A20894"/>
    <w:rsid w:val="00A228A4"/>
    <w:rsid w:val="00A25210"/>
    <w:rsid w:val="00A30440"/>
    <w:rsid w:val="00A566BB"/>
    <w:rsid w:val="00A655DF"/>
    <w:rsid w:val="00A65A8F"/>
    <w:rsid w:val="00A72AA0"/>
    <w:rsid w:val="00A81CFF"/>
    <w:rsid w:val="00A91F4A"/>
    <w:rsid w:val="00A9364B"/>
    <w:rsid w:val="00AB4EA3"/>
    <w:rsid w:val="00AC01B4"/>
    <w:rsid w:val="00AC2D0D"/>
    <w:rsid w:val="00AD0454"/>
    <w:rsid w:val="00AE207D"/>
    <w:rsid w:val="00AF1578"/>
    <w:rsid w:val="00AF2F56"/>
    <w:rsid w:val="00AF6D36"/>
    <w:rsid w:val="00B02BD3"/>
    <w:rsid w:val="00B0435B"/>
    <w:rsid w:val="00B0452C"/>
    <w:rsid w:val="00B12AA8"/>
    <w:rsid w:val="00B13042"/>
    <w:rsid w:val="00B17ADD"/>
    <w:rsid w:val="00B36B00"/>
    <w:rsid w:val="00B429F0"/>
    <w:rsid w:val="00B445CB"/>
    <w:rsid w:val="00B545A8"/>
    <w:rsid w:val="00B61EAA"/>
    <w:rsid w:val="00B64476"/>
    <w:rsid w:val="00B72FFE"/>
    <w:rsid w:val="00B730B5"/>
    <w:rsid w:val="00B736CD"/>
    <w:rsid w:val="00B86313"/>
    <w:rsid w:val="00B93F69"/>
    <w:rsid w:val="00BA010B"/>
    <w:rsid w:val="00BA688C"/>
    <w:rsid w:val="00BB0CC7"/>
    <w:rsid w:val="00BB3C33"/>
    <w:rsid w:val="00BC2C8A"/>
    <w:rsid w:val="00BD0D9F"/>
    <w:rsid w:val="00BD5435"/>
    <w:rsid w:val="00BD6894"/>
    <w:rsid w:val="00BE29AD"/>
    <w:rsid w:val="00BE40B3"/>
    <w:rsid w:val="00BF6ABB"/>
    <w:rsid w:val="00C0409B"/>
    <w:rsid w:val="00C12BEE"/>
    <w:rsid w:val="00C3542F"/>
    <w:rsid w:val="00C52702"/>
    <w:rsid w:val="00C61B31"/>
    <w:rsid w:val="00C62C59"/>
    <w:rsid w:val="00C668D2"/>
    <w:rsid w:val="00C70F59"/>
    <w:rsid w:val="00C74FC2"/>
    <w:rsid w:val="00C83775"/>
    <w:rsid w:val="00C87275"/>
    <w:rsid w:val="00C90D79"/>
    <w:rsid w:val="00C969B4"/>
    <w:rsid w:val="00CA2749"/>
    <w:rsid w:val="00CC1D4D"/>
    <w:rsid w:val="00CD1762"/>
    <w:rsid w:val="00CD42E7"/>
    <w:rsid w:val="00CE106A"/>
    <w:rsid w:val="00CF6EE9"/>
    <w:rsid w:val="00D05A85"/>
    <w:rsid w:val="00D14F02"/>
    <w:rsid w:val="00D45064"/>
    <w:rsid w:val="00D45C89"/>
    <w:rsid w:val="00D528C0"/>
    <w:rsid w:val="00D57658"/>
    <w:rsid w:val="00D73349"/>
    <w:rsid w:val="00D814C6"/>
    <w:rsid w:val="00D87267"/>
    <w:rsid w:val="00D97D0B"/>
    <w:rsid w:val="00DA0CDC"/>
    <w:rsid w:val="00DA1BFE"/>
    <w:rsid w:val="00DA507A"/>
    <w:rsid w:val="00DD165D"/>
    <w:rsid w:val="00DE4F4C"/>
    <w:rsid w:val="00DE6BBB"/>
    <w:rsid w:val="00DE730D"/>
    <w:rsid w:val="00DF1243"/>
    <w:rsid w:val="00DF435E"/>
    <w:rsid w:val="00DF5CF8"/>
    <w:rsid w:val="00E01673"/>
    <w:rsid w:val="00E04297"/>
    <w:rsid w:val="00E0701B"/>
    <w:rsid w:val="00E21600"/>
    <w:rsid w:val="00E30A5D"/>
    <w:rsid w:val="00E3491C"/>
    <w:rsid w:val="00E37E6C"/>
    <w:rsid w:val="00E43063"/>
    <w:rsid w:val="00E52531"/>
    <w:rsid w:val="00E563A7"/>
    <w:rsid w:val="00E64FA8"/>
    <w:rsid w:val="00E80228"/>
    <w:rsid w:val="00E82CF2"/>
    <w:rsid w:val="00E83B5E"/>
    <w:rsid w:val="00E85771"/>
    <w:rsid w:val="00E85BAC"/>
    <w:rsid w:val="00E8764A"/>
    <w:rsid w:val="00E90726"/>
    <w:rsid w:val="00E9217F"/>
    <w:rsid w:val="00E939B9"/>
    <w:rsid w:val="00EB19DE"/>
    <w:rsid w:val="00EC7C09"/>
    <w:rsid w:val="00ED02F5"/>
    <w:rsid w:val="00ED41A0"/>
    <w:rsid w:val="00ED5608"/>
    <w:rsid w:val="00ED5FD3"/>
    <w:rsid w:val="00EE18E7"/>
    <w:rsid w:val="00EE4263"/>
    <w:rsid w:val="00EE7BC4"/>
    <w:rsid w:val="00EF0866"/>
    <w:rsid w:val="00EF25D3"/>
    <w:rsid w:val="00EF78FF"/>
    <w:rsid w:val="00F05266"/>
    <w:rsid w:val="00F242C9"/>
    <w:rsid w:val="00F35662"/>
    <w:rsid w:val="00F557B8"/>
    <w:rsid w:val="00F57BEF"/>
    <w:rsid w:val="00F62336"/>
    <w:rsid w:val="00F64025"/>
    <w:rsid w:val="00F64956"/>
    <w:rsid w:val="00F65032"/>
    <w:rsid w:val="00F85810"/>
    <w:rsid w:val="00F9308E"/>
    <w:rsid w:val="00F94FE3"/>
    <w:rsid w:val="00FA5C2F"/>
    <w:rsid w:val="00FB0087"/>
    <w:rsid w:val="00FE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7DF48"/>
  <w15:chartTrackingRefBased/>
  <w15:docId w15:val="{08597004-8157-4492-B413-2ACA097D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25D3"/>
    <w:pPr>
      <w:numPr>
        <w:numId w:val="4"/>
      </w:numPr>
      <w:snapToGrid w:val="0"/>
      <w:spacing w:beforeLines="50" w:before="50" w:afterLines="50" w:after="50" w:line="560" w:lineRule="exact"/>
      <w:outlineLvl w:val="0"/>
    </w:pPr>
    <w:rPr>
      <w:rFonts w:ascii="宋体" w:eastAsia="宋体" w:hAnsi="宋体"/>
      <w:b/>
      <w:sz w:val="32"/>
      <w:szCs w:val="32"/>
    </w:rPr>
  </w:style>
  <w:style w:type="paragraph" w:styleId="2">
    <w:name w:val="heading 2"/>
    <w:basedOn w:val="a"/>
    <w:next w:val="a"/>
    <w:link w:val="20"/>
    <w:uiPriority w:val="9"/>
    <w:unhideWhenUsed/>
    <w:qFormat/>
    <w:rsid w:val="006A32A1"/>
    <w:pPr>
      <w:numPr>
        <w:numId w:val="5"/>
      </w:numPr>
      <w:adjustRightInd w:val="0"/>
      <w:ind w:left="620" w:firstLine="0"/>
      <w:outlineLvl w:val="1"/>
    </w:pPr>
    <w:rPr>
      <w:rFonts w:ascii="黑体" w:eastAsia="黑体"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A0559"/>
    <w:rPr>
      <w:rFonts w:ascii="宋体" w:eastAsia="宋体" w:hAnsi="Courier New" w:cs="Courier New"/>
      <w:szCs w:val="21"/>
    </w:rPr>
  </w:style>
  <w:style w:type="character" w:customStyle="1" w:styleId="a4">
    <w:name w:val="纯文本 字符"/>
    <w:basedOn w:val="a0"/>
    <w:link w:val="a3"/>
    <w:rsid w:val="005A0559"/>
    <w:rPr>
      <w:rFonts w:ascii="宋体" w:eastAsia="宋体" w:hAnsi="Courier New" w:cs="Courier New"/>
      <w:szCs w:val="21"/>
    </w:rPr>
  </w:style>
  <w:style w:type="paragraph" w:styleId="a5">
    <w:name w:val="Balloon Text"/>
    <w:basedOn w:val="a"/>
    <w:link w:val="a6"/>
    <w:uiPriority w:val="99"/>
    <w:semiHidden/>
    <w:unhideWhenUsed/>
    <w:rsid w:val="000747EE"/>
    <w:rPr>
      <w:sz w:val="18"/>
      <w:szCs w:val="18"/>
    </w:rPr>
  </w:style>
  <w:style w:type="character" w:customStyle="1" w:styleId="a6">
    <w:name w:val="批注框文本 字符"/>
    <w:basedOn w:val="a0"/>
    <w:link w:val="a5"/>
    <w:uiPriority w:val="99"/>
    <w:semiHidden/>
    <w:rsid w:val="000747EE"/>
    <w:rPr>
      <w:sz w:val="18"/>
      <w:szCs w:val="18"/>
    </w:rPr>
  </w:style>
  <w:style w:type="character" w:customStyle="1" w:styleId="10">
    <w:name w:val="标题 1 字符"/>
    <w:basedOn w:val="a0"/>
    <w:link w:val="1"/>
    <w:uiPriority w:val="9"/>
    <w:rsid w:val="00EF25D3"/>
    <w:rPr>
      <w:rFonts w:ascii="宋体" w:eastAsia="宋体" w:hAnsi="宋体"/>
      <w:b/>
      <w:sz w:val="32"/>
      <w:szCs w:val="32"/>
    </w:rPr>
  </w:style>
  <w:style w:type="character" w:customStyle="1" w:styleId="20">
    <w:name w:val="标题 2 字符"/>
    <w:basedOn w:val="a0"/>
    <w:link w:val="2"/>
    <w:uiPriority w:val="9"/>
    <w:rsid w:val="006A32A1"/>
    <w:rPr>
      <w:rFonts w:ascii="黑体" w:eastAsia="黑体" w:hAnsiTheme="majorHAnsi" w:cstheme="majorBidi"/>
      <w:bCs/>
      <w:sz w:val="32"/>
      <w:szCs w:val="32"/>
    </w:rPr>
  </w:style>
  <w:style w:type="paragraph" w:styleId="a7">
    <w:name w:val="header"/>
    <w:basedOn w:val="a"/>
    <w:link w:val="a8"/>
    <w:uiPriority w:val="99"/>
    <w:unhideWhenUsed/>
    <w:rsid w:val="00482F8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482F81"/>
    <w:rPr>
      <w:sz w:val="18"/>
      <w:szCs w:val="18"/>
    </w:rPr>
  </w:style>
  <w:style w:type="paragraph" w:styleId="a9">
    <w:name w:val="footer"/>
    <w:basedOn w:val="a"/>
    <w:link w:val="aa"/>
    <w:uiPriority w:val="99"/>
    <w:unhideWhenUsed/>
    <w:rsid w:val="00482F81"/>
    <w:pPr>
      <w:tabs>
        <w:tab w:val="center" w:pos="4153"/>
        <w:tab w:val="right" w:pos="8306"/>
      </w:tabs>
      <w:snapToGrid w:val="0"/>
      <w:jc w:val="left"/>
    </w:pPr>
    <w:rPr>
      <w:sz w:val="18"/>
      <w:szCs w:val="18"/>
    </w:rPr>
  </w:style>
  <w:style w:type="character" w:customStyle="1" w:styleId="aa">
    <w:name w:val="页脚 字符"/>
    <w:basedOn w:val="a0"/>
    <w:link w:val="a9"/>
    <w:uiPriority w:val="99"/>
    <w:rsid w:val="00482F81"/>
    <w:rPr>
      <w:sz w:val="18"/>
      <w:szCs w:val="18"/>
    </w:rPr>
  </w:style>
  <w:style w:type="paragraph" w:styleId="ab">
    <w:name w:val="List Paragraph"/>
    <w:basedOn w:val="a"/>
    <w:link w:val="ac"/>
    <w:uiPriority w:val="34"/>
    <w:qFormat/>
    <w:rsid w:val="009C2D6E"/>
    <w:pPr>
      <w:widowControl/>
      <w:spacing w:line="600" w:lineRule="exact"/>
      <w:ind w:firstLineChars="200" w:firstLine="420"/>
    </w:pPr>
  </w:style>
  <w:style w:type="character" w:customStyle="1" w:styleId="ac">
    <w:name w:val="列表段落 字符"/>
    <w:basedOn w:val="a0"/>
    <w:link w:val="ab"/>
    <w:uiPriority w:val="34"/>
    <w:rsid w:val="009C2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858</TotalTime>
  <Pages>5</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晨</dc:creator>
  <cp:keywords/>
  <dc:description/>
  <cp:lastModifiedBy>Tian</cp:lastModifiedBy>
  <cp:revision>148</cp:revision>
  <cp:lastPrinted>2025-04-29T07:14:00Z</cp:lastPrinted>
  <dcterms:created xsi:type="dcterms:W3CDTF">2023-03-29T01:05:00Z</dcterms:created>
  <dcterms:modified xsi:type="dcterms:W3CDTF">2025-04-29T08:07:00Z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2" name="5B77E7CEEC58BC6AFAE8886BEB80DBEB">
    <vt:lpwstr>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</vt:lpwstr>
  </property>
</Properties>
</file>