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D2749" w14:textId="77777777" w:rsidR="007F5423" w:rsidRDefault="007A2957">
      <w:pPr>
        <w:spacing w:line="420" w:lineRule="exact"/>
        <w:rPr>
          <w:rFonts w:ascii="宋体" w:hAnsi="宋体"/>
          <w:b/>
          <w:iCs/>
          <w:szCs w:val="21"/>
        </w:rPr>
      </w:pPr>
      <w:r>
        <w:rPr>
          <w:rFonts w:ascii="宋体" w:hAnsi="宋体"/>
          <w:b/>
          <w:iCs/>
          <w:szCs w:val="21"/>
        </w:rPr>
        <w:t>证券代码：</w:t>
      </w:r>
      <w:r>
        <w:rPr>
          <w:rFonts w:ascii="宋体" w:hAnsi="宋体"/>
          <w:b/>
          <w:iCs/>
          <w:szCs w:val="21"/>
        </w:rPr>
        <w:t xml:space="preserve">688100                                            </w:t>
      </w:r>
      <w:r>
        <w:rPr>
          <w:rFonts w:ascii="宋体" w:hAnsi="宋体"/>
          <w:b/>
          <w:iCs/>
          <w:szCs w:val="21"/>
        </w:rPr>
        <w:t>证券简称：</w:t>
      </w:r>
      <w:r>
        <w:rPr>
          <w:rFonts w:ascii="宋体" w:hAnsi="宋体" w:hint="eastAsia"/>
          <w:b/>
          <w:iCs/>
          <w:szCs w:val="21"/>
        </w:rPr>
        <w:t>威胜信息</w:t>
      </w:r>
    </w:p>
    <w:p w14:paraId="6B18BC72" w14:textId="77777777" w:rsidR="007F5423" w:rsidRDefault="007A2957">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14:paraId="463E81AB" w14:textId="43ED7EB4" w:rsidR="007F5423" w:rsidRDefault="007A2957">
      <w:pPr>
        <w:spacing w:beforeLines="50" w:before="156" w:afterLines="150" w:after="468" w:line="420" w:lineRule="exact"/>
        <w:jc w:val="center"/>
        <w:rPr>
          <w:rFonts w:ascii="宋体" w:hAnsi="宋体"/>
          <w:b/>
          <w:bCs/>
          <w:iCs/>
          <w:sz w:val="32"/>
          <w:szCs w:val="32"/>
        </w:rPr>
      </w:pPr>
      <w:r>
        <w:rPr>
          <w:rFonts w:ascii="宋体" w:hAnsi="宋体"/>
          <w:b/>
          <w:bCs/>
          <w:iCs/>
          <w:sz w:val="32"/>
          <w:szCs w:val="32"/>
        </w:rPr>
        <w:t>2025</w:t>
      </w:r>
      <w:r>
        <w:rPr>
          <w:rFonts w:ascii="宋体" w:hAnsi="宋体" w:hint="eastAsia"/>
          <w:b/>
          <w:bCs/>
          <w:iCs/>
          <w:sz w:val="32"/>
          <w:szCs w:val="32"/>
        </w:rPr>
        <w:t>年</w:t>
      </w:r>
      <w:r>
        <w:rPr>
          <w:rFonts w:ascii="宋体" w:hAnsi="宋体"/>
          <w:b/>
          <w:bCs/>
          <w:iCs/>
          <w:sz w:val="32"/>
          <w:szCs w:val="32"/>
        </w:rPr>
        <w:t>4</w:t>
      </w:r>
      <w:r>
        <w:rPr>
          <w:rFonts w:ascii="宋体" w:hAnsi="宋体" w:hint="eastAsia"/>
          <w:b/>
          <w:bCs/>
          <w:iCs/>
          <w:sz w:val="32"/>
          <w:szCs w:val="32"/>
        </w:rPr>
        <w:t>月</w:t>
      </w:r>
      <w:r>
        <w:rPr>
          <w:rFonts w:ascii="宋体" w:hAnsi="宋体"/>
          <w:b/>
          <w:bCs/>
          <w:iCs/>
          <w:sz w:val="32"/>
          <w:szCs w:val="32"/>
        </w:rPr>
        <w:t>27</w:t>
      </w:r>
      <w:r>
        <w:rPr>
          <w:rFonts w:ascii="宋体" w:hAnsi="宋体"/>
          <w:b/>
          <w:bCs/>
          <w:iCs/>
          <w:sz w:val="32"/>
          <w:szCs w:val="32"/>
        </w:rPr>
        <w:t>日</w:t>
      </w:r>
      <w:r w:rsidR="00D95AA9">
        <w:rPr>
          <w:rFonts w:ascii="宋体" w:hAnsi="宋体" w:hint="eastAsia"/>
          <w:b/>
          <w:bCs/>
          <w:iCs/>
          <w:sz w:val="32"/>
          <w:szCs w:val="32"/>
        </w:rPr>
        <w:t>一季度业绩沟通</w:t>
      </w:r>
      <w:r>
        <w:rPr>
          <w:rFonts w:ascii="宋体" w:hAnsi="宋体" w:hint="eastAsia"/>
          <w:b/>
          <w:bCs/>
          <w:iCs/>
          <w:sz w:val="32"/>
          <w:szCs w:val="32"/>
        </w:rPr>
        <w:t>会纪要</w:t>
      </w:r>
    </w:p>
    <w:p w14:paraId="7FC29C83" w14:textId="77777777" w:rsidR="007F5423" w:rsidRDefault="007A2957">
      <w:pPr>
        <w:spacing w:line="420" w:lineRule="exact"/>
        <w:ind w:firstLineChars="177" w:firstLine="425"/>
        <w:rPr>
          <w:rFonts w:ascii="宋体" w:hAnsi="宋体"/>
          <w:sz w:val="24"/>
        </w:rPr>
      </w:pPr>
      <w:r>
        <w:rPr>
          <w:rFonts w:ascii="宋体" w:hAnsi="宋体" w:hint="eastAsia"/>
          <w:sz w:val="24"/>
        </w:rPr>
        <w:t>威胜信息技术股份有限公司（以下简称“公司”）</w:t>
      </w:r>
      <w:r>
        <w:rPr>
          <w:rFonts w:ascii="宋体" w:hAnsi="宋体" w:hint="eastAsia"/>
          <w:sz w:val="24"/>
        </w:rPr>
        <w:t>2</w:t>
      </w:r>
      <w:r>
        <w:rPr>
          <w:rFonts w:ascii="宋体" w:hAnsi="宋体"/>
          <w:sz w:val="24"/>
        </w:rPr>
        <w:t>024</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27</w:t>
      </w:r>
      <w:r>
        <w:rPr>
          <w:rFonts w:ascii="宋体" w:hAnsi="宋体"/>
          <w:sz w:val="24"/>
        </w:rPr>
        <w:t>日</w:t>
      </w:r>
      <w:r>
        <w:rPr>
          <w:rFonts w:ascii="宋体" w:hAnsi="宋体" w:hint="eastAsia"/>
          <w:sz w:val="24"/>
        </w:rPr>
        <w:t>交流情况如下：</w:t>
      </w:r>
      <w:bookmarkStart w:id="0" w:name="_GoBack"/>
      <w:bookmarkEnd w:id="0"/>
    </w:p>
    <w:p w14:paraId="6C076469" w14:textId="77777777" w:rsidR="007F5423" w:rsidRDefault="007A2957">
      <w:pPr>
        <w:pStyle w:val="ad"/>
        <w:numPr>
          <w:ilvl w:val="0"/>
          <w:numId w:val="1"/>
        </w:numPr>
        <w:spacing w:line="420" w:lineRule="exact"/>
        <w:ind w:left="709" w:firstLineChars="0"/>
        <w:rPr>
          <w:rFonts w:ascii="宋体" w:hAnsi="宋体"/>
          <w:b/>
          <w:bCs/>
          <w:sz w:val="24"/>
        </w:rPr>
      </w:pPr>
      <w:r>
        <w:rPr>
          <w:rFonts w:ascii="宋体" w:hAnsi="宋体" w:hint="eastAsia"/>
          <w:b/>
          <w:bCs/>
          <w:sz w:val="24"/>
        </w:rPr>
        <w:t>参会人员</w:t>
      </w:r>
    </w:p>
    <w:p w14:paraId="79E01D14" w14:textId="77777777" w:rsidR="007F5423" w:rsidRDefault="007A2957">
      <w:pPr>
        <w:pStyle w:val="a5"/>
        <w:spacing w:line="420" w:lineRule="exact"/>
        <w:ind w:firstLineChars="200" w:firstLine="480"/>
        <w:rPr>
          <w:rFonts w:hAnsi="宋体"/>
          <w:sz w:val="24"/>
        </w:rPr>
      </w:pPr>
      <w:r>
        <w:rPr>
          <w:rFonts w:hAnsi="宋体"/>
          <w:sz w:val="24"/>
        </w:rPr>
        <w:t>总裁兼董事</w:t>
      </w:r>
      <w:r>
        <w:rPr>
          <w:rFonts w:hAnsi="宋体" w:hint="eastAsia"/>
          <w:sz w:val="24"/>
        </w:rPr>
        <w:t>：</w:t>
      </w:r>
      <w:r>
        <w:rPr>
          <w:rFonts w:hAnsi="宋体"/>
          <w:sz w:val="24"/>
        </w:rPr>
        <w:t>李先怀先生</w:t>
      </w:r>
    </w:p>
    <w:p w14:paraId="25C884E0" w14:textId="77777777" w:rsidR="007F5423" w:rsidRDefault="007A2957">
      <w:pPr>
        <w:pStyle w:val="a5"/>
        <w:spacing w:line="420" w:lineRule="exact"/>
        <w:ind w:firstLineChars="200" w:firstLine="480"/>
        <w:rPr>
          <w:rFonts w:hAnsi="宋体"/>
          <w:sz w:val="24"/>
        </w:rPr>
      </w:pPr>
      <w:r>
        <w:rPr>
          <w:rFonts w:hAnsi="宋体" w:hint="eastAsia"/>
          <w:sz w:val="24"/>
        </w:rPr>
        <w:t>副总裁、董事会秘书兼财务总监：钟喜玉女士</w:t>
      </w:r>
    </w:p>
    <w:p w14:paraId="189E3B8D" w14:textId="77777777" w:rsidR="007F5423" w:rsidRDefault="007A2957">
      <w:pPr>
        <w:pStyle w:val="a5"/>
        <w:spacing w:line="420" w:lineRule="exact"/>
        <w:ind w:firstLineChars="200" w:firstLine="480"/>
        <w:rPr>
          <w:rFonts w:hAnsi="宋体"/>
          <w:sz w:val="24"/>
        </w:rPr>
      </w:pPr>
      <w:r>
        <w:rPr>
          <w:rFonts w:hAnsi="宋体" w:hint="eastAsia"/>
          <w:sz w:val="24"/>
        </w:rPr>
        <w:t>通信及芯片事业群总经理：肖林松先生</w:t>
      </w:r>
    </w:p>
    <w:p w14:paraId="0D6DC3E7" w14:textId="77777777" w:rsidR="007F5423" w:rsidRDefault="007A2957">
      <w:pPr>
        <w:pStyle w:val="a5"/>
        <w:spacing w:line="420" w:lineRule="exact"/>
        <w:ind w:firstLineChars="200" w:firstLine="480"/>
        <w:rPr>
          <w:rFonts w:hAnsi="宋体"/>
          <w:sz w:val="24"/>
        </w:rPr>
      </w:pPr>
      <w:r>
        <w:rPr>
          <w:rFonts w:hAnsi="宋体" w:hint="eastAsia"/>
          <w:sz w:val="24"/>
        </w:rPr>
        <w:t>战略发展总监：吴浩先生</w:t>
      </w:r>
    </w:p>
    <w:p w14:paraId="628F2EA1" w14:textId="77777777" w:rsidR="007F5423" w:rsidRDefault="007F5423">
      <w:pPr>
        <w:pStyle w:val="a5"/>
        <w:spacing w:line="420" w:lineRule="exact"/>
        <w:ind w:firstLineChars="200" w:firstLine="480"/>
        <w:rPr>
          <w:rFonts w:hAnsi="宋体"/>
          <w:sz w:val="24"/>
        </w:rPr>
      </w:pPr>
    </w:p>
    <w:p w14:paraId="5A29377F" w14:textId="77777777" w:rsidR="007F5423" w:rsidRDefault="007A2957">
      <w:pPr>
        <w:pStyle w:val="a5"/>
        <w:spacing w:line="420" w:lineRule="exact"/>
        <w:ind w:firstLineChars="200" w:firstLine="480"/>
        <w:rPr>
          <w:rFonts w:hAnsi="宋体"/>
          <w:sz w:val="24"/>
        </w:rPr>
      </w:pPr>
      <w:r>
        <w:rPr>
          <w:rFonts w:hAnsi="宋体" w:hint="eastAsia"/>
          <w:sz w:val="24"/>
        </w:rPr>
        <w:t>机构参会：</w:t>
      </w:r>
    </w:p>
    <w:p w14:paraId="56D4C86F" w14:textId="77777777" w:rsidR="007F5423" w:rsidRDefault="007A2957">
      <w:pPr>
        <w:pStyle w:val="a5"/>
        <w:spacing w:line="420" w:lineRule="exact"/>
        <w:ind w:firstLineChars="200" w:firstLine="480"/>
        <w:rPr>
          <w:rFonts w:hAnsi="宋体"/>
          <w:sz w:val="24"/>
        </w:rPr>
      </w:pPr>
      <w:bookmarkStart w:id="1" w:name="OLE_LINK7"/>
      <w:bookmarkStart w:id="2" w:name="OLE_LINK8"/>
      <w:bookmarkStart w:id="3" w:name="OLE_LINK1"/>
      <w:bookmarkStart w:id="4" w:name="OLE_LINK2"/>
      <w:r>
        <w:rPr>
          <w:rFonts w:hAnsi="宋体" w:hint="eastAsia"/>
          <w:sz w:val="24"/>
        </w:rPr>
        <w:t>2</w:t>
      </w:r>
      <w:r>
        <w:rPr>
          <w:rFonts w:hAnsi="宋体"/>
          <w:sz w:val="24"/>
        </w:rPr>
        <w:t>025</w:t>
      </w:r>
      <w:r>
        <w:rPr>
          <w:rFonts w:hAnsi="宋体"/>
          <w:sz w:val="24"/>
        </w:rPr>
        <w:t>年</w:t>
      </w:r>
      <w:r>
        <w:rPr>
          <w:rFonts w:hAnsi="宋体"/>
          <w:sz w:val="24"/>
        </w:rPr>
        <w:t>4</w:t>
      </w:r>
      <w:r>
        <w:rPr>
          <w:rFonts w:hAnsi="宋体" w:hint="eastAsia"/>
          <w:sz w:val="24"/>
        </w:rPr>
        <w:t>月</w:t>
      </w:r>
      <w:r>
        <w:rPr>
          <w:rFonts w:hAnsi="宋体"/>
          <w:sz w:val="24"/>
        </w:rPr>
        <w:t>27</w:t>
      </w:r>
      <w:r>
        <w:rPr>
          <w:rFonts w:hAnsi="宋体" w:hint="eastAsia"/>
          <w:sz w:val="24"/>
        </w:rPr>
        <w:t>日</w:t>
      </w:r>
      <w:r>
        <w:rPr>
          <w:rFonts w:hAnsi="宋体" w:hint="eastAsia"/>
          <w:sz w:val="24"/>
        </w:rPr>
        <w:t xml:space="preserve"> </w:t>
      </w:r>
      <w:r>
        <w:rPr>
          <w:rFonts w:hAnsi="宋体"/>
          <w:sz w:val="24"/>
        </w:rPr>
        <w:t xml:space="preserve"> </w:t>
      </w:r>
      <w:r>
        <w:rPr>
          <w:rFonts w:hAnsi="宋体" w:hint="eastAsia"/>
          <w:sz w:val="24"/>
        </w:rPr>
        <w:t>华商基金、永安财险、创金合</w:t>
      </w:r>
      <w:r>
        <w:rPr>
          <w:rFonts w:hAnsi="宋体" w:hint="eastAsia"/>
          <w:sz w:val="24"/>
        </w:rPr>
        <w:t>信、宝盈基金、华安基金、大成基金、泉果基金、朱雀基金、高信百诺、荷兰养老金、宁银理财、建信理财、富兰克林邓普顿投资、花旗银行、合众易晟、英大证券投资、东方财富、阳光保险、胤胜资产、上海信托投资、</w:t>
      </w:r>
      <w:r>
        <w:rPr>
          <w:rFonts w:hAnsi="宋体"/>
          <w:sz w:val="24"/>
        </w:rPr>
        <w:t>Oberweis Asset Management (Hong Kong) Limited</w:t>
      </w:r>
      <w:r>
        <w:rPr>
          <w:rFonts w:hAnsi="宋体" w:hint="eastAsia"/>
          <w:sz w:val="24"/>
        </w:rPr>
        <w:t>、中金公司、西部证券、华安证券、山西证券、国泰海通证券、国信证券、长江证券、光大证券、招商证券、富瑞证券、中邮证券、太平洋证券、财信证券、中信建投证券、浙商证券、兴业证券、东方证券、国海证券、东吴证券、国盛证券、东兴证券、广发证</w:t>
      </w:r>
      <w:r>
        <w:rPr>
          <w:rFonts w:hAnsi="宋体" w:hint="eastAsia"/>
          <w:sz w:val="24"/>
        </w:rPr>
        <w:t>券、华西证券、华创证券、瑞银证券、中信证券、国联民生证券、华泰证券、天风证券</w:t>
      </w:r>
    </w:p>
    <w:bookmarkEnd w:id="1"/>
    <w:bookmarkEnd w:id="2"/>
    <w:bookmarkEnd w:id="3"/>
    <w:bookmarkEnd w:id="4"/>
    <w:p w14:paraId="2EF3A47C" w14:textId="77777777" w:rsidR="007F5423" w:rsidRDefault="007F5423">
      <w:pPr>
        <w:pStyle w:val="a5"/>
        <w:spacing w:line="420" w:lineRule="exact"/>
        <w:ind w:firstLineChars="200" w:firstLine="480"/>
        <w:rPr>
          <w:rFonts w:hAnsi="宋体"/>
          <w:sz w:val="24"/>
        </w:rPr>
      </w:pPr>
    </w:p>
    <w:p w14:paraId="6C0B40FD" w14:textId="77777777" w:rsidR="007F5423" w:rsidRDefault="007A2957">
      <w:pPr>
        <w:pStyle w:val="ad"/>
        <w:numPr>
          <w:ilvl w:val="0"/>
          <w:numId w:val="1"/>
        </w:numPr>
        <w:spacing w:line="420" w:lineRule="exact"/>
        <w:ind w:left="709" w:firstLineChars="0"/>
        <w:rPr>
          <w:rFonts w:hAnsi="宋体"/>
          <w:b/>
          <w:bCs/>
          <w:sz w:val="24"/>
        </w:rPr>
      </w:pPr>
      <w:r>
        <w:rPr>
          <w:rFonts w:hAnsi="宋体" w:hint="eastAsia"/>
          <w:b/>
          <w:bCs/>
          <w:sz w:val="24"/>
        </w:rPr>
        <w:t>202</w:t>
      </w:r>
      <w:r>
        <w:rPr>
          <w:rFonts w:hAnsi="宋体"/>
          <w:b/>
          <w:bCs/>
          <w:sz w:val="24"/>
        </w:rPr>
        <w:t>5</w:t>
      </w:r>
      <w:r>
        <w:rPr>
          <w:rFonts w:hAnsi="宋体" w:hint="eastAsia"/>
          <w:b/>
          <w:bCs/>
          <w:sz w:val="24"/>
        </w:rPr>
        <w:t>年一季报主要情况介绍</w:t>
      </w:r>
    </w:p>
    <w:p w14:paraId="18F5ABB8" w14:textId="77777777" w:rsidR="007F5423" w:rsidRDefault="007A2957">
      <w:pPr>
        <w:widowControl/>
        <w:wordWrap w:val="0"/>
        <w:spacing w:line="420" w:lineRule="exact"/>
        <w:ind w:firstLineChars="200" w:firstLine="482"/>
        <w:jc w:val="left"/>
        <w:rPr>
          <w:rFonts w:ascii="宋体" w:hAnsi="宋体"/>
          <w:bCs/>
          <w:sz w:val="24"/>
        </w:rPr>
      </w:pPr>
      <w:r>
        <w:rPr>
          <w:rFonts w:ascii="宋体" w:hAnsi="宋体"/>
          <w:b/>
          <w:bCs/>
          <w:sz w:val="24"/>
        </w:rPr>
        <w:t>业绩增长显著：</w:t>
      </w:r>
      <w:r>
        <w:rPr>
          <w:rFonts w:ascii="宋体" w:hAnsi="宋体"/>
          <w:bCs/>
          <w:sz w:val="24"/>
        </w:rPr>
        <w:t>营业收入达</w:t>
      </w:r>
      <w:r>
        <w:rPr>
          <w:rFonts w:ascii="宋体" w:hAnsi="宋体"/>
          <w:bCs/>
          <w:sz w:val="24"/>
        </w:rPr>
        <w:t xml:space="preserve"> 5.55 </w:t>
      </w:r>
      <w:r>
        <w:rPr>
          <w:rFonts w:ascii="宋体" w:hAnsi="宋体"/>
          <w:bCs/>
          <w:sz w:val="24"/>
        </w:rPr>
        <w:t>亿元，同比增长</w:t>
      </w:r>
      <w:r>
        <w:rPr>
          <w:rFonts w:ascii="宋体" w:hAnsi="宋体"/>
          <w:bCs/>
          <w:sz w:val="24"/>
        </w:rPr>
        <w:t xml:space="preserve"> 24%</w:t>
      </w:r>
      <w:r>
        <w:rPr>
          <w:rFonts w:ascii="宋体" w:hAnsi="宋体"/>
          <w:bCs/>
          <w:sz w:val="24"/>
        </w:rPr>
        <w:t>；净利润</w:t>
      </w:r>
      <w:r>
        <w:rPr>
          <w:rFonts w:ascii="宋体" w:hAnsi="宋体"/>
          <w:bCs/>
          <w:sz w:val="24"/>
        </w:rPr>
        <w:t xml:space="preserve"> 1.39 </w:t>
      </w:r>
      <w:r>
        <w:rPr>
          <w:rFonts w:ascii="宋体" w:hAnsi="宋体"/>
          <w:bCs/>
          <w:sz w:val="24"/>
        </w:rPr>
        <w:t>亿元，同比增长</w:t>
      </w:r>
      <w:r>
        <w:rPr>
          <w:rFonts w:ascii="宋体" w:hAnsi="宋体"/>
          <w:bCs/>
          <w:sz w:val="24"/>
        </w:rPr>
        <w:t xml:space="preserve"> 25%</w:t>
      </w:r>
      <w:r>
        <w:rPr>
          <w:rFonts w:ascii="宋体" w:hAnsi="宋体"/>
          <w:bCs/>
          <w:sz w:val="24"/>
        </w:rPr>
        <w:t>，延续上市以来定期报告收入和净利润双增长态势。</w:t>
      </w:r>
    </w:p>
    <w:p w14:paraId="23C97D86" w14:textId="77777777" w:rsidR="007F5423" w:rsidRDefault="007A2957">
      <w:pPr>
        <w:widowControl/>
        <w:wordWrap w:val="0"/>
        <w:spacing w:line="420" w:lineRule="exact"/>
        <w:ind w:firstLineChars="200" w:firstLine="482"/>
        <w:jc w:val="left"/>
        <w:rPr>
          <w:rFonts w:ascii="宋体" w:hAnsi="宋体"/>
          <w:bCs/>
          <w:sz w:val="24"/>
        </w:rPr>
      </w:pPr>
      <w:r>
        <w:rPr>
          <w:rFonts w:ascii="宋体" w:hAnsi="宋体"/>
          <w:b/>
          <w:bCs/>
          <w:sz w:val="24"/>
        </w:rPr>
        <w:t>经营现金流良好：</w:t>
      </w:r>
      <w:r>
        <w:rPr>
          <w:rFonts w:ascii="宋体" w:hAnsi="宋体"/>
          <w:bCs/>
          <w:sz w:val="24"/>
        </w:rPr>
        <w:t>一季度经营现金净流入</w:t>
      </w:r>
      <w:r>
        <w:rPr>
          <w:rFonts w:ascii="宋体" w:hAnsi="宋体"/>
          <w:bCs/>
          <w:sz w:val="24"/>
        </w:rPr>
        <w:t xml:space="preserve"> 7986 </w:t>
      </w:r>
      <w:r>
        <w:rPr>
          <w:rFonts w:ascii="宋体" w:hAnsi="宋体"/>
          <w:bCs/>
          <w:sz w:val="24"/>
        </w:rPr>
        <w:t>万元，同比增长</w:t>
      </w:r>
      <w:r>
        <w:rPr>
          <w:rFonts w:ascii="宋体" w:hAnsi="宋体"/>
          <w:bCs/>
          <w:sz w:val="24"/>
        </w:rPr>
        <w:t xml:space="preserve"> 38%</w:t>
      </w:r>
      <w:r>
        <w:rPr>
          <w:rFonts w:ascii="宋体" w:hAnsi="宋体"/>
          <w:bCs/>
          <w:sz w:val="24"/>
        </w:rPr>
        <w:t>，经营利润质量优良。</w:t>
      </w:r>
    </w:p>
    <w:p w14:paraId="03E142B1" w14:textId="77777777" w:rsidR="007F5423" w:rsidRDefault="007A2957">
      <w:pPr>
        <w:widowControl/>
        <w:wordWrap w:val="0"/>
        <w:spacing w:line="420" w:lineRule="exact"/>
        <w:ind w:firstLineChars="200" w:firstLine="482"/>
        <w:jc w:val="left"/>
        <w:rPr>
          <w:rFonts w:ascii="宋体" w:hAnsi="宋体"/>
          <w:bCs/>
          <w:sz w:val="24"/>
        </w:rPr>
      </w:pPr>
      <w:r>
        <w:rPr>
          <w:rFonts w:ascii="宋体" w:hAnsi="宋体"/>
          <w:b/>
          <w:bCs/>
          <w:sz w:val="24"/>
        </w:rPr>
        <w:t>订单情况乐观：</w:t>
      </w:r>
      <w:r>
        <w:rPr>
          <w:rFonts w:ascii="宋体" w:hAnsi="宋体"/>
          <w:bCs/>
          <w:sz w:val="24"/>
        </w:rPr>
        <w:t>新签合同</w:t>
      </w:r>
      <w:r>
        <w:rPr>
          <w:rFonts w:ascii="宋体" w:hAnsi="宋体"/>
          <w:bCs/>
          <w:sz w:val="24"/>
        </w:rPr>
        <w:t xml:space="preserve"> 7.77 </w:t>
      </w:r>
      <w:r>
        <w:rPr>
          <w:rFonts w:ascii="宋体" w:hAnsi="宋体"/>
          <w:bCs/>
          <w:sz w:val="24"/>
        </w:rPr>
        <w:t>亿元，同比增长</w:t>
      </w:r>
      <w:r>
        <w:rPr>
          <w:rFonts w:ascii="宋体" w:hAnsi="宋体"/>
          <w:bCs/>
          <w:sz w:val="24"/>
        </w:rPr>
        <w:t xml:space="preserve"> 30%</w:t>
      </w:r>
      <w:r>
        <w:rPr>
          <w:rFonts w:ascii="宋体" w:hAnsi="宋体"/>
          <w:bCs/>
          <w:sz w:val="24"/>
        </w:rPr>
        <w:t>；季末在手订单结余</w:t>
      </w:r>
      <w:r>
        <w:rPr>
          <w:rFonts w:ascii="宋体" w:hAnsi="宋体"/>
          <w:bCs/>
          <w:sz w:val="24"/>
        </w:rPr>
        <w:t xml:space="preserve"> 41 </w:t>
      </w:r>
      <w:r>
        <w:rPr>
          <w:rFonts w:ascii="宋体" w:hAnsi="宋体"/>
          <w:bCs/>
          <w:sz w:val="24"/>
        </w:rPr>
        <w:t>亿元，为后续业绩提升奠定基础。</w:t>
      </w:r>
    </w:p>
    <w:p w14:paraId="73C83EF0" w14:textId="77777777" w:rsidR="007F5423" w:rsidRDefault="007A2957">
      <w:pPr>
        <w:widowControl/>
        <w:wordWrap w:val="0"/>
        <w:spacing w:line="420" w:lineRule="exact"/>
        <w:ind w:firstLineChars="200" w:firstLine="482"/>
        <w:jc w:val="left"/>
        <w:rPr>
          <w:rFonts w:ascii="宋体" w:hAnsi="宋体"/>
          <w:bCs/>
          <w:sz w:val="24"/>
        </w:rPr>
      </w:pPr>
      <w:r>
        <w:rPr>
          <w:rFonts w:ascii="宋体" w:hAnsi="宋体"/>
          <w:b/>
          <w:bCs/>
          <w:sz w:val="24"/>
        </w:rPr>
        <w:lastRenderedPageBreak/>
        <w:t>国内外市场协同发展：</w:t>
      </w:r>
      <w:r>
        <w:rPr>
          <w:rFonts w:ascii="宋体" w:hAnsi="宋体"/>
          <w:bCs/>
          <w:sz w:val="24"/>
        </w:rPr>
        <w:t>国内市场营收</w:t>
      </w:r>
      <w:r>
        <w:rPr>
          <w:rFonts w:ascii="宋体" w:hAnsi="宋体"/>
          <w:bCs/>
          <w:sz w:val="24"/>
        </w:rPr>
        <w:t xml:space="preserve"> 4.55 </w:t>
      </w:r>
      <w:r>
        <w:rPr>
          <w:rFonts w:ascii="宋体" w:hAnsi="宋体"/>
          <w:bCs/>
          <w:sz w:val="24"/>
        </w:rPr>
        <w:t>亿元，同比增长</w:t>
      </w:r>
      <w:r>
        <w:rPr>
          <w:rFonts w:ascii="宋体" w:hAnsi="宋体"/>
          <w:bCs/>
          <w:sz w:val="24"/>
        </w:rPr>
        <w:t xml:space="preserve"> 22.6%</w:t>
      </w:r>
      <w:r>
        <w:rPr>
          <w:rFonts w:ascii="宋体" w:hAnsi="宋体"/>
          <w:bCs/>
          <w:sz w:val="24"/>
        </w:rPr>
        <w:t>；海外市场营收</w:t>
      </w:r>
      <w:r>
        <w:rPr>
          <w:rFonts w:ascii="宋体" w:hAnsi="宋体"/>
          <w:bCs/>
          <w:sz w:val="24"/>
        </w:rPr>
        <w:t xml:space="preserve"> 9692 </w:t>
      </w:r>
      <w:r>
        <w:rPr>
          <w:rFonts w:ascii="宋体" w:hAnsi="宋体"/>
          <w:bCs/>
          <w:sz w:val="24"/>
        </w:rPr>
        <w:t>万元，同比增长</w:t>
      </w:r>
      <w:r>
        <w:rPr>
          <w:rFonts w:ascii="宋体" w:hAnsi="宋体"/>
          <w:bCs/>
          <w:sz w:val="24"/>
        </w:rPr>
        <w:t xml:space="preserve"> 31%</w:t>
      </w:r>
      <w:r>
        <w:rPr>
          <w:rFonts w:ascii="宋体" w:hAnsi="宋体"/>
          <w:bCs/>
          <w:sz w:val="24"/>
        </w:rPr>
        <w:t>。海外市场聚焦</w:t>
      </w:r>
      <w:r>
        <w:rPr>
          <w:rFonts w:ascii="宋体" w:hAnsi="宋体"/>
          <w:bCs/>
          <w:sz w:val="24"/>
        </w:rPr>
        <w:t xml:space="preserve"> “</w:t>
      </w:r>
      <w:r>
        <w:rPr>
          <w:rFonts w:ascii="宋体" w:hAnsi="宋体"/>
          <w:bCs/>
          <w:sz w:val="24"/>
        </w:rPr>
        <w:t>一带一路</w:t>
      </w:r>
      <w:r>
        <w:rPr>
          <w:rFonts w:ascii="宋体" w:hAnsi="宋体"/>
          <w:bCs/>
          <w:sz w:val="24"/>
        </w:rPr>
        <w:t xml:space="preserve">” </w:t>
      </w:r>
      <w:r>
        <w:rPr>
          <w:rFonts w:ascii="宋体" w:hAnsi="宋体"/>
          <w:bCs/>
          <w:sz w:val="24"/>
        </w:rPr>
        <w:t>沿线，已设立超十家境外子公司和销售代表处，</w:t>
      </w:r>
      <w:r>
        <w:rPr>
          <w:rFonts w:ascii="宋体" w:hAnsi="宋体"/>
          <w:bCs/>
          <w:sz w:val="24"/>
        </w:rPr>
        <w:t xml:space="preserve">4 </w:t>
      </w:r>
      <w:r>
        <w:rPr>
          <w:rFonts w:ascii="宋体" w:hAnsi="宋体"/>
          <w:bCs/>
          <w:sz w:val="24"/>
        </w:rPr>
        <w:t>月</w:t>
      </w:r>
      <w:r>
        <w:rPr>
          <w:rFonts w:ascii="宋体" w:hAnsi="宋体"/>
          <w:bCs/>
          <w:sz w:val="24"/>
        </w:rPr>
        <w:t xml:space="preserve"> 10 </w:t>
      </w:r>
      <w:r>
        <w:rPr>
          <w:rFonts w:ascii="宋体" w:hAnsi="宋体"/>
          <w:bCs/>
          <w:sz w:val="24"/>
        </w:rPr>
        <w:t>日印尼首家境外工厂投产，具备全工序先进制造能力，沙特工厂也在有序推进。</w:t>
      </w:r>
    </w:p>
    <w:p w14:paraId="642377B2" w14:textId="77777777" w:rsidR="007F5423" w:rsidRDefault="007A2957">
      <w:pPr>
        <w:widowControl/>
        <w:wordWrap w:val="0"/>
        <w:spacing w:line="420" w:lineRule="exact"/>
        <w:ind w:firstLineChars="200" w:firstLine="482"/>
        <w:jc w:val="left"/>
        <w:rPr>
          <w:rFonts w:ascii="宋体" w:hAnsi="宋体"/>
          <w:bCs/>
          <w:sz w:val="24"/>
        </w:rPr>
      </w:pPr>
      <w:r>
        <w:rPr>
          <w:rFonts w:ascii="宋体" w:hAnsi="宋体"/>
          <w:b/>
          <w:bCs/>
          <w:sz w:val="24"/>
        </w:rPr>
        <w:t>重视股东回报：</w:t>
      </w:r>
      <w:r>
        <w:rPr>
          <w:rFonts w:ascii="宋体" w:hAnsi="宋体"/>
          <w:bCs/>
          <w:sz w:val="24"/>
        </w:rPr>
        <w:t>已完成</w:t>
      </w:r>
      <w:r>
        <w:rPr>
          <w:rFonts w:ascii="宋体" w:hAnsi="宋体"/>
          <w:bCs/>
          <w:sz w:val="24"/>
        </w:rPr>
        <w:t xml:space="preserve"> 2024 </w:t>
      </w:r>
      <w:r>
        <w:rPr>
          <w:rFonts w:ascii="宋体" w:hAnsi="宋体"/>
          <w:bCs/>
          <w:sz w:val="24"/>
        </w:rPr>
        <w:t>年度分红派息，每</w:t>
      </w:r>
      <w:r>
        <w:rPr>
          <w:rFonts w:ascii="宋体" w:hAnsi="宋体"/>
          <w:bCs/>
          <w:sz w:val="24"/>
        </w:rPr>
        <w:t xml:space="preserve"> 10 </w:t>
      </w:r>
      <w:r>
        <w:rPr>
          <w:rFonts w:ascii="宋体" w:hAnsi="宋体"/>
          <w:bCs/>
          <w:sz w:val="24"/>
        </w:rPr>
        <w:t>股派发现金红利</w:t>
      </w:r>
      <w:r>
        <w:rPr>
          <w:rFonts w:ascii="宋体" w:hAnsi="宋体"/>
          <w:bCs/>
          <w:sz w:val="24"/>
        </w:rPr>
        <w:t xml:space="preserve"> 0.52 </w:t>
      </w:r>
      <w:r>
        <w:rPr>
          <w:rFonts w:ascii="宋体" w:hAnsi="宋体"/>
          <w:bCs/>
          <w:sz w:val="24"/>
        </w:rPr>
        <w:t>元，上市至今累计派发现金红利</w:t>
      </w:r>
      <w:r>
        <w:rPr>
          <w:rFonts w:ascii="宋体" w:hAnsi="宋体"/>
          <w:bCs/>
          <w:sz w:val="24"/>
        </w:rPr>
        <w:t xml:space="preserve"> 9.58 </w:t>
      </w:r>
      <w:r>
        <w:rPr>
          <w:rFonts w:ascii="宋体" w:hAnsi="宋体"/>
          <w:bCs/>
          <w:sz w:val="24"/>
        </w:rPr>
        <w:t>亿元，回购注销股份约</w:t>
      </w:r>
      <w:r>
        <w:rPr>
          <w:rFonts w:ascii="宋体" w:hAnsi="宋体"/>
          <w:bCs/>
          <w:sz w:val="24"/>
        </w:rPr>
        <w:t xml:space="preserve"> 2 </w:t>
      </w:r>
      <w:r>
        <w:rPr>
          <w:rFonts w:ascii="宋体" w:hAnsi="宋体"/>
          <w:bCs/>
          <w:sz w:val="24"/>
        </w:rPr>
        <w:t>亿元，两者累计达</w:t>
      </w:r>
      <w:r>
        <w:rPr>
          <w:rFonts w:ascii="宋体" w:hAnsi="宋体"/>
          <w:bCs/>
          <w:sz w:val="24"/>
        </w:rPr>
        <w:t xml:space="preserve"> 11.6 </w:t>
      </w:r>
      <w:r>
        <w:rPr>
          <w:rFonts w:ascii="宋体" w:hAnsi="宋体"/>
          <w:bCs/>
          <w:sz w:val="24"/>
        </w:rPr>
        <w:t>亿元，远超募集资金</w:t>
      </w:r>
      <w:r>
        <w:rPr>
          <w:rFonts w:ascii="宋体" w:hAnsi="宋体"/>
          <w:bCs/>
          <w:sz w:val="24"/>
        </w:rPr>
        <w:t xml:space="preserve"> 6.1 </w:t>
      </w:r>
      <w:r>
        <w:rPr>
          <w:rFonts w:ascii="宋体" w:hAnsi="宋体"/>
          <w:bCs/>
          <w:sz w:val="24"/>
        </w:rPr>
        <w:t>亿元。</w:t>
      </w:r>
      <w:r>
        <w:rPr>
          <w:rFonts w:ascii="宋体" w:hAnsi="宋体"/>
          <w:bCs/>
          <w:sz w:val="24"/>
        </w:rPr>
        <w:t xml:space="preserve">2025 </w:t>
      </w:r>
      <w:r>
        <w:rPr>
          <w:rFonts w:ascii="宋体" w:hAnsi="宋体"/>
          <w:bCs/>
          <w:sz w:val="24"/>
        </w:rPr>
        <w:t>年</w:t>
      </w:r>
      <w:r>
        <w:rPr>
          <w:rFonts w:ascii="宋体" w:hAnsi="宋体"/>
          <w:bCs/>
          <w:sz w:val="24"/>
        </w:rPr>
        <w:t xml:space="preserve"> 1 </w:t>
      </w:r>
      <w:r>
        <w:rPr>
          <w:rFonts w:ascii="宋体" w:hAnsi="宋体"/>
          <w:bCs/>
          <w:sz w:val="24"/>
        </w:rPr>
        <w:t>月推出第二次回购计划，一季度末已回购</w:t>
      </w:r>
      <w:r>
        <w:rPr>
          <w:rFonts w:ascii="宋体" w:hAnsi="宋体"/>
          <w:bCs/>
          <w:sz w:val="24"/>
        </w:rPr>
        <w:t xml:space="preserve"> 214.65 </w:t>
      </w:r>
      <w:r>
        <w:rPr>
          <w:rFonts w:ascii="宋体" w:hAnsi="宋体"/>
          <w:bCs/>
          <w:sz w:val="24"/>
        </w:rPr>
        <w:t>万股，金额</w:t>
      </w:r>
      <w:r>
        <w:rPr>
          <w:rFonts w:ascii="宋体" w:hAnsi="宋体"/>
          <w:bCs/>
          <w:sz w:val="24"/>
        </w:rPr>
        <w:t xml:space="preserve"> 7880 </w:t>
      </w:r>
      <w:r>
        <w:rPr>
          <w:rFonts w:ascii="宋体" w:hAnsi="宋体"/>
          <w:bCs/>
          <w:sz w:val="24"/>
        </w:rPr>
        <w:t>万元，上市以来累计回购</w:t>
      </w:r>
      <w:r>
        <w:rPr>
          <w:rFonts w:ascii="宋体" w:hAnsi="宋体"/>
          <w:bCs/>
          <w:sz w:val="24"/>
        </w:rPr>
        <w:t xml:space="preserve"> 1446 </w:t>
      </w:r>
      <w:r>
        <w:rPr>
          <w:rFonts w:ascii="宋体" w:hAnsi="宋体"/>
          <w:bCs/>
          <w:sz w:val="24"/>
        </w:rPr>
        <w:t>万股，金额</w:t>
      </w:r>
      <w:r>
        <w:rPr>
          <w:rFonts w:ascii="宋体" w:hAnsi="宋体"/>
          <w:bCs/>
          <w:sz w:val="24"/>
        </w:rPr>
        <w:t xml:space="preserve"> 3.8 </w:t>
      </w:r>
      <w:r>
        <w:rPr>
          <w:rFonts w:ascii="宋体" w:hAnsi="宋体"/>
          <w:bCs/>
          <w:sz w:val="24"/>
        </w:rPr>
        <w:t>亿元。公司还承诺未来五年保持</w:t>
      </w:r>
      <w:r>
        <w:rPr>
          <w:rFonts w:ascii="宋体" w:hAnsi="宋体"/>
          <w:bCs/>
          <w:sz w:val="24"/>
        </w:rPr>
        <w:t xml:space="preserve"> 40% </w:t>
      </w:r>
      <w:r>
        <w:rPr>
          <w:rFonts w:ascii="宋体" w:hAnsi="宋体"/>
          <w:bCs/>
          <w:sz w:val="24"/>
        </w:rPr>
        <w:t>基准现金分红派息率。</w:t>
      </w:r>
    </w:p>
    <w:p w14:paraId="40F3FF75" w14:textId="77777777" w:rsidR="007F5423" w:rsidRDefault="007F5423">
      <w:pPr>
        <w:widowControl/>
        <w:wordWrap w:val="0"/>
        <w:spacing w:line="420" w:lineRule="exact"/>
        <w:ind w:firstLineChars="200" w:firstLine="480"/>
        <w:jc w:val="left"/>
        <w:rPr>
          <w:rFonts w:ascii="宋体" w:hAnsi="宋体"/>
          <w:bCs/>
          <w:sz w:val="24"/>
        </w:rPr>
      </w:pPr>
    </w:p>
    <w:p w14:paraId="6D6B99B7" w14:textId="77777777" w:rsidR="007F5423" w:rsidRDefault="007A2957">
      <w:pPr>
        <w:pStyle w:val="ad"/>
        <w:numPr>
          <w:ilvl w:val="0"/>
          <w:numId w:val="1"/>
        </w:numPr>
        <w:spacing w:line="420" w:lineRule="exact"/>
        <w:ind w:left="709" w:firstLineChars="0"/>
        <w:rPr>
          <w:rFonts w:hAnsi="宋体"/>
          <w:b/>
          <w:sz w:val="24"/>
        </w:rPr>
      </w:pPr>
      <w:r>
        <w:rPr>
          <w:rFonts w:hAnsi="宋体" w:hint="eastAsia"/>
          <w:b/>
          <w:sz w:val="24"/>
        </w:rPr>
        <w:t>投资者问答</w:t>
      </w:r>
      <w:bookmarkStart w:id="5" w:name="OLE_LINK5"/>
      <w:bookmarkStart w:id="6" w:name="OLE_LINK6"/>
      <w:bookmarkStart w:id="7" w:name="OLE_LINK3"/>
      <w:bookmarkStart w:id="8" w:name="OLE_LINK4"/>
    </w:p>
    <w:p w14:paraId="0DE728E1" w14:textId="77777777" w:rsidR="007F5423" w:rsidRDefault="007A2957">
      <w:pPr>
        <w:widowControl/>
        <w:wordWrap w:val="0"/>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hint="eastAsia"/>
          <w:b/>
          <w:bCs/>
          <w:sz w:val="24"/>
        </w:rPr>
        <w:t>：海外订单新签和现有订单情况如何，增速如何？</w:t>
      </w:r>
    </w:p>
    <w:p w14:paraId="7818033F" w14:textId="77777777" w:rsidR="007F5423" w:rsidRDefault="007A2957">
      <w:pPr>
        <w:widowControl/>
        <w:wordWrap w:val="0"/>
        <w:spacing w:line="420" w:lineRule="exact"/>
        <w:ind w:firstLineChars="200" w:firstLine="480"/>
        <w:jc w:val="left"/>
        <w:rPr>
          <w:rFonts w:ascii="宋体" w:hAnsi="宋体"/>
          <w:bCs/>
          <w:sz w:val="24"/>
        </w:rPr>
      </w:pPr>
      <w:r>
        <w:rPr>
          <w:rFonts w:ascii="宋体" w:hAnsi="宋体" w:hint="eastAsia"/>
          <w:bCs/>
          <w:sz w:val="24"/>
        </w:rPr>
        <w:t>A</w:t>
      </w:r>
      <w:r>
        <w:rPr>
          <w:rFonts w:ascii="宋体" w:hAnsi="宋体" w:hint="eastAsia"/>
          <w:bCs/>
          <w:sz w:val="24"/>
        </w:rPr>
        <w:t>：一季度海外新签订单</w:t>
      </w:r>
      <w:r>
        <w:rPr>
          <w:rFonts w:ascii="宋体" w:hAnsi="宋体" w:hint="eastAsia"/>
          <w:bCs/>
          <w:sz w:val="24"/>
        </w:rPr>
        <w:t xml:space="preserve"> 2.6 </w:t>
      </w:r>
      <w:r>
        <w:rPr>
          <w:rFonts w:ascii="宋体" w:hAnsi="宋体" w:hint="eastAsia"/>
          <w:bCs/>
          <w:sz w:val="24"/>
        </w:rPr>
        <w:t>亿元，同比增长</w:t>
      </w:r>
      <w:r>
        <w:rPr>
          <w:rFonts w:ascii="宋体" w:hAnsi="宋体" w:hint="eastAsia"/>
          <w:bCs/>
          <w:sz w:val="24"/>
        </w:rPr>
        <w:t xml:space="preserve"> 63%</w:t>
      </w:r>
      <w:r>
        <w:rPr>
          <w:rFonts w:ascii="宋体" w:hAnsi="宋体" w:hint="eastAsia"/>
          <w:bCs/>
          <w:sz w:val="24"/>
        </w:rPr>
        <w:t>；三月底结余海外在手订单</w:t>
      </w:r>
      <w:r>
        <w:rPr>
          <w:rFonts w:ascii="宋体" w:hAnsi="宋体" w:hint="eastAsia"/>
          <w:bCs/>
          <w:sz w:val="24"/>
        </w:rPr>
        <w:t xml:space="preserve"> 15.3 </w:t>
      </w:r>
      <w:r>
        <w:rPr>
          <w:rFonts w:ascii="宋体" w:hAnsi="宋体" w:hint="eastAsia"/>
          <w:bCs/>
          <w:sz w:val="24"/>
        </w:rPr>
        <w:t>亿元。新签订单主要来源于埃及、迪拜、沙特、印尼等区域。</w:t>
      </w:r>
    </w:p>
    <w:p w14:paraId="4C417AFA" w14:textId="77777777" w:rsidR="007F5423" w:rsidRDefault="007F5423">
      <w:pPr>
        <w:widowControl/>
        <w:wordWrap w:val="0"/>
        <w:spacing w:line="420" w:lineRule="exact"/>
        <w:ind w:firstLineChars="200" w:firstLine="480"/>
        <w:jc w:val="left"/>
        <w:rPr>
          <w:rFonts w:ascii="宋体" w:hAnsi="宋体"/>
          <w:bCs/>
          <w:sz w:val="24"/>
        </w:rPr>
      </w:pPr>
    </w:p>
    <w:p w14:paraId="0717A2AA" w14:textId="77777777" w:rsidR="007F5423" w:rsidRDefault="007A2957">
      <w:pPr>
        <w:widowControl/>
        <w:wordWrap w:val="0"/>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hint="eastAsia"/>
          <w:b/>
          <w:bCs/>
          <w:sz w:val="24"/>
        </w:rPr>
        <w:t>：印尼工厂投产后产值情况如何，未来收入有无初步指引？</w:t>
      </w:r>
    </w:p>
    <w:p w14:paraId="30C7FF11" w14:textId="77777777" w:rsidR="007F5423" w:rsidRDefault="007A2957">
      <w:pPr>
        <w:widowControl/>
        <w:wordWrap w:val="0"/>
        <w:spacing w:line="420" w:lineRule="exact"/>
        <w:ind w:firstLineChars="200" w:firstLine="480"/>
        <w:jc w:val="left"/>
        <w:rPr>
          <w:rFonts w:ascii="宋体" w:hAnsi="宋体"/>
          <w:bCs/>
          <w:sz w:val="24"/>
        </w:rPr>
      </w:pPr>
      <w:r>
        <w:rPr>
          <w:rFonts w:ascii="宋体" w:hAnsi="宋体" w:hint="eastAsia"/>
          <w:bCs/>
          <w:sz w:val="24"/>
        </w:rPr>
        <w:t>A</w:t>
      </w:r>
      <w:r>
        <w:rPr>
          <w:rFonts w:ascii="宋体" w:hAnsi="宋体" w:hint="eastAsia"/>
          <w:bCs/>
          <w:sz w:val="24"/>
        </w:rPr>
        <w:t>：印尼工厂是技术出海和本地化运营两轮驱动的成果，聚焦数字电网和数字城市产品研发生产，根据当地需求定制化开发，输出解决方案带动产品销售，帮助当地产业链升级，辐射东南亚及全球市场。工厂具备全工序制造能力，电力</w:t>
      </w:r>
      <w:r>
        <w:rPr>
          <w:rFonts w:ascii="宋体" w:hAnsi="宋体" w:hint="eastAsia"/>
          <w:bCs/>
          <w:sz w:val="24"/>
        </w:rPr>
        <w:t xml:space="preserve"> AMI </w:t>
      </w:r>
      <w:r>
        <w:rPr>
          <w:rFonts w:ascii="宋体" w:hAnsi="宋体" w:hint="eastAsia"/>
          <w:bCs/>
          <w:sz w:val="24"/>
        </w:rPr>
        <w:t>产品产能超</w:t>
      </w:r>
      <w:r>
        <w:rPr>
          <w:rFonts w:ascii="宋体" w:hAnsi="宋体" w:hint="eastAsia"/>
          <w:bCs/>
          <w:sz w:val="24"/>
        </w:rPr>
        <w:t xml:space="preserve"> 100 </w:t>
      </w:r>
      <w:r>
        <w:rPr>
          <w:rFonts w:ascii="宋体" w:hAnsi="宋体" w:hint="eastAsia"/>
          <w:bCs/>
          <w:sz w:val="24"/>
        </w:rPr>
        <w:t>万台，智慧配电产品超十万台，通信模组上百万台。</w:t>
      </w:r>
    </w:p>
    <w:p w14:paraId="03910892" w14:textId="77777777" w:rsidR="007F5423" w:rsidRDefault="007F5423">
      <w:pPr>
        <w:widowControl/>
        <w:tabs>
          <w:tab w:val="left" w:pos="6950"/>
        </w:tabs>
        <w:spacing w:line="420" w:lineRule="exact"/>
        <w:jc w:val="left"/>
        <w:rPr>
          <w:rFonts w:ascii="宋体" w:hAnsi="宋体"/>
          <w:bCs/>
          <w:sz w:val="24"/>
        </w:rPr>
      </w:pPr>
    </w:p>
    <w:p w14:paraId="6E0270E6" w14:textId="77777777" w:rsidR="007F5423" w:rsidRDefault="007A2957">
      <w:pPr>
        <w:widowControl/>
        <w:wordWrap w:val="0"/>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：如何看待国网招投标中</w:t>
      </w:r>
      <w:r>
        <w:rPr>
          <w:rFonts w:ascii="宋体" w:hAnsi="宋体" w:hint="eastAsia"/>
          <w:b/>
          <w:bCs/>
          <w:sz w:val="24"/>
        </w:rPr>
        <w:t>营</w:t>
      </w:r>
      <w:r>
        <w:rPr>
          <w:rFonts w:ascii="宋体" w:hAnsi="宋体"/>
          <w:b/>
          <w:bCs/>
          <w:sz w:val="24"/>
        </w:rPr>
        <w:t>配一体化带来的机遇？</w:t>
      </w:r>
    </w:p>
    <w:p w14:paraId="6EB219AB" w14:textId="77777777" w:rsidR="007F5423" w:rsidRDefault="007A2957">
      <w:pPr>
        <w:widowControl/>
        <w:wordWrap w:val="0"/>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：营配一体化是趋势，虽目前传统计量采集终端招标量减少，但新的市场机会在增加。一方面，配电网改造投资规模大，智能设备占比显著提高，市场量将放大；另一方面，公司通过产品升级，实现硬</w:t>
      </w:r>
      <w:r>
        <w:rPr>
          <w:rFonts w:ascii="宋体" w:hAnsi="宋体"/>
          <w:bCs/>
          <w:sz w:val="24"/>
        </w:rPr>
        <w:t>件平台化、软件</w:t>
      </w:r>
      <w:r>
        <w:rPr>
          <w:rFonts w:ascii="宋体" w:hAnsi="宋体"/>
          <w:bCs/>
          <w:sz w:val="24"/>
        </w:rPr>
        <w:t xml:space="preserve"> APP </w:t>
      </w:r>
      <w:r>
        <w:rPr>
          <w:rFonts w:ascii="宋体" w:hAnsi="宋体"/>
          <w:bCs/>
          <w:sz w:val="24"/>
        </w:rPr>
        <w:t>化，增加新功能拓展业务。营配一体化对分布式能源采集密度和控制提出更高要求，存量市场中老网关需更换，这是新的市场机会，且产品单体价值含量会提高，公司深度参与国网标准制定，虽有短期滞后性，但影响不大。</w:t>
      </w:r>
    </w:p>
    <w:p w14:paraId="418FA789" w14:textId="77777777" w:rsidR="007F5423" w:rsidRDefault="007F5423">
      <w:pPr>
        <w:widowControl/>
        <w:wordWrap w:val="0"/>
        <w:spacing w:line="420" w:lineRule="exact"/>
        <w:ind w:firstLineChars="200" w:firstLine="480"/>
        <w:jc w:val="left"/>
        <w:rPr>
          <w:rFonts w:ascii="宋体" w:hAnsi="宋体"/>
          <w:bCs/>
          <w:sz w:val="24"/>
        </w:rPr>
      </w:pPr>
    </w:p>
    <w:p w14:paraId="3F1B1AB2" w14:textId="77777777" w:rsidR="007F5423" w:rsidRDefault="007A2957">
      <w:pPr>
        <w:widowControl/>
        <w:wordWrap w:val="0"/>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：如何看待</w:t>
      </w:r>
      <w:r>
        <w:rPr>
          <w:rFonts w:ascii="宋体" w:hAnsi="宋体" w:hint="eastAsia"/>
          <w:b/>
          <w:bCs/>
          <w:sz w:val="24"/>
        </w:rPr>
        <w:t>营配一体化这个</w:t>
      </w:r>
      <w:r>
        <w:rPr>
          <w:rFonts w:ascii="宋体" w:hAnsi="宋体"/>
          <w:b/>
          <w:bCs/>
          <w:sz w:val="24"/>
        </w:rPr>
        <w:t>新市场竞争格局，公司在其中能取得怎样的份额水平？</w:t>
      </w:r>
    </w:p>
    <w:p w14:paraId="0DDBF609" w14:textId="77777777" w:rsidR="007F5423" w:rsidRDefault="007A2957">
      <w:pPr>
        <w:widowControl/>
        <w:wordWrap w:val="0"/>
        <w:spacing w:line="420" w:lineRule="exact"/>
        <w:ind w:firstLineChars="200" w:firstLine="480"/>
        <w:jc w:val="left"/>
        <w:rPr>
          <w:rFonts w:ascii="宋体" w:hAnsi="宋体"/>
          <w:bCs/>
          <w:sz w:val="24"/>
        </w:rPr>
      </w:pPr>
      <w:r>
        <w:rPr>
          <w:rFonts w:ascii="宋体" w:hAnsi="宋体" w:hint="eastAsia"/>
          <w:bCs/>
          <w:sz w:val="24"/>
        </w:rPr>
        <w:lastRenderedPageBreak/>
        <w:t>A</w:t>
      </w:r>
      <w:r>
        <w:rPr>
          <w:rFonts w:ascii="宋体" w:hAnsi="宋体"/>
          <w:bCs/>
          <w:sz w:val="24"/>
        </w:rPr>
        <w:t>：在台区相关业务中，公司较早进行硬件和软件分离及功能</w:t>
      </w:r>
      <w:r>
        <w:rPr>
          <w:rFonts w:ascii="宋体" w:hAnsi="宋体"/>
          <w:bCs/>
          <w:sz w:val="24"/>
        </w:rPr>
        <w:t xml:space="preserve"> APP </w:t>
      </w:r>
      <w:r>
        <w:rPr>
          <w:rFonts w:ascii="宋体" w:hAnsi="宋体"/>
          <w:bCs/>
          <w:sz w:val="24"/>
        </w:rPr>
        <w:t>化工作，在数据管理方面优势明显；在通讯方面，公司紧跟技术变化，在实时性方面有试点布局，具有优势。分布式配电系统改造后，客户对象扩展，公司可参与相关设</w:t>
      </w:r>
      <w:r>
        <w:rPr>
          <w:rFonts w:ascii="宋体" w:hAnsi="宋体"/>
          <w:bCs/>
          <w:sz w:val="24"/>
        </w:rPr>
        <w:t>备配套，构建配电网。</w:t>
      </w:r>
    </w:p>
    <w:p w14:paraId="4A7A62CD" w14:textId="77777777" w:rsidR="007F5423" w:rsidRDefault="007A2957">
      <w:pPr>
        <w:widowControl/>
        <w:wordWrap w:val="0"/>
        <w:spacing w:line="420" w:lineRule="exact"/>
        <w:ind w:firstLineChars="200" w:firstLine="480"/>
        <w:jc w:val="left"/>
        <w:rPr>
          <w:rFonts w:ascii="宋体" w:hAnsi="宋体"/>
          <w:bCs/>
          <w:sz w:val="24"/>
        </w:rPr>
      </w:pPr>
      <w:r>
        <w:rPr>
          <w:rFonts w:ascii="宋体" w:hAnsi="宋体"/>
          <w:bCs/>
          <w:sz w:val="24"/>
        </w:rPr>
        <w:t>营配一体化是系统工程，涉及感知层、网络层和应用层多方面变化，威胜信息在系统层、网关层、通信层以及感知层设备都具备核心研发能力，拥有整体解决方案优势，长期来看竞争力较强。</w:t>
      </w:r>
    </w:p>
    <w:p w14:paraId="542D40C4" w14:textId="77777777" w:rsidR="007F5423" w:rsidRDefault="007F5423">
      <w:pPr>
        <w:widowControl/>
        <w:wordWrap w:val="0"/>
        <w:spacing w:line="420" w:lineRule="exact"/>
        <w:ind w:firstLineChars="200" w:firstLine="480"/>
        <w:jc w:val="left"/>
        <w:rPr>
          <w:rFonts w:ascii="宋体" w:hAnsi="宋体"/>
          <w:bCs/>
          <w:sz w:val="24"/>
        </w:rPr>
      </w:pPr>
    </w:p>
    <w:p w14:paraId="671A876D" w14:textId="77777777" w:rsidR="007F5423" w:rsidRDefault="007A2957">
      <w:pPr>
        <w:widowControl/>
        <w:wordWrap w:val="0"/>
        <w:spacing w:line="420" w:lineRule="exact"/>
        <w:ind w:firstLineChars="200" w:firstLine="482"/>
        <w:jc w:val="left"/>
        <w:rPr>
          <w:rFonts w:ascii="宋体" w:hAnsi="宋体"/>
          <w:bCs/>
          <w:sz w:val="24"/>
        </w:rPr>
      </w:pPr>
      <w:r>
        <w:rPr>
          <w:rFonts w:ascii="宋体" w:hAnsi="宋体" w:hint="eastAsia"/>
          <w:b/>
          <w:bCs/>
          <w:sz w:val="24"/>
        </w:rPr>
        <w:t>Q</w:t>
      </w:r>
      <w:r>
        <w:rPr>
          <w:rFonts w:ascii="宋体" w:hAnsi="宋体"/>
          <w:b/>
          <w:bCs/>
          <w:sz w:val="24"/>
        </w:rPr>
        <w:t>：海外业务在外部环境不确定的情况下如何展望，公司在国内和海外的资源调配、组织架构有何调整？</w:t>
      </w:r>
    </w:p>
    <w:p w14:paraId="5389D12A" w14:textId="77777777" w:rsidR="007F5423" w:rsidRDefault="007A2957">
      <w:pPr>
        <w:widowControl/>
        <w:wordWrap w:val="0"/>
        <w:spacing w:line="420" w:lineRule="exact"/>
        <w:ind w:firstLineChars="200" w:firstLine="480"/>
        <w:jc w:val="left"/>
        <w:rPr>
          <w:rFonts w:ascii="宋体" w:hAnsi="宋体"/>
          <w:bCs/>
          <w:sz w:val="24"/>
        </w:rPr>
      </w:pPr>
      <w:r>
        <w:rPr>
          <w:rFonts w:ascii="宋体" w:hAnsi="宋体"/>
          <w:bCs/>
          <w:sz w:val="24"/>
        </w:rPr>
        <w:t>A</w:t>
      </w:r>
      <w:r>
        <w:rPr>
          <w:rFonts w:ascii="宋体" w:hAnsi="宋体"/>
          <w:bCs/>
          <w:sz w:val="24"/>
        </w:rPr>
        <w:t>：海外业务可持续发展是公司坚定的战略方向。海外市场公司重点布局东盟十国、中东海湾六国和非洲政治稳定经济活跃的新兴市场国家。受全球能源短缺和制造业重构的影响，这些新兴国家在能源电水气基础设施的数字化和智能化是趋势和刚需，对此，公司有丰富而成熟的解决方案，技术路线和产品成熟齐备，技术团队完成少量本地化优化即可满足海外业务发展。公司在国内市场领先的同时，仍在不断创新，拥有下一代新技术的储备，满足下一代新标准需求。公司每年持续投入新技术研发，产生了业绩和技术积累的积极效应。公司的组织架构与时俱进，跟随国内和海外战</w:t>
      </w:r>
      <w:r>
        <w:rPr>
          <w:rFonts w:ascii="宋体" w:hAnsi="宋体"/>
          <w:bCs/>
          <w:sz w:val="24"/>
        </w:rPr>
        <w:t>略客户的需求导向进行适应和创新发展，整体上使公司的核心竞争力侧重在</w:t>
      </w:r>
      <w:r>
        <w:rPr>
          <w:rFonts w:ascii="宋体" w:hAnsi="宋体"/>
          <w:bCs/>
          <w:sz w:val="24"/>
        </w:rPr>
        <w:t>“</w:t>
      </w:r>
      <w:r>
        <w:rPr>
          <w:rFonts w:ascii="宋体" w:hAnsi="宋体"/>
          <w:bCs/>
          <w:sz w:val="24"/>
        </w:rPr>
        <w:t>物联网</w:t>
      </w:r>
      <w:r>
        <w:rPr>
          <w:rFonts w:ascii="宋体" w:hAnsi="宋体"/>
          <w:bCs/>
          <w:sz w:val="24"/>
        </w:rPr>
        <w:t>+</w:t>
      </w:r>
      <w:r>
        <w:rPr>
          <w:rFonts w:ascii="宋体" w:hAnsi="宋体"/>
          <w:bCs/>
          <w:sz w:val="24"/>
        </w:rPr>
        <w:t>芯片</w:t>
      </w:r>
      <w:r>
        <w:rPr>
          <w:rFonts w:ascii="宋体" w:hAnsi="宋体"/>
          <w:bCs/>
          <w:sz w:val="24"/>
        </w:rPr>
        <w:t>+</w:t>
      </w:r>
      <w:r>
        <w:rPr>
          <w:rFonts w:ascii="宋体" w:hAnsi="宋体"/>
          <w:bCs/>
          <w:sz w:val="24"/>
        </w:rPr>
        <w:t>人工智能</w:t>
      </w:r>
      <w:r>
        <w:rPr>
          <w:rFonts w:ascii="宋体" w:hAnsi="宋体"/>
          <w:bCs/>
          <w:sz w:val="24"/>
        </w:rPr>
        <w:t>”</w:t>
      </w:r>
      <w:r>
        <w:rPr>
          <w:rFonts w:ascii="宋体" w:hAnsi="宋体"/>
          <w:bCs/>
          <w:sz w:val="24"/>
        </w:rPr>
        <w:t>的技术领先和技术输出，以综合解决方案的能力保持国内领先的同时，不断提升海外业务的占比，由国际主流向国际领先地位看齐。</w:t>
      </w:r>
    </w:p>
    <w:p w14:paraId="45F768D1" w14:textId="77777777" w:rsidR="007F5423" w:rsidRDefault="007F5423">
      <w:pPr>
        <w:widowControl/>
        <w:wordWrap w:val="0"/>
        <w:spacing w:line="420" w:lineRule="exact"/>
        <w:ind w:firstLineChars="200" w:firstLine="480"/>
        <w:jc w:val="left"/>
        <w:rPr>
          <w:rFonts w:ascii="宋体" w:hAnsi="宋体"/>
          <w:bCs/>
          <w:sz w:val="24"/>
        </w:rPr>
      </w:pPr>
    </w:p>
    <w:p w14:paraId="498F57D2" w14:textId="77777777" w:rsidR="007F5423" w:rsidRDefault="007A2957">
      <w:pPr>
        <w:widowControl/>
        <w:wordWrap w:val="0"/>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：一季度通讯模块发展情况如何，在双模升级迭代过程中有无新的技术演进方向和机会？</w:t>
      </w:r>
    </w:p>
    <w:p w14:paraId="20FC6624" w14:textId="77777777" w:rsidR="007F5423" w:rsidRDefault="007A2957">
      <w:pPr>
        <w:widowControl/>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：通信模块发展与营配融合、配网数字化趋势紧密相关。以前本地通信主要接入电表，现在接入设备多样，数据采集要求从</w:t>
      </w:r>
      <w:r>
        <w:rPr>
          <w:rFonts w:ascii="宋体" w:hAnsi="宋体"/>
          <w:bCs/>
          <w:sz w:val="24"/>
        </w:rPr>
        <w:t xml:space="preserve"> 15 </w:t>
      </w:r>
      <w:r>
        <w:rPr>
          <w:rFonts w:ascii="宋体" w:hAnsi="宋体"/>
          <w:bCs/>
          <w:sz w:val="24"/>
        </w:rPr>
        <w:t>分钟级提升到分钟级甚至秒级，现有通信技术需升级。公司参与下一代载波通信标准制定，方向是借鉴</w:t>
      </w:r>
      <w:r>
        <w:rPr>
          <w:rFonts w:ascii="宋体" w:hAnsi="宋体"/>
          <w:bCs/>
          <w:sz w:val="24"/>
        </w:rPr>
        <w:t xml:space="preserve"> 5G </w:t>
      </w:r>
      <w:r>
        <w:rPr>
          <w:rFonts w:ascii="宋体" w:hAnsi="宋体"/>
          <w:bCs/>
          <w:sz w:val="24"/>
        </w:rPr>
        <w:t>技</w:t>
      </w:r>
      <w:r>
        <w:rPr>
          <w:rFonts w:ascii="宋体" w:hAnsi="宋体"/>
          <w:bCs/>
          <w:sz w:val="24"/>
        </w:rPr>
        <w:t>术扩展带宽、提高速率，加强网络管理，如</w:t>
      </w:r>
      <w:r>
        <w:rPr>
          <w:rFonts w:ascii="宋体" w:hAnsi="宋体"/>
          <w:bCs/>
          <w:sz w:val="24"/>
        </w:rPr>
        <w:t xml:space="preserve"> IP </w:t>
      </w:r>
      <w:r>
        <w:rPr>
          <w:rFonts w:ascii="宋体" w:hAnsi="宋体"/>
          <w:bCs/>
          <w:sz w:val="24"/>
        </w:rPr>
        <w:t>化管理。公司已推出新通讯模块在各省市试点，以适应未来配网数字化需求。虽然国网营销招标规模变化不大，但与网省三产及配套企业的合作将会成为新的业务增长点。</w:t>
      </w:r>
    </w:p>
    <w:bookmarkEnd w:id="5"/>
    <w:bookmarkEnd w:id="6"/>
    <w:bookmarkEnd w:id="7"/>
    <w:bookmarkEnd w:id="8"/>
    <w:p w14:paraId="16A40F16" w14:textId="77777777" w:rsidR="007F5423" w:rsidRDefault="007F5423">
      <w:pPr>
        <w:widowControl/>
        <w:jc w:val="left"/>
        <w:rPr>
          <w:rFonts w:ascii="宋体" w:hAnsi="宋体"/>
          <w:bCs/>
          <w:sz w:val="24"/>
        </w:rPr>
      </w:pPr>
    </w:p>
    <w:sectPr w:rsidR="007F542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81002" w14:textId="77777777" w:rsidR="007A2957" w:rsidRDefault="007A2957">
      <w:r>
        <w:separator/>
      </w:r>
    </w:p>
  </w:endnote>
  <w:endnote w:type="continuationSeparator" w:id="0">
    <w:p w14:paraId="13255B68" w14:textId="77777777" w:rsidR="007A2957" w:rsidRDefault="007A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等线"/>
    <w:panose1 w:val="02010600030101010101"/>
    <w:charset w:val="86"/>
    <w:family w:val="auto"/>
    <w:pitch w:val="variable"/>
    <w:sig w:usb0="A00002BF" w:usb1="38CF7CFA" w:usb2="00000016" w:usb3="00000000" w:csb0="0004000F" w:csb1="00000000"/>
  </w:font>
  <w:font w:name="等线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821A7" w14:textId="77777777" w:rsidR="007F5423" w:rsidRDefault="007A2957">
    <w:pPr>
      <w:pStyle w:val="a7"/>
      <w:jc w:val="center"/>
    </w:pPr>
    <w:r>
      <w:fldChar w:fldCharType="begin"/>
    </w:r>
    <w:r>
      <w:instrText xml:space="preserve"> PAGE   \* MERGEFORMAT </w:instrText>
    </w:r>
    <w:r>
      <w:fldChar w:fldCharType="separate"/>
    </w:r>
    <w:r w:rsidR="00D95AA9" w:rsidRPr="00D95AA9">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48C06" w14:textId="77777777" w:rsidR="007A2957" w:rsidRDefault="007A2957">
      <w:r>
        <w:separator/>
      </w:r>
    </w:p>
  </w:footnote>
  <w:footnote w:type="continuationSeparator" w:id="0">
    <w:p w14:paraId="1C809051" w14:textId="77777777" w:rsidR="007A2957" w:rsidRDefault="007A2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BDFAA4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hybridMultilevel"/>
    <w:tmpl w:val="B5006330"/>
    <w:lvl w:ilvl="0" w:tplc="AB0444A6">
      <w:start w:val="1"/>
      <w:numFmt w:val="bullet"/>
      <w:lvlText w:val="•"/>
      <w:lvlJc w:val="left"/>
      <w:pPr>
        <w:tabs>
          <w:tab w:val="left" w:pos="720"/>
        </w:tabs>
        <w:ind w:left="720" w:hanging="360"/>
      </w:pPr>
      <w:rPr>
        <w:rFonts w:ascii="宋体" w:hAnsi="宋体" w:hint="default"/>
      </w:rPr>
    </w:lvl>
    <w:lvl w:ilvl="1" w:tplc="E9B2FFDC" w:tentative="1">
      <w:start w:val="1"/>
      <w:numFmt w:val="bullet"/>
      <w:lvlText w:val="•"/>
      <w:lvlJc w:val="left"/>
      <w:pPr>
        <w:tabs>
          <w:tab w:val="left" w:pos="1440"/>
        </w:tabs>
        <w:ind w:left="1440" w:hanging="360"/>
      </w:pPr>
      <w:rPr>
        <w:rFonts w:ascii="宋体" w:hAnsi="宋体" w:hint="default"/>
      </w:rPr>
    </w:lvl>
    <w:lvl w:ilvl="2" w:tplc="47EEE9EC" w:tentative="1">
      <w:start w:val="1"/>
      <w:numFmt w:val="bullet"/>
      <w:lvlText w:val="•"/>
      <w:lvlJc w:val="left"/>
      <w:pPr>
        <w:tabs>
          <w:tab w:val="left" w:pos="2160"/>
        </w:tabs>
        <w:ind w:left="2160" w:hanging="360"/>
      </w:pPr>
      <w:rPr>
        <w:rFonts w:ascii="宋体" w:hAnsi="宋体" w:hint="default"/>
      </w:rPr>
    </w:lvl>
    <w:lvl w:ilvl="3" w:tplc="B0A09518" w:tentative="1">
      <w:start w:val="1"/>
      <w:numFmt w:val="bullet"/>
      <w:lvlText w:val="•"/>
      <w:lvlJc w:val="left"/>
      <w:pPr>
        <w:tabs>
          <w:tab w:val="left" w:pos="2880"/>
        </w:tabs>
        <w:ind w:left="2880" w:hanging="360"/>
      </w:pPr>
      <w:rPr>
        <w:rFonts w:ascii="宋体" w:hAnsi="宋体" w:hint="default"/>
      </w:rPr>
    </w:lvl>
    <w:lvl w:ilvl="4" w:tplc="5D004B44" w:tentative="1">
      <w:start w:val="1"/>
      <w:numFmt w:val="bullet"/>
      <w:lvlText w:val="•"/>
      <w:lvlJc w:val="left"/>
      <w:pPr>
        <w:tabs>
          <w:tab w:val="left" w:pos="3600"/>
        </w:tabs>
        <w:ind w:left="3600" w:hanging="360"/>
      </w:pPr>
      <w:rPr>
        <w:rFonts w:ascii="宋体" w:hAnsi="宋体" w:hint="default"/>
      </w:rPr>
    </w:lvl>
    <w:lvl w:ilvl="5" w:tplc="DE90D890" w:tentative="1">
      <w:start w:val="1"/>
      <w:numFmt w:val="bullet"/>
      <w:lvlText w:val="•"/>
      <w:lvlJc w:val="left"/>
      <w:pPr>
        <w:tabs>
          <w:tab w:val="left" w:pos="4320"/>
        </w:tabs>
        <w:ind w:left="4320" w:hanging="360"/>
      </w:pPr>
      <w:rPr>
        <w:rFonts w:ascii="宋体" w:hAnsi="宋体" w:hint="default"/>
      </w:rPr>
    </w:lvl>
    <w:lvl w:ilvl="6" w:tplc="A54ABC32" w:tentative="1">
      <w:start w:val="1"/>
      <w:numFmt w:val="bullet"/>
      <w:lvlText w:val="•"/>
      <w:lvlJc w:val="left"/>
      <w:pPr>
        <w:tabs>
          <w:tab w:val="left" w:pos="5040"/>
        </w:tabs>
        <w:ind w:left="5040" w:hanging="360"/>
      </w:pPr>
      <w:rPr>
        <w:rFonts w:ascii="宋体" w:hAnsi="宋体" w:hint="default"/>
      </w:rPr>
    </w:lvl>
    <w:lvl w:ilvl="7" w:tplc="794256F0" w:tentative="1">
      <w:start w:val="1"/>
      <w:numFmt w:val="bullet"/>
      <w:lvlText w:val="•"/>
      <w:lvlJc w:val="left"/>
      <w:pPr>
        <w:tabs>
          <w:tab w:val="left" w:pos="5760"/>
        </w:tabs>
        <w:ind w:left="5760" w:hanging="360"/>
      </w:pPr>
      <w:rPr>
        <w:rFonts w:ascii="宋体" w:hAnsi="宋体" w:hint="default"/>
      </w:rPr>
    </w:lvl>
    <w:lvl w:ilvl="8" w:tplc="9BC2E978" w:tentative="1">
      <w:start w:val="1"/>
      <w:numFmt w:val="bullet"/>
      <w:lvlText w:val="•"/>
      <w:lvlJc w:val="left"/>
      <w:pPr>
        <w:tabs>
          <w:tab w:val="left" w:pos="6480"/>
        </w:tabs>
        <w:ind w:left="6480" w:hanging="360"/>
      </w:pPr>
      <w:rPr>
        <w:rFonts w:ascii="宋体" w:hAnsi="宋体" w:hint="default"/>
      </w:rPr>
    </w:lvl>
  </w:abstractNum>
  <w:abstractNum w:abstractNumId="2" w15:restartNumberingAfterBreak="0">
    <w:nsid w:val="00000002"/>
    <w:multiLevelType w:val="multilevel"/>
    <w:tmpl w:val="376C8B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30162328"/>
    <w:lvl w:ilvl="0" w:tplc="386CD144">
      <w:start w:val="1"/>
      <w:numFmt w:val="bullet"/>
      <w:lvlText w:val="•"/>
      <w:lvlJc w:val="left"/>
      <w:pPr>
        <w:tabs>
          <w:tab w:val="left" w:pos="720"/>
        </w:tabs>
        <w:ind w:left="720" w:hanging="360"/>
      </w:pPr>
      <w:rPr>
        <w:rFonts w:ascii="宋体" w:hAnsi="宋体" w:hint="default"/>
      </w:rPr>
    </w:lvl>
    <w:lvl w:ilvl="1" w:tplc="A8B0EFAE" w:tentative="1">
      <w:start w:val="1"/>
      <w:numFmt w:val="bullet"/>
      <w:lvlText w:val="•"/>
      <w:lvlJc w:val="left"/>
      <w:pPr>
        <w:tabs>
          <w:tab w:val="left" w:pos="1440"/>
        </w:tabs>
        <w:ind w:left="1440" w:hanging="360"/>
      </w:pPr>
      <w:rPr>
        <w:rFonts w:ascii="宋体" w:hAnsi="宋体" w:hint="default"/>
      </w:rPr>
    </w:lvl>
    <w:lvl w:ilvl="2" w:tplc="82E4D6B4" w:tentative="1">
      <w:start w:val="1"/>
      <w:numFmt w:val="bullet"/>
      <w:lvlText w:val="•"/>
      <w:lvlJc w:val="left"/>
      <w:pPr>
        <w:tabs>
          <w:tab w:val="left" w:pos="2160"/>
        </w:tabs>
        <w:ind w:left="2160" w:hanging="360"/>
      </w:pPr>
      <w:rPr>
        <w:rFonts w:ascii="宋体" w:hAnsi="宋体" w:hint="default"/>
      </w:rPr>
    </w:lvl>
    <w:lvl w:ilvl="3" w:tplc="498CEBCC" w:tentative="1">
      <w:start w:val="1"/>
      <w:numFmt w:val="bullet"/>
      <w:lvlText w:val="•"/>
      <w:lvlJc w:val="left"/>
      <w:pPr>
        <w:tabs>
          <w:tab w:val="left" w:pos="2880"/>
        </w:tabs>
        <w:ind w:left="2880" w:hanging="360"/>
      </w:pPr>
      <w:rPr>
        <w:rFonts w:ascii="宋体" w:hAnsi="宋体" w:hint="default"/>
      </w:rPr>
    </w:lvl>
    <w:lvl w:ilvl="4" w:tplc="909C2C70" w:tentative="1">
      <w:start w:val="1"/>
      <w:numFmt w:val="bullet"/>
      <w:lvlText w:val="•"/>
      <w:lvlJc w:val="left"/>
      <w:pPr>
        <w:tabs>
          <w:tab w:val="left" w:pos="3600"/>
        </w:tabs>
        <w:ind w:left="3600" w:hanging="360"/>
      </w:pPr>
      <w:rPr>
        <w:rFonts w:ascii="宋体" w:hAnsi="宋体" w:hint="default"/>
      </w:rPr>
    </w:lvl>
    <w:lvl w:ilvl="5" w:tplc="35BE1D1C" w:tentative="1">
      <w:start w:val="1"/>
      <w:numFmt w:val="bullet"/>
      <w:lvlText w:val="•"/>
      <w:lvlJc w:val="left"/>
      <w:pPr>
        <w:tabs>
          <w:tab w:val="left" w:pos="4320"/>
        </w:tabs>
        <w:ind w:left="4320" w:hanging="360"/>
      </w:pPr>
      <w:rPr>
        <w:rFonts w:ascii="宋体" w:hAnsi="宋体" w:hint="default"/>
      </w:rPr>
    </w:lvl>
    <w:lvl w:ilvl="6" w:tplc="33A6CA90" w:tentative="1">
      <w:start w:val="1"/>
      <w:numFmt w:val="bullet"/>
      <w:lvlText w:val="•"/>
      <w:lvlJc w:val="left"/>
      <w:pPr>
        <w:tabs>
          <w:tab w:val="left" w:pos="5040"/>
        </w:tabs>
        <w:ind w:left="5040" w:hanging="360"/>
      </w:pPr>
      <w:rPr>
        <w:rFonts w:ascii="宋体" w:hAnsi="宋体" w:hint="default"/>
      </w:rPr>
    </w:lvl>
    <w:lvl w:ilvl="7" w:tplc="72AA7C04" w:tentative="1">
      <w:start w:val="1"/>
      <w:numFmt w:val="bullet"/>
      <w:lvlText w:val="•"/>
      <w:lvlJc w:val="left"/>
      <w:pPr>
        <w:tabs>
          <w:tab w:val="left" w:pos="5760"/>
        </w:tabs>
        <w:ind w:left="5760" w:hanging="360"/>
      </w:pPr>
      <w:rPr>
        <w:rFonts w:ascii="宋体" w:hAnsi="宋体" w:hint="default"/>
      </w:rPr>
    </w:lvl>
    <w:lvl w:ilvl="8" w:tplc="45682F76" w:tentative="1">
      <w:start w:val="1"/>
      <w:numFmt w:val="bullet"/>
      <w:lvlText w:val="•"/>
      <w:lvlJc w:val="left"/>
      <w:pPr>
        <w:tabs>
          <w:tab w:val="left" w:pos="6480"/>
        </w:tabs>
        <w:ind w:left="6480" w:hanging="360"/>
      </w:pPr>
      <w:rPr>
        <w:rFonts w:ascii="宋体" w:hAnsi="宋体" w:hint="default"/>
      </w:rPr>
    </w:lvl>
  </w:abstractNum>
  <w:abstractNum w:abstractNumId="4" w15:restartNumberingAfterBreak="0">
    <w:nsid w:val="00000004"/>
    <w:multiLevelType w:val="hybridMultilevel"/>
    <w:tmpl w:val="233E7F02"/>
    <w:lvl w:ilvl="0" w:tplc="217E56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0000005"/>
    <w:multiLevelType w:val="multilevel"/>
    <w:tmpl w:val="5858BB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multilevel"/>
    <w:tmpl w:val="1CAEA6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DCF8CC8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8"/>
    <w:multiLevelType w:val="multilevel"/>
    <w:tmpl w:val="6812E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9"/>
    <w:multiLevelType w:val="hybridMultilevel"/>
    <w:tmpl w:val="613C9B98"/>
    <w:lvl w:ilvl="0" w:tplc="C52C9EBE">
      <w:start w:val="1"/>
      <w:numFmt w:val="bullet"/>
      <w:lvlText w:val="•"/>
      <w:lvlJc w:val="left"/>
      <w:pPr>
        <w:tabs>
          <w:tab w:val="left" w:pos="720"/>
        </w:tabs>
        <w:ind w:left="720" w:hanging="360"/>
      </w:pPr>
      <w:rPr>
        <w:rFonts w:ascii="Arial" w:hAnsi="Arial" w:hint="default"/>
      </w:rPr>
    </w:lvl>
    <w:lvl w:ilvl="1" w:tplc="58F65294" w:tentative="1">
      <w:start w:val="1"/>
      <w:numFmt w:val="bullet"/>
      <w:lvlText w:val="•"/>
      <w:lvlJc w:val="left"/>
      <w:pPr>
        <w:tabs>
          <w:tab w:val="left" w:pos="1440"/>
        </w:tabs>
        <w:ind w:left="1440" w:hanging="360"/>
      </w:pPr>
      <w:rPr>
        <w:rFonts w:ascii="Arial" w:hAnsi="Arial" w:hint="default"/>
      </w:rPr>
    </w:lvl>
    <w:lvl w:ilvl="2" w:tplc="80048982" w:tentative="1">
      <w:start w:val="1"/>
      <w:numFmt w:val="bullet"/>
      <w:lvlText w:val="•"/>
      <w:lvlJc w:val="left"/>
      <w:pPr>
        <w:tabs>
          <w:tab w:val="left" w:pos="2160"/>
        </w:tabs>
        <w:ind w:left="2160" w:hanging="360"/>
      </w:pPr>
      <w:rPr>
        <w:rFonts w:ascii="Arial" w:hAnsi="Arial" w:hint="default"/>
      </w:rPr>
    </w:lvl>
    <w:lvl w:ilvl="3" w:tplc="CA34B2FC" w:tentative="1">
      <w:start w:val="1"/>
      <w:numFmt w:val="bullet"/>
      <w:lvlText w:val="•"/>
      <w:lvlJc w:val="left"/>
      <w:pPr>
        <w:tabs>
          <w:tab w:val="left" w:pos="2880"/>
        </w:tabs>
        <w:ind w:left="2880" w:hanging="360"/>
      </w:pPr>
      <w:rPr>
        <w:rFonts w:ascii="Arial" w:hAnsi="Arial" w:hint="default"/>
      </w:rPr>
    </w:lvl>
    <w:lvl w:ilvl="4" w:tplc="E8E4FC7A" w:tentative="1">
      <w:start w:val="1"/>
      <w:numFmt w:val="bullet"/>
      <w:lvlText w:val="•"/>
      <w:lvlJc w:val="left"/>
      <w:pPr>
        <w:tabs>
          <w:tab w:val="left" w:pos="3600"/>
        </w:tabs>
        <w:ind w:left="3600" w:hanging="360"/>
      </w:pPr>
      <w:rPr>
        <w:rFonts w:ascii="Arial" w:hAnsi="Arial" w:hint="default"/>
      </w:rPr>
    </w:lvl>
    <w:lvl w:ilvl="5" w:tplc="72E64ED0" w:tentative="1">
      <w:start w:val="1"/>
      <w:numFmt w:val="bullet"/>
      <w:lvlText w:val="•"/>
      <w:lvlJc w:val="left"/>
      <w:pPr>
        <w:tabs>
          <w:tab w:val="left" w:pos="4320"/>
        </w:tabs>
        <w:ind w:left="4320" w:hanging="360"/>
      </w:pPr>
      <w:rPr>
        <w:rFonts w:ascii="Arial" w:hAnsi="Arial" w:hint="default"/>
      </w:rPr>
    </w:lvl>
    <w:lvl w:ilvl="6" w:tplc="D558470C" w:tentative="1">
      <w:start w:val="1"/>
      <w:numFmt w:val="bullet"/>
      <w:lvlText w:val="•"/>
      <w:lvlJc w:val="left"/>
      <w:pPr>
        <w:tabs>
          <w:tab w:val="left" w:pos="5040"/>
        </w:tabs>
        <w:ind w:left="5040" w:hanging="360"/>
      </w:pPr>
      <w:rPr>
        <w:rFonts w:ascii="Arial" w:hAnsi="Arial" w:hint="default"/>
      </w:rPr>
    </w:lvl>
    <w:lvl w:ilvl="7" w:tplc="F7DC3FB2" w:tentative="1">
      <w:start w:val="1"/>
      <w:numFmt w:val="bullet"/>
      <w:lvlText w:val="•"/>
      <w:lvlJc w:val="left"/>
      <w:pPr>
        <w:tabs>
          <w:tab w:val="left" w:pos="5760"/>
        </w:tabs>
        <w:ind w:left="5760" w:hanging="360"/>
      </w:pPr>
      <w:rPr>
        <w:rFonts w:ascii="Arial" w:hAnsi="Arial" w:hint="default"/>
      </w:rPr>
    </w:lvl>
    <w:lvl w:ilvl="8" w:tplc="DDA82974" w:tentative="1">
      <w:start w:val="1"/>
      <w:numFmt w:val="bullet"/>
      <w:lvlText w:val="•"/>
      <w:lvlJc w:val="left"/>
      <w:pPr>
        <w:tabs>
          <w:tab w:val="left" w:pos="6480"/>
        </w:tabs>
        <w:ind w:left="6480" w:hanging="360"/>
      </w:pPr>
      <w:rPr>
        <w:rFonts w:ascii="Arial" w:hAnsi="Arial" w:hint="default"/>
      </w:rPr>
    </w:lvl>
  </w:abstractNum>
  <w:abstractNum w:abstractNumId="10" w15:restartNumberingAfterBreak="0">
    <w:nsid w:val="0000000A"/>
    <w:multiLevelType w:val="multilevel"/>
    <w:tmpl w:val="BBB216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B"/>
    <w:multiLevelType w:val="multilevel"/>
    <w:tmpl w:val="C6E82A16"/>
    <w:lvl w:ilvl="0">
      <w:start w:val="1"/>
      <w:numFmt w:val="japaneseCounting"/>
      <w:lvlText w:val="%1、"/>
      <w:lvlJc w:val="left"/>
      <w:pPr>
        <w:ind w:left="1216" w:hanging="720"/>
      </w:pPr>
      <w:rPr>
        <w:rFonts w:hint="default"/>
        <w:lang w:val="en-US"/>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12" w15:restartNumberingAfterBreak="0">
    <w:nsid w:val="0000000C"/>
    <w:multiLevelType w:val="multilevel"/>
    <w:tmpl w:val="7FDEED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074AFD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E"/>
    <w:multiLevelType w:val="hybridMultilevel"/>
    <w:tmpl w:val="F9245C26"/>
    <w:lvl w:ilvl="0" w:tplc="A530BEAE">
      <w:start w:val="1"/>
      <w:numFmt w:val="bullet"/>
      <w:lvlText w:val="•"/>
      <w:lvlJc w:val="left"/>
      <w:pPr>
        <w:tabs>
          <w:tab w:val="left" w:pos="720"/>
        </w:tabs>
        <w:ind w:left="720" w:hanging="360"/>
      </w:pPr>
      <w:rPr>
        <w:rFonts w:ascii="宋体" w:hAnsi="宋体" w:hint="default"/>
      </w:rPr>
    </w:lvl>
    <w:lvl w:ilvl="1" w:tplc="A09E3CBC" w:tentative="1">
      <w:start w:val="1"/>
      <w:numFmt w:val="bullet"/>
      <w:lvlText w:val="•"/>
      <w:lvlJc w:val="left"/>
      <w:pPr>
        <w:tabs>
          <w:tab w:val="left" w:pos="1440"/>
        </w:tabs>
        <w:ind w:left="1440" w:hanging="360"/>
      </w:pPr>
      <w:rPr>
        <w:rFonts w:ascii="宋体" w:hAnsi="宋体" w:hint="default"/>
      </w:rPr>
    </w:lvl>
    <w:lvl w:ilvl="2" w:tplc="5FA6F864" w:tentative="1">
      <w:start w:val="1"/>
      <w:numFmt w:val="bullet"/>
      <w:lvlText w:val="•"/>
      <w:lvlJc w:val="left"/>
      <w:pPr>
        <w:tabs>
          <w:tab w:val="left" w:pos="2160"/>
        </w:tabs>
        <w:ind w:left="2160" w:hanging="360"/>
      </w:pPr>
      <w:rPr>
        <w:rFonts w:ascii="宋体" w:hAnsi="宋体" w:hint="default"/>
      </w:rPr>
    </w:lvl>
    <w:lvl w:ilvl="3" w:tplc="AE4876BE" w:tentative="1">
      <w:start w:val="1"/>
      <w:numFmt w:val="bullet"/>
      <w:lvlText w:val="•"/>
      <w:lvlJc w:val="left"/>
      <w:pPr>
        <w:tabs>
          <w:tab w:val="left" w:pos="2880"/>
        </w:tabs>
        <w:ind w:left="2880" w:hanging="360"/>
      </w:pPr>
      <w:rPr>
        <w:rFonts w:ascii="宋体" w:hAnsi="宋体" w:hint="default"/>
      </w:rPr>
    </w:lvl>
    <w:lvl w:ilvl="4" w:tplc="B0E6F926" w:tentative="1">
      <w:start w:val="1"/>
      <w:numFmt w:val="bullet"/>
      <w:lvlText w:val="•"/>
      <w:lvlJc w:val="left"/>
      <w:pPr>
        <w:tabs>
          <w:tab w:val="left" w:pos="3600"/>
        </w:tabs>
        <w:ind w:left="3600" w:hanging="360"/>
      </w:pPr>
      <w:rPr>
        <w:rFonts w:ascii="宋体" w:hAnsi="宋体" w:hint="default"/>
      </w:rPr>
    </w:lvl>
    <w:lvl w:ilvl="5" w:tplc="D76CDE5A" w:tentative="1">
      <w:start w:val="1"/>
      <w:numFmt w:val="bullet"/>
      <w:lvlText w:val="•"/>
      <w:lvlJc w:val="left"/>
      <w:pPr>
        <w:tabs>
          <w:tab w:val="left" w:pos="4320"/>
        </w:tabs>
        <w:ind w:left="4320" w:hanging="360"/>
      </w:pPr>
      <w:rPr>
        <w:rFonts w:ascii="宋体" w:hAnsi="宋体" w:hint="default"/>
      </w:rPr>
    </w:lvl>
    <w:lvl w:ilvl="6" w:tplc="D0D88724" w:tentative="1">
      <w:start w:val="1"/>
      <w:numFmt w:val="bullet"/>
      <w:lvlText w:val="•"/>
      <w:lvlJc w:val="left"/>
      <w:pPr>
        <w:tabs>
          <w:tab w:val="left" w:pos="5040"/>
        </w:tabs>
        <w:ind w:left="5040" w:hanging="360"/>
      </w:pPr>
      <w:rPr>
        <w:rFonts w:ascii="宋体" w:hAnsi="宋体" w:hint="default"/>
      </w:rPr>
    </w:lvl>
    <w:lvl w:ilvl="7" w:tplc="06345AB4" w:tentative="1">
      <w:start w:val="1"/>
      <w:numFmt w:val="bullet"/>
      <w:lvlText w:val="•"/>
      <w:lvlJc w:val="left"/>
      <w:pPr>
        <w:tabs>
          <w:tab w:val="left" w:pos="5760"/>
        </w:tabs>
        <w:ind w:left="5760" w:hanging="360"/>
      </w:pPr>
      <w:rPr>
        <w:rFonts w:ascii="宋体" w:hAnsi="宋体" w:hint="default"/>
      </w:rPr>
    </w:lvl>
    <w:lvl w:ilvl="8" w:tplc="31BEAB34" w:tentative="1">
      <w:start w:val="1"/>
      <w:numFmt w:val="bullet"/>
      <w:lvlText w:val="•"/>
      <w:lvlJc w:val="left"/>
      <w:pPr>
        <w:tabs>
          <w:tab w:val="left" w:pos="6480"/>
        </w:tabs>
        <w:ind w:left="6480" w:hanging="360"/>
      </w:pPr>
      <w:rPr>
        <w:rFonts w:ascii="宋体" w:hAnsi="宋体" w:hint="default"/>
      </w:rPr>
    </w:lvl>
  </w:abstractNum>
  <w:abstractNum w:abstractNumId="15" w15:restartNumberingAfterBreak="0">
    <w:nsid w:val="0000000F"/>
    <w:multiLevelType w:val="multilevel"/>
    <w:tmpl w:val="CEECCA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1"/>
  </w:num>
  <w:num w:numId="2">
    <w:abstractNumId w:val="15"/>
  </w:num>
  <w:num w:numId="3">
    <w:abstractNumId w:val="7"/>
  </w:num>
  <w:num w:numId="4">
    <w:abstractNumId w:val="10"/>
  </w:num>
  <w:num w:numId="5">
    <w:abstractNumId w:val="8"/>
  </w:num>
  <w:num w:numId="6">
    <w:abstractNumId w:val="9"/>
  </w:num>
  <w:num w:numId="7">
    <w:abstractNumId w:val="1"/>
  </w:num>
  <w:num w:numId="8">
    <w:abstractNumId w:val="14"/>
  </w:num>
  <w:num w:numId="9">
    <w:abstractNumId w:val="3"/>
  </w:num>
  <w:num w:numId="10">
    <w:abstractNumId w:val="4"/>
  </w:num>
  <w:num w:numId="11">
    <w:abstractNumId w:val="5"/>
  </w:num>
  <w:num w:numId="12">
    <w:abstractNumId w:val="12"/>
  </w:num>
  <w:num w:numId="13">
    <w:abstractNumId w:val="13"/>
  </w:num>
  <w:num w:numId="14">
    <w:abstractNumId w:val="6"/>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23"/>
    <w:rsid w:val="007A2957"/>
    <w:rsid w:val="007F5423"/>
    <w:rsid w:val="00D95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AA7DC7-B9D4-4386-AAF0-953DDAB7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等线" w:eastAsia="等线" w:hAnsi="等线" w:cs="宋体"/>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等线 Light" w:eastAsia="等线 Light" w:hAnsi="等线 Light" w:cs="宋体"/>
      <w:b/>
      <w:bCs/>
      <w:sz w:val="32"/>
      <w:szCs w:val="3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ody Text"/>
    <w:basedOn w:val="a"/>
    <w:link w:val="Char0"/>
    <w:uiPriority w:val="1"/>
    <w:qFormat/>
    <w:pPr>
      <w:spacing w:before="181"/>
      <w:ind w:left="141"/>
      <w:jc w:val="left"/>
    </w:pPr>
    <w:rPr>
      <w:rFonts w:ascii="宋体" w:hAnsi="宋体" w:cs="宋体"/>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rPr>
      <w:b/>
      <w:bCs/>
    </w:rPr>
  </w:style>
  <w:style w:type="character" w:styleId="ab">
    <w:name w:val="Strong"/>
    <w:basedOn w:val="a0"/>
    <w:uiPriority w:val="22"/>
    <w:qFormat/>
    <w:rPr>
      <w:b/>
      <w:bCs/>
    </w:rPr>
  </w:style>
  <w:style w:type="character" w:styleId="ac">
    <w:name w:val="annotation reference"/>
    <w:basedOn w:val="a0"/>
    <w:uiPriority w:val="99"/>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99"/>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2">
    <w:name w:val="批注框文本 Char"/>
    <w:basedOn w:val="a0"/>
    <w:link w:val="a6"/>
    <w:uiPriority w:val="99"/>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rPr>
      <w:rFonts w:ascii="Times New Roman" w:eastAsia="宋体" w:hAnsi="Times New Roman" w:cs="Times New Roman"/>
      <w:b/>
      <w:bCs/>
      <w:szCs w:val="24"/>
    </w:rPr>
  </w:style>
  <w:style w:type="table" w:customStyle="1" w:styleId="TableGrid">
    <w:name w:val="TableGrid"/>
    <w:tblPr>
      <w:tblCellMar>
        <w:top w:w="0" w:type="dxa"/>
        <w:left w:w="0" w:type="dxa"/>
        <w:bottom w:w="0" w:type="dxa"/>
        <w:right w:w="0" w:type="dxa"/>
      </w:tblCellMar>
    </w:tblPr>
  </w:style>
  <w:style w:type="character" w:customStyle="1" w:styleId="2Char">
    <w:name w:val="标题 2 Char"/>
    <w:basedOn w:val="a0"/>
    <w:link w:val="2"/>
    <w:uiPriority w:val="9"/>
    <w:rPr>
      <w:rFonts w:ascii="等线 Light" w:eastAsia="等线 Light" w:hAnsi="等线 Light" w:cs="宋体"/>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rPr>
      <w:b/>
      <w:bCs/>
      <w:kern w:val="44"/>
      <w:sz w:val="44"/>
      <w:szCs w:val="44"/>
    </w:rPr>
  </w:style>
  <w:style w:type="character" w:customStyle="1" w:styleId="005Char">
    <w:name w:val="005正文 Char"/>
    <w:link w:val="005"/>
  </w:style>
  <w:style w:type="paragraph" w:customStyle="1" w:styleId="005">
    <w:name w:val="005正文"/>
    <w:basedOn w:val="a"/>
    <w:link w:val="005Char"/>
    <w:qFormat/>
    <w:pPr>
      <w:spacing w:beforeLines="50" w:line="360" w:lineRule="auto"/>
      <w:ind w:firstLineChars="200" w:firstLine="200"/>
    </w:pPr>
    <w:rPr>
      <w:rFonts w:ascii="等线" w:eastAsia="等线" w:hAnsi="等线" w:cs="宋体"/>
      <w:szCs w:val="22"/>
    </w:rPr>
  </w:style>
  <w:style w:type="paragraph" w:customStyle="1" w:styleId="10">
    <w:name w:val="修订1"/>
    <w:uiPriority w:val="99"/>
    <w:rPr>
      <w:rFonts w:ascii="Times New Roman" w:eastAsia="宋体" w:hAnsi="Times New Roman" w:cs="Times New Roman"/>
      <w:kern w:val="2"/>
      <w:sz w:val="21"/>
      <w:szCs w:val="24"/>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HTMLChar">
    <w:name w:val="HTML 预设格式 Char"/>
    <w:basedOn w:val="a0"/>
    <w:link w:val="HTML"/>
    <w:uiPriority w:val="99"/>
    <w:rPr>
      <w:rFonts w:ascii="宋体" w:eastAsia="宋体" w:hAnsi="宋体" w:cs="宋体"/>
      <w:kern w:val="0"/>
      <w:sz w:val="24"/>
      <w:szCs w:val="24"/>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wxtextunderline">
    <w:name w:val="wx_text_underline"/>
    <w:basedOn w:val="a0"/>
  </w:style>
  <w:style w:type="character" w:customStyle="1" w:styleId="wxsearchkeywordwrap">
    <w:name w:val="wx_search_keyword_wrap"/>
    <w:basedOn w:val="a0"/>
  </w:style>
  <w:style w:type="paragraph" w:styleId="3">
    <w:name w:val="toc 3"/>
    <w:basedOn w:val="a"/>
    <w:next w:val="a"/>
    <w:uiPriority w:val="39"/>
    <w:qFormat/>
    <w:pPr>
      <w:ind w:left="420"/>
      <w:jc w:val="left"/>
    </w:pPr>
    <w:rPr>
      <w:rFonts w:ascii="等线" w:eastAsia="等线" w:hAnsi="等线" w:cs="宋体"/>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B5EDB-5F66-45C9-8C4F-CC22C2E7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ch</dc:creator>
  <cp:lastModifiedBy>余萱</cp:lastModifiedBy>
  <cp:revision>76</cp:revision>
  <cp:lastPrinted>2024-08-21T06:15:00Z</cp:lastPrinted>
  <dcterms:created xsi:type="dcterms:W3CDTF">2025-03-04T08:28:00Z</dcterms:created>
  <dcterms:modified xsi:type="dcterms:W3CDTF">2025-04-29T09:52:00Z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eyJoZGlkIjoiZDcyNDZhNGI3MzA2ODg5ZjA3NTU0OGZjNWEzMGZkYTYiLCJ1c2VySWQiOiIzNjE5MDk5MTQifQ==</vt:lpwstr>
  </property>
  <property fmtid="{D5CDD505-2E9C-101B-9397-08002B2CF9AE}" pid="3" name="KSOProductBuildVer">
    <vt:lpwstr>2052-12.1.0.19770</vt:lpwstr>
  </property>
  <property fmtid="{D5CDD505-2E9C-101B-9397-08002B2CF9AE}" pid="4" name="ICV">
    <vt:lpwstr>E067C2D67CF0433F8A93C6E9B874C4FA_12</vt:lpwstr>
  </property>
</Properties>
</file>