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2F25" w14:textId="77777777" w:rsidR="00DE448C" w:rsidRDefault="00000000">
      <w:pPr>
        <w:jc w:val="center"/>
        <w:rPr>
          <w:b/>
          <w:bCs/>
          <w:sz w:val="28"/>
          <w:szCs w:val="28"/>
        </w:rPr>
      </w:pPr>
      <w:r>
        <w:rPr>
          <w:rFonts w:hint="eastAsia"/>
          <w:b/>
          <w:bCs/>
          <w:sz w:val="28"/>
          <w:szCs w:val="28"/>
        </w:rPr>
        <w:t>重庆西山科技股份有限公司</w:t>
      </w:r>
    </w:p>
    <w:p w14:paraId="393B4F38" w14:textId="77777777" w:rsidR="00DE448C" w:rsidRDefault="00000000">
      <w:pPr>
        <w:jc w:val="center"/>
        <w:rPr>
          <w:b/>
          <w:bCs/>
          <w:sz w:val="28"/>
          <w:szCs w:val="28"/>
        </w:rPr>
      </w:pPr>
      <w:r>
        <w:rPr>
          <w:rFonts w:hint="eastAsia"/>
          <w:b/>
          <w:bCs/>
          <w:sz w:val="28"/>
          <w:szCs w:val="28"/>
        </w:rPr>
        <w:t>投资者关系活动记录表</w:t>
      </w:r>
    </w:p>
    <w:p w14:paraId="335AFAB3" w14:textId="77777777" w:rsidR="00DE448C"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-00</w:t>
      </w:r>
      <w:r>
        <w:rPr>
          <w:rFonts w:hint="eastAsia"/>
          <w:b/>
          <w:bCs/>
          <w:szCs w:val="24"/>
        </w:rPr>
        <w:t>3</w:t>
      </w:r>
    </w:p>
    <w:tbl>
      <w:tblPr>
        <w:tblStyle w:val="a9"/>
        <w:tblW w:w="0" w:type="auto"/>
        <w:tblLook w:val="04A0" w:firstRow="1" w:lastRow="0" w:firstColumn="1" w:lastColumn="0" w:noHBand="0" w:noVBand="1"/>
      </w:tblPr>
      <w:tblGrid>
        <w:gridCol w:w="2405"/>
        <w:gridCol w:w="5891"/>
      </w:tblGrid>
      <w:tr w:rsidR="00DE448C" w14:paraId="7F46BBA2" w14:textId="77777777">
        <w:tc>
          <w:tcPr>
            <w:tcW w:w="2405" w:type="dxa"/>
          </w:tcPr>
          <w:p w14:paraId="44507952" w14:textId="77777777" w:rsidR="00DE448C" w:rsidRDefault="00DE448C">
            <w:pPr>
              <w:jc w:val="center"/>
              <w:rPr>
                <w:b/>
                <w:bCs/>
                <w:szCs w:val="24"/>
              </w:rPr>
            </w:pPr>
          </w:p>
          <w:p w14:paraId="5E4B25E4" w14:textId="77777777" w:rsidR="00DE448C" w:rsidRDefault="00DE448C">
            <w:pPr>
              <w:jc w:val="center"/>
              <w:rPr>
                <w:b/>
                <w:bCs/>
                <w:szCs w:val="24"/>
              </w:rPr>
            </w:pPr>
          </w:p>
          <w:p w14:paraId="03F97346" w14:textId="77777777" w:rsidR="00DE448C" w:rsidRDefault="00000000">
            <w:pPr>
              <w:jc w:val="center"/>
              <w:rPr>
                <w:b/>
                <w:bCs/>
                <w:szCs w:val="24"/>
              </w:rPr>
            </w:pPr>
            <w:r>
              <w:rPr>
                <w:rFonts w:hint="eastAsia"/>
                <w:b/>
                <w:bCs/>
                <w:szCs w:val="24"/>
              </w:rPr>
              <w:t>投资者关系活动</w:t>
            </w:r>
          </w:p>
          <w:p w14:paraId="13C7F6EF" w14:textId="77777777" w:rsidR="00DE448C" w:rsidRDefault="00000000">
            <w:pPr>
              <w:jc w:val="center"/>
              <w:rPr>
                <w:b/>
                <w:bCs/>
                <w:szCs w:val="24"/>
              </w:rPr>
            </w:pPr>
            <w:r>
              <w:rPr>
                <w:rFonts w:hint="eastAsia"/>
                <w:b/>
                <w:bCs/>
                <w:szCs w:val="24"/>
              </w:rPr>
              <w:t>类别</w:t>
            </w:r>
          </w:p>
        </w:tc>
        <w:tc>
          <w:tcPr>
            <w:tcW w:w="5891" w:type="dxa"/>
          </w:tcPr>
          <w:p w14:paraId="7958F2A2" w14:textId="77777777" w:rsidR="00DE448C" w:rsidRDefault="00000000">
            <w:pPr>
              <w:spacing w:line="360" w:lineRule="auto"/>
              <w:rPr>
                <w:rFonts w:ascii="宋体" w:hAnsi="宋体" w:hint="eastAsia"/>
                <w:szCs w:val="24"/>
              </w:rPr>
            </w:pPr>
            <w:r>
              <w:rPr>
                <w:rFonts w:ascii="Wingdings 2" w:eastAsiaTheme="minorEastAsia" w:hAnsi="Wingdings 2" w:cs="Wingdings 2"/>
                <w:kern w:val="0"/>
                <w:szCs w:val="24"/>
              </w:rPr>
              <w:t></w:t>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64611973" w14:textId="77777777" w:rsidR="00DE448C"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7C1A407E" w14:textId="77777777" w:rsidR="00DE448C"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16291B4F" w14:textId="77777777" w:rsidR="00DE448C"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Pr>
                <w:rFonts w:ascii="宋体" w:hAnsi="宋体" w:hint="eastAsia"/>
                <w:szCs w:val="24"/>
              </w:rPr>
              <w:t>□</w:t>
            </w:r>
            <w:r>
              <w:rPr>
                <w:rFonts w:ascii="Wingdings 2" w:hAnsi="Wingdings 2" w:cs="Wingdings 2" w:hint="eastAsia"/>
                <w:szCs w:val="24"/>
              </w:rPr>
              <w:t>电话会议</w:t>
            </w:r>
          </w:p>
          <w:p w14:paraId="42097127" w14:textId="77777777" w:rsidR="00DE448C" w:rsidRDefault="00000000">
            <w:pPr>
              <w:spacing w:line="360" w:lineRule="auto"/>
              <w:rPr>
                <w:rFonts w:ascii="宋体" w:hAnsi="宋体" w:hint="eastAsia"/>
                <w:szCs w:val="24"/>
              </w:rPr>
            </w:pPr>
            <w:r>
              <w:rPr>
                <w:rFonts w:ascii="宋体" w:hAnsi="宋体" w:hint="eastAsia"/>
                <w:szCs w:val="24"/>
              </w:rPr>
              <w:t xml:space="preserve">□券商策略会 </w:t>
            </w:r>
            <w:r>
              <w:rPr>
                <w:rFonts w:ascii="宋体" w:hAnsi="宋体"/>
                <w:szCs w:val="24"/>
              </w:rPr>
              <w:t xml:space="preserve">     </w:t>
            </w:r>
            <w:r>
              <w:rPr>
                <w:rFonts w:ascii="宋体" w:hAnsi="宋体" w:hint="eastAsia"/>
                <w:szCs w:val="24"/>
              </w:rPr>
              <w:t>□其他</w:t>
            </w:r>
          </w:p>
        </w:tc>
      </w:tr>
      <w:tr w:rsidR="00DE448C" w14:paraId="44CECF45" w14:textId="77777777">
        <w:tc>
          <w:tcPr>
            <w:tcW w:w="2405" w:type="dxa"/>
            <w:vAlign w:val="center"/>
          </w:tcPr>
          <w:p w14:paraId="57992738" w14:textId="77777777" w:rsidR="00DE448C" w:rsidRDefault="00000000">
            <w:pPr>
              <w:jc w:val="center"/>
              <w:rPr>
                <w:b/>
                <w:bCs/>
                <w:szCs w:val="24"/>
              </w:rPr>
            </w:pPr>
            <w:r>
              <w:rPr>
                <w:rFonts w:hint="eastAsia"/>
                <w:b/>
                <w:bCs/>
                <w:szCs w:val="24"/>
              </w:rPr>
              <w:t>参与单位名称</w:t>
            </w:r>
          </w:p>
        </w:tc>
        <w:tc>
          <w:tcPr>
            <w:tcW w:w="5891" w:type="dxa"/>
            <w:vAlign w:val="center"/>
          </w:tcPr>
          <w:p w14:paraId="29826271" w14:textId="77777777" w:rsidR="00DE448C" w:rsidRDefault="00DE448C">
            <w:pPr>
              <w:jc w:val="center"/>
              <w:rPr>
                <w:szCs w:val="24"/>
              </w:rPr>
            </w:pPr>
          </w:p>
          <w:p w14:paraId="0A074D64" w14:textId="77777777" w:rsidR="00DE448C" w:rsidRDefault="00000000">
            <w:pPr>
              <w:rPr>
                <w:szCs w:val="24"/>
              </w:rPr>
            </w:pPr>
            <w:r>
              <w:rPr>
                <w:rFonts w:hint="eastAsia"/>
                <w:szCs w:val="24"/>
              </w:rPr>
              <w:t>前海开源基金、兴业证券</w:t>
            </w:r>
          </w:p>
          <w:p w14:paraId="55309B9E" w14:textId="77777777" w:rsidR="00DE448C" w:rsidRDefault="00DE448C">
            <w:pPr>
              <w:rPr>
                <w:szCs w:val="24"/>
              </w:rPr>
            </w:pPr>
          </w:p>
        </w:tc>
      </w:tr>
      <w:tr w:rsidR="00DE448C" w14:paraId="437CC92E" w14:textId="77777777">
        <w:tc>
          <w:tcPr>
            <w:tcW w:w="2405" w:type="dxa"/>
            <w:vAlign w:val="center"/>
          </w:tcPr>
          <w:p w14:paraId="4CF25FDC" w14:textId="77777777" w:rsidR="00DE448C" w:rsidRDefault="00000000">
            <w:pPr>
              <w:jc w:val="center"/>
              <w:rPr>
                <w:b/>
                <w:bCs/>
                <w:szCs w:val="24"/>
              </w:rPr>
            </w:pPr>
            <w:r>
              <w:rPr>
                <w:rFonts w:hint="eastAsia"/>
                <w:b/>
                <w:bCs/>
                <w:szCs w:val="24"/>
              </w:rPr>
              <w:t>时间</w:t>
            </w:r>
          </w:p>
        </w:tc>
        <w:tc>
          <w:tcPr>
            <w:tcW w:w="5891" w:type="dxa"/>
            <w:vAlign w:val="center"/>
          </w:tcPr>
          <w:p w14:paraId="095453F1" w14:textId="77777777" w:rsidR="00DE448C" w:rsidRDefault="00DE448C">
            <w:pPr>
              <w:jc w:val="left"/>
              <w:rPr>
                <w:szCs w:val="24"/>
              </w:rPr>
            </w:pPr>
          </w:p>
          <w:p w14:paraId="0324EFF0" w14:textId="77777777" w:rsidR="00DE448C" w:rsidRDefault="00000000">
            <w:pPr>
              <w:jc w:val="left"/>
              <w:rPr>
                <w:szCs w:val="24"/>
              </w:rPr>
            </w:pPr>
            <w:r>
              <w:rPr>
                <w:rFonts w:hint="eastAsia"/>
                <w:szCs w:val="24"/>
              </w:rPr>
              <w:t>2025</w:t>
            </w:r>
            <w:r>
              <w:rPr>
                <w:rFonts w:hint="eastAsia"/>
                <w:szCs w:val="24"/>
              </w:rPr>
              <w:t>年</w:t>
            </w:r>
            <w:r>
              <w:rPr>
                <w:rFonts w:hint="eastAsia"/>
                <w:szCs w:val="24"/>
              </w:rPr>
              <w:t>4</w:t>
            </w:r>
            <w:r>
              <w:rPr>
                <w:rFonts w:hint="eastAsia"/>
                <w:szCs w:val="24"/>
              </w:rPr>
              <w:t>月</w:t>
            </w:r>
            <w:r>
              <w:rPr>
                <w:rFonts w:hint="eastAsia"/>
                <w:szCs w:val="24"/>
              </w:rPr>
              <w:t>29</w:t>
            </w:r>
            <w:r>
              <w:rPr>
                <w:rFonts w:hint="eastAsia"/>
                <w:szCs w:val="24"/>
              </w:rPr>
              <w:t>日</w:t>
            </w:r>
          </w:p>
          <w:p w14:paraId="3B15842F" w14:textId="77777777" w:rsidR="00DE448C" w:rsidRDefault="00DE448C">
            <w:pPr>
              <w:rPr>
                <w:szCs w:val="24"/>
              </w:rPr>
            </w:pPr>
          </w:p>
        </w:tc>
      </w:tr>
      <w:tr w:rsidR="00DE448C" w14:paraId="6F4AE182" w14:textId="77777777">
        <w:tc>
          <w:tcPr>
            <w:tcW w:w="2405" w:type="dxa"/>
            <w:vAlign w:val="center"/>
          </w:tcPr>
          <w:p w14:paraId="253ECCD8" w14:textId="77777777" w:rsidR="00DE448C" w:rsidRDefault="00000000">
            <w:pPr>
              <w:jc w:val="center"/>
              <w:rPr>
                <w:b/>
                <w:bCs/>
                <w:szCs w:val="24"/>
              </w:rPr>
            </w:pPr>
            <w:r>
              <w:rPr>
                <w:rFonts w:hint="eastAsia"/>
                <w:b/>
                <w:bCs/>
                <w:szCs w:val="24"/>
              </w:rPr>
              <w:t>地点</w:t>
            </w:r>
          </w:p>
        </w:tc>
        <w:tc>
          <w:tcPr>
            <w:tcW w:w="5891" w:type="dxa"/>
            <w:vAlign w:val="center"/>
          </w:tcPr>
          <w:p w14:paraId="754539DB" w14:textId="77777777" w:rsidR="00DE448C" w:rsidRDefault="00DE448C">
            <w:pPr>
              <w:jc w:val="center"/>
              <w:rPr>
                <w:szCs w:val="24"/>
              </w:rPr>
            </w:pPr>
          </w:p>
          <w:p w14:paraId="7BC97A05" w14:textId="77777777" w:rsidR="00DE448C" w:rsidRDefault="00000000">
            <w:pPr>
              <w:rPr>
                <w:szCs w:val="24"/>
              </w:rPr>
            </w:pPr>
            <w:r>
              <w:rPr>
                <w:rFonts w:hint="eastAsia"/>
                <w:szCs w:val="24"/>
              </w:rPr>
              <w:t>公司会议室</w:t>
            </w:r>
          </w:p>
          <w:p w14:paraId="7B5B0E92" w14:textId="77777777" w:rsidR="00DE448C" w:rsidRDefault="00DE448C">
            <w:pPr>
              <w:jc w:val="center"/>
              <w:rPr>
                <w:szCs w:val="24"/>
              </w:rPr>
            </w:pPr>
          </w:p>
        </w:tc>
      </w:tr>
      <w:tr w:rsidR="00DE448C" w14:paraId="2FC5DABB" w14:textId="77777777">
        <w:tc>
          <w:tcPr>
            <w:tcW w:w="2405" w:type="dxa"/>
            <w:vAlign w:val="center"/>
          </w:tcPr>
          <w:p w14:paraId="26BA3CC7" w14:textId="77777777" w:rsidR="00DE448C" w:rsidRDefault="00000000">
            <w:pPr>
              <w:jc w:val="center"/>
              <w:rPr>
                <w:b/>
                <w:bCs/>
                <w:szCs w:val="24"/>
              </w:rPr>
            </w:pPr>
            <w:r>
              <w:rPr>
                <w:rFonts w:hint="eastAsia"/>
                <w:b/>
                <w:bCs/>
                <w:szCs w:val="24"/>
              </w:rPr>
              <w:t>接待人员</w:t>
            </w:r>
          </w:p>
        </w:tc>
        <w:tc>
          <w:tcPr>
            <w:tcW w:w="5891" w:type="dxa"/>
          </w:tcPr>
          <w:p w14:paraId="51BA5E35" w14:textId="77777777" w:rsidR="00DE448C" w:rsidRDefault="00DE448C">
            <w:pPr>
              <w:rPr>
                <w:szCs w:val="24"/>
              </w:rPr>
            </w:pPr>
          </w:p>
          <w:p w14:paraId="75BCEEC4" w14:textId="77777777" w:rsidR="00DE448C" w:rsidRDefault="00000000">
            <w:pPr>
              <w:rPr>
                <w:szCs w:val="24"/>
              </w:rPr>
            </w:pPr>
            <w:r>
              <w:rPr>
                <w:rFonts w:hint="eastAsia"/>
                <w:szCs w:val="24"/>
              </w:rPr>
              <w:t>董事会秘书兼财务总监</w:t>
            </w:r>
            <w:r>
              <w:rPr>
                <w:rFonts w:hint="eastAsia"/>
                <w:szCs w:val="24"/>
              </w:rPr>
              <w:t xml:space="preserve"> </w:t>
            </w:r>
            <w:r>
              <w:rPr>
                <w:rFonts w:hint="eastAsia"/>
                <w:szCs w:val="24"/>
              </w:rPr>
              <w:t>白雪</w:t>
            </w:r>
          </w:p>
          <w:p w14:paraId="6C20DB66" w14:textId="77777777" w:rsidR="00DE448C" w:rsidRDefault="00000000">
            <w:pPr>
              <w:rPr>
                <w:szCs w:val="24"/>
              </w:rPr>
            </w:pPr>
            <w:r>
              <w:rPr>
                <w:rFonts w:hint="eastAsia"/>
                <w:szCs w:val="24"/>
              </w:rPr>
              <w:t>证券事务经理</w:t>
            </w:r>
            <w:r>
              <w:rPr>
                <w:rFonts w:hint="eastAsia"/>
                <w:szCs w:val="24"/>
              </w:rPr>
              <w:t xml:space="preserve"> </w:t>
            </w:r>
            <w:r>
              <w:rPr>
                <w:rFonts w:hint="eastAsia"/>
                <w:szCs w:val="24"/>
              </w:rPr>
              <w:t>李政阳</w:t>
            </w:r>
          </w:p>
          <w:p w14:paraId="438DBE2F" w14:textId="77777777" w:rsidR="00DE448C" w:rsidRDefault="00DE448C">
            <w:pPr>
              <w:jc w:val="center"/>
              <w:rPr>
                <w:szCs w:val="24"/>
              </w:rPr>
            </w:pPr>
          </w:p>
        </w:tc>
      </w:tr>
      <w:tr w:rsidR="00DE448C" w14:paraId="3E3838C5" w14:textId="77777777">
        <w:tc>
          <w:tcPr>
            <w:tcW w:w="2405" w:type="dxa"/>
            <w:vAlign w:val="center"/>
          </w:tcPr>
          <w:p w14:paraId="5465009D" w14:textId="77777777" w:rsidR="00DE448C" w:rsidRDefault="00000000">
            <w:pPr>
              <w:jc w:val="center"/>
              <w:rPr>
                <w:b/>
                <w:bCs/>
                <w:szCs w:val="24"/>
              </w:rPr>
            </w:pPr>
            <w:r>
              <w:rPr>
                <w:rFonts w:hint="eastAsia"/>
                <w:b/>
                <w:bCs/>
                <w:szCs w:val="24"/>
              </w:rPr>
              <w:t>投资者关系活动主要内容介绍</w:t>
            </w:r>
          </w:p>
        </w:tc>
        <w:tc>
          <w:tcPr>
            <w:tcW w:w="5891" w:type="dxa"/>
          </w:tcPr>
          <w:p w14:paraId="41D56838" w14:textId="77777777" w:rsidR="00DE448C" w:rsidRDefault="00DE448C">
            <w:pPr>
              <w:rPr>
                <w:szCs w:val="24"/>
              </w:rPr>
            </w:pPr>
          </w:p>
          <w:p w14:paraId="330BF660" w14:textId="77777777" w:rsidR="00DE448C" w:rsidRDefault="00000000">
            <w:pPr>
              <w:rPr>
                <w:b/>
                <w:bCs/>
                <w:szCs w:val="24"/>
                <w:u w:val="single"/>
              </w:rPr>
            </w:pPr>
            <w:r>
              <w:rPr>
                <w:rFonts w:hint="eastAsia"/>
                <w:b/>
                <w:bCs/>
                <w:szCs w:val="24"/>
                <w:u w:val="single"/>
              </w:rPr>
              <w:t>问题一：公司耗材化战略去年及一季度进展如何？</w:t>
            </w:r>
          </w:p>
          <w:p w14:paraId="6CF78608" w14:textId="135ECD5A" w:rsidR="00DE448C" w:rsidRDefault="00000000">
            <w:pPr>
              <w:ind w:firstLineChars="200" w:firstLine="480"/>
              <w:rPr>
                <w:szCs w:val="24"/>
              </w:rPr>
            </w:pPr>
            <w:r>
              <w:rPr>
                <w:rFonts w:hint="eastAsia"/>
                <w:szCs w:val="24"/>
              </w:rPr>
              <w:t>随着公司微创外科医疗器械产品的快速丰富，产品品类、质量、功能性能、临床适用性、成本价格等方面的竞争力不断提升，以及微创手术及耗材一次性化使用习惯的进一步普及，同时公司产品进口替代的效应进一步得到凸显，</w:t>
            </w:r>
            <w:r>
              <w:rPr>
                <w:rFonts w:hint="eastAsia"/>
                <w:szCs w:val="24"/>
              </w:rPr>
              <w:t>2024</w:t>
            </w:r>
            <w:r>
              <w:rPr>
                <w:rFonts w:hint="eastAsia"/>
                <w:szCs w:val="24"/>
              </w:rPr>
              <w:t>年及</w:t>
            </w:r>
            <w:r>
              <w:rPr>
                <w:rFonts w:hint="eastAsia"/>
                <w:szCs w:val="24"/>
              </w:rPr>
              <w:t>2025</w:t>
            </w:r>
            <w:r>
              <w:rPr>
                <w:rFonts w:hint="eastAsia"/>
                <w:szCs w:val="24"/>
              </w:rPr>
              <w:t>年一季度公司耗材化战略得到进一步加深，手术动力耗材实现稳步增长，能量手术设备耗材也有明显增长；</w:t>
            </w:r>
            <w:r>
              <w:rPr>
                <w:rFonts w:hint="eastAsia"/>
                <w:szCs w:val="24"/>
              </w:rPr>
              <w:t>2024</w:t>
            </w:r>
            <w:r>
              <w:rPr>
                <w:rFonts w:hint="eastAsia"/>
                <w:szCs w:val="24"/>
              </w:rPr>
              <w:t>年度公司手术动力装置领域耗材收入占比</w:t>
            </w:r>
            <w:r w:rsidR="000E69B0">
              <w:rPr>
                <w:rFonts w:hint="eastAsia"/>
                <w:szCs w:val="24"/>
              </w:rPr>
              <w:t>已</w:t>
            </w:r>
            <w:r>
              <w:rPr>
                <w:rFonts w:hint="eastAsia"/>
                <w:szCs w:val="24"/>
              </w:rPr>
              <w:t>超过</w:t>
            </w:r>
            <w:r>
              <w:rPr>
                <w:rFonts w:hint="eastAsia"/>
                <w:szCs w:val="24"/>
              </w:rPr>
              <w:t>80%</w:t>
            </w:r>
            <w:r>
              <w:rPr>
                <w:rFonts w:hint="eastAsia"/>
                <w:szCs w:val="24"/>
              </w:rPr>
              <w:t>。</w:t>
            </w:r>
          </w:p>
          <w:p w14:paraId="6EDDD3D8" w14:textId="1BD103FD" w:rsidR="00DE448C" w:rsidRDefault="00000000">
            <w:pPr>
              <w:ind w:firstLineChars="200" w:firstLine="480"/>
              <w:rPr>
                <w:szCs w:val="24"/>
              </w:rPr>
            </w:pPr>
            <w:r>
              <w:rPr>
                <w:rFonts w:hint="eastAsia"/>
                <w:szCs w:val="24"/>
              </w:rPr>
              <w:t>具体来看，</w:t>
            </w:r>
            <w:r>
              <w:rPr>
                <w:rFonts w:hint="eastAsia"/>
                <w:szCs w:val="24"/>
              </w:rPr>
              <w:t>2025</w:t>
            </w:r>
            <w:r>
              <w:rPr>
                <w:rFonts w:hint="eastAsia"/>
                <w:szCs w:val="24"/>
              </w:rPr>
              <w:t>年一季度公司耳鼻喉科及骨科类耗材增速较快</w:t>
            </w:r>
            <w:r w:rsidR="000E69B0">
              <w:rPr>
                <w:rFonts w:hint="eastAsia"/>
                <w:szCs w:val="24"/>
              </w:rPr>
              <w:t>，</w:t>
            </w:r>
            <w:r>
              <w:rPr>
                <w:rFonts w:hint="eastAsia"/>
                <w:szCs w:val="24"/>
              </w:rPr>
              <w:t>耳鼻喉、脊柱、关节与创伤相关耗材产品收入同比增长均超</w:t>
            </w:r>
            <w:r w:rsidR="00310E3C">
              <w:rPr>
                <w:rFonts w:hint="eastAsia"/>
                <w:szCs w:val="24"/>
              </w:rPr>
              <w:t>过</w:t>
            </w:r>
            <w:r>
              <w:rPr>
                <w:rFonts w:hint="eastAsia"/>
                <w:szCs w:val="24"/>
              </w:rPr>
              <w:t>50%</w:t>
            </w:r>
            <w:r>
              <w:rPr>
                <w:rFonts w:hint="eastAsia"/>
                <w:szCs w:val="24"/>
              </w:rPr>
              <w:t>；乳房旋切针因受带量采购影响，销售数量仍保持快速增长，但销售金额下滑较多。</w:t>
            </w:r>
          </w:p>
          <w:p w14:paraId="4F14F7E2" w14:textId="2871FD65" w:rsidR="00DE448C" w:rsidRDefault="00000000">
            <w:pPr>
              <w:ind w:firstLineChars="200" w:firstLine="480"/>
              <w:rPr>
                <w:szCs w:val="24"/>
              </w:rPr>
            </w:pPr>
            <w:r>
              <w:rPr>
                <w:rFonts w:hint="eastAsia"/>
                <w:szCs w:val="24"/>
              </w:rPr>
              <w:t>此外，公司</w:t>
            </w:r>
            <w:r w:rsidR="000E69B0">
              <w:rPr>
                <w:rFonts w:hint="eastAsia"/>
                <w:szCs w:val="24"/>
              </w:rPr>
              <w:t>2024</w:t>
            </w:r>
            <w:r w:rsidR="000E69B0">
              <w:rPr>
                <w:rFonts w:hint="eastAsia"/>
                <w:szCs w:val="24"/>
              </w:rPr>
              <w:t>年度</w:t>
            </w:r>
            <w:r>
              <w:rPr>
                <w:rFonts w:hint="eastAsia"/>
                <w:szCs w:val="24"/>
              </w:rPr>
              <w:t>能量手术设备超声骨刀耗材、等离子设备耗材、高频手术设备耗材均增长明显，其中公司等离子产品耗材实现了收入零的突破。</w:t>
            </w:r>
          </w:p>
          <w:p w14:paraId="72768106" w14:textId="77777777" w:rsidR="00DE448C" w:rsidRDefault="00DE448C">
            <w:pPr>
              <w:rPr>
                <w:b/>
                <w:bCs/>
                <w:szCs w:val="24"/>
                <w:u w:val="single"/>
              </w:rPr>
            </w:pPr>
          </w:p>
          <w:p w14:paraId="4740C0E9" w14:textId="77777777" w:rsidR="00DE448C" w:rsidRDefault="00000000">
            <w:pPr>
              <w:rPr>
                <w:b/>
                <w:bCs/>
                <w:szCs w:val="24"/>
                <w:u w:val="single"/>
              </w:rPr>
            </w:pPr>
            <w:r>
              <w:rPr>
                <w:rFonts w:hint="eastAsia"/>
                <w:b/>
                <w:bCs/>
                <w:szCs w:val="24"/>
                <w:u w:val="single"/>
              </w:rPr>
              <w:t>问题二：</w:t>
            </w:r>
            <w:bookmarkStart w:id="0" w:name="OLE_LINK5"/>
            <w:r>
              <w:rPr>
                <w:rFonts w:hint="eastAsia"/>
                <w:b/>
                <w:bCs/>
                <w:szCs w:val="24"/>
                <w:u w:val="single"/>
              </w:rPr>
              <w:t>公司</w:t>
            </w:r>
            <w:bookmarkEnd w:id="0"/>
            <w:r>
              <w:rPr>
                <w:rFonts w:hint="eastAsia"/>
                <w:b/>
                <w:bCs/>
                <w:szCs w:val="24"/>
                <w:u w:val="single"/>
              </w:rPr>
              <w:t>如何看待本轮乳房旋切针带量采购中的机</w:t>
            </w:r>
            <w:r>
              <w:rPr>
                <w:rFonts w:hint="eastAsia"/>
                <w:b/>
                <w:bCs/>
                <w:szCs w:val="24"/>
                <w:u w:val="single"/>
              </w:rPr>
              <w:lastRenderedPageBreak/>
              <w:t>会，当前进展到了什么阶段？</w:t>
            </w:r>
          </w:p>
          <w:p w14:paraId="1A357CB2" w14:textId="77777777" w:rsidR="00DE448C" w:rsidRDefault="00000000">
            <w:pPr>
              <w:ind w:firstLineChars="200" w:firstLine="480"/>
              <w:rPr>
                <w:szCs w:val="24"/>
              </w:rPr>
            </w:pPr>
            <w:r>
              <w:rPr>
                <w:rFonts w:hint="eastAsia"/>
                <w:szCs w:val="24"/>
              </w:rPr>
              <w:t>带量采购既是挑战，也是机遇，公司对带量采购始终保持“拥抱”态度。</w:t>
            </w:r>
          </w:p>
          <w:p w14:paraId="10FD682C" w14:textId="4298A228" w:rsidR="00DE448C" w:rsidRDefault="00000000">
            <w:pPr>
              <w:ind w:firstLineChars="200" w:firstLine="480"/>
              <w:rPr>
                <w:szCs w:val="24"/>
              </w:rPr>
            </w:pPr>
            <w:r>
              <w:rPr>
                <w:rFonts w:hint="eastAsia"/>
                <w:szCs w:val="24"/>
              </w:rPr>
              <w:t>当前乳房旋切针的市场份额主要被麦默通、安珂等外资厂商、公司及少数国内厂商占据，带量采购实施后，成本敏感度增加，国产替代的份额有望得到进一步提升。</w:t>
            </w:r>
          </w:p>
          <w:p w14:paraId="6492199A" w14:textId="77777777" w:rsidR="00DE448C" w:rsidRDefault="00000000">
            <w:pPr>
              <w:ind w:firstLineChars="200" w:firstLine="480"/>
              <w:rPr>
                <w:szCs w:val="24"/>
              </w:rPr>
            </w:pPr>
            <w:r>
              <w:rPr>
                <w:rFonts w:hint="eastAsia"/>
                <w:szCs w:val="24"/>
              </w:rPr>
              <w:t>截至</w:t>
            </w:r>
            <w:r>
              <w:rPr>
                <w:rFonts w:hint="eastAsia"/>
                <w:szCs w:val="24"/>
              </w:rPr>
              <w:t>2025</w:t>
            </w:r>
            <w:r>
              <w:rPr>
                <w:rFonts w:hint="eastAsia"/>
                <w:szCs w:val="24"/>
              </w:rPr>
              <w:t>年</w:t>
            </w:r>
            <w:r>
              <w:rPr>
                <w:rFonts w:hint="eastAsia"/>
                <w:szCs w:val="24"/>
              </w:rPr>
              <w:t>4</w:t>
            </w:r>
            <w:r>
              <w:rPr>
                <w:rFonts w:hint="eastAsia"/>
                <w:szCs w:val="24"/>
              </w:rPr>
              <w:t>月底，全国已有</w:t>
            </w:r>
            <w:r>
              <w:rPr>
                <w:rFonts w:hint="eastAsia"/>
                <w:szCs w:val="24"/>
              </w:rPr>
              <w:t>7</w:t>
            </w:r>
            <w:r>
              <w:rPr>
                <w:rFonts w:hint="eastAsia"/>
                <w:szCs w:val="24"/>
              </w:rPr>
              <w:t>个省份开始正式实施乳房旋切针带量采购政策。对此，公司仍将保持积极的销售政策，希望通过继续与优质经销商合作，加大市场推广、学术会议、临床培训等投入，提升供货保障和服务支持能力，深化市场认可，夯实了品牌形象，希望抓住院端渠道拓展的新准入机会，中长期实现市场份额的进一步扩展。</w:t>
            </w:r>
          </w:p>
          <w:p w14:paraId="53ED1CEF" w14:textId="77777777" w:rsidR="00DE448C" w:rsidRDefault="00DE448C">
            <w:pPr>
              <w:ind w:firstLineChars="200" w:firstLine="480"/>
              <w:rPr>
                <w:szCs w:val="24"/>
              </w:rPr>
            </w:pPr>
          </w:p>
          <w:p w14:paraId="4A7BDD8E" w14:textId="77777777" w:rsidR="00DE448C" w:rsidRDefault="00000000">
            <w:pPr>
              <w:rPr>
                <w:b/>
                <w:bCs/>
                <w:szCs w:val="24"/>
                <w:u w:val="single"/>
              </w:rPr>
            </w:pPr>
            <w:r>
              <w:rPr>
                <w:rFonts w:hint="eastAsia"/>
                <w:b/>
                <w:bCs/>
                <w:szCs w:val="24"/>
                <w:u w:val="single"/>
              </w:rPr>
              <w:t>问题三：公司能量手术设备及内窥镜系统推广情况？</w:t>
            </w:r>
          </w:p>
          <w:p w14:paraId="0CEF7D89" w14:textId="77777777" w:rsidR="00DE448C" w:rsidRDefault="00000000">
            <w:pPr>
              <w:ind w:firstLineChars="200" w:firstLine="480"/>
              <w:rPr>
                <w:szCs w:val="24"/>
              </w:rPr>
            </w:pPr>
            <w:r>
              <w:rPr>
                <w:rFonts w:hint="eastAsia"/>
                <w:szCs w:val="24"/>
              </w:rPr>
              <w:t>公司</w:t>
            </w:r>
            <w:r>
              <w:rPr>
                <w:szCs w:val="24"/>
              </w:rPr>
              <w:t>依托于手术动力装置</w:t>
            </w:r>
            <w:r>
              <w:rPr>
                <w:rFonts w:hint="eastAsia"/>
                <w:szCs w:val="24"/>
              </w:rPr>
              <w:t>领域</w:t>
            </w:r>
            <w:r>
              <w:rPr>
                <w:rFonts w:hint="eastAsia"/>
                <w:szCs w:val="24"/>
              </w:rPr>
              <w:t>20</w:t>
            </w:r>
            <w:r>
              <w:rPr>
                <w:rFonts w:hint="eastAsia"/>
                <w:szCs w:val="24"/>
              </w:rPr>
              <w:t>余年</w:t>
            </w:r>
            <w:r>
              <w:rPr>
                <w:szCs w:val="24"/>
              </w:rPr>
              <w:t>的营销渠道网络和临床品牌优势</w:t>
            </w:r>
            <w:r>
              <w:rPr>
                <w:rFonts w:hint="eastAsia"/>
                <w:szCs w:val="24"/>
              </w:rPr>
              <w:t>，在能量手术设备及内窥镜系统等产品方面实施了以下推广措施：</w:t>
            </w:r>
          </w:p>
          <w:p w14:paraId="5AAFA84A" w14:textId="77777777" w:rsidR="00DE448C" w:rsidRDefault="00000000">
            <w:pPr>
              <w:ind w:firstLineChars="200" w:firstLine="480"/>
              <w:rPr>
                <w:szCs w:val="24"/>
              </w:rPr>
            </w:pPr>
            <w:r>
              <w:rPr>
                <w:rFonts w:hint="eastAsia"/>
                <w:szCs w:val="24"/>
              </w:rPr>
              <w:t>1</w:t>
            </w:r>
            <w:r>
              <w:rPr>
                <w:rFonts w:hint="eastAsia"/>
                <w:szCs w:val="24"/>
              </w:rPr>
              <w:t>、公司</w:t>
            </w:r>
            <w:r>
              <w:rPr>
                <w:szCs w:val="24"/>
              </w:rPr>
              <w:t>进一步优化渠道布局，与优质渠道开展合作，持续加大内窥镜系统及能量手术设备的市场推广力度；</w:t>
            </w:r>
          </w:p>
          <w:p w14:paraId="1FD80F94" w14:textId="77777777" w:rsidR="00DE448C" w:rsidRDefault="00000000">
            <w:pPr>
              <w:ind w:firstLineChars="200" w:firstLine="480"/>
              <w:rPr>
                <w:szCs w:val="24"/>
              </w:rPr>
            </w:pPr>
            <w:r>
              <w:rPr>
                <w:rFonts w:hint="eastAsia"/>
                <w:szCs w:val="24"/>
              </w:rPr>
              <w:t>2</w:t>
            </w:r>
            <w:r>
              <w:rPr>
                <w:rFonts w:hint="eastAsia"/>
                <w:szCs w:val="24"/>
              </w:rPr>
              <w:t>、</w:t>
            </w:r>
            <w:r>
              <w:rPr>
                <w:szCs w:val="24"/>
              </w:rPr>
              <w:t>积极组织参与各类展会、学术会议、培训班、临床试用等活动，与临床合作推动超声骨刀在神经外科的普及使用；</w:t>
            </w:r>
          </w:p>
          <w:p w14:paraId="3EDA5B6F" w14:textId="77777777" w:rsidR="00DE448C" w:rsidRDefault="00000000">
            <w:pPr>
              <w:ind w:firstLineChars="200" w:firstLine="480"/>
              <w:rPr>
                <w:szCs w:val="24"/>
              </w:rPr>
            </w:pPr>
            <w:r>
              <w:rPr>
                <w:rFonts w:hint="eastAsia"/>
                <w:szCs w:val="24"/>
              </w:rPr>
              <w:t>3</w:t>
            </w:r>
            <w:r>
              <w:rPr>
                <w:rFonts w:hint="eastAsia"/>
                <w:szCs w:val="24"/>
              </w:rPr>
              <w:t>、</w:t>
            </w:r>
            <w:r>
              <w:rPr>
                <w:szCs w:val="24"/>
              </w:rPr>
              <w:t>推动等离子产品在耳鼻喉科的全面进院</w:t>
            </w:r>
            <w:r>
              <w:rPr>
                <w:rFonts w:hint="eastAsia"/>
                <w:szCs w:val="24"/>
              </w:rPr>
              <w:t>，</w:t>
            </w:r>
            <w:r>
              <w:rPr>
                <w:szCs w:val="24"/>
              </w:rPr>
              <w:t>推动手术动力装置、内窥镜系统在耳内镜手术中的临床适用性提升；</w:t>
            </w:r>
          </w:p>
          <w:p w14:paraId="59F293C7" w14:textId="77777777" w:rsidR="00DE448C" w:rsidRDefault="00000000">
            <w:pPr>
              <w:ind w:firstLineChars="200" w:firstLine="480"/>
              <w:rPr>
                <w:szCs w:val="24"/>
              </w:rPr>
            </w:pPr>
            <w:r>
              <w:rPr>
                <w:rFonts w:hint="eastAsia"/>
                <w:szCs w:val="24"/>
              </w:rPr>
              <w:t>4</w:t>
            </w:r>
            <w:r>
              <w:rPr>
                <w:rFonts w:hint="eastAsia"/>
                <w:szCs w:val="24"/>
              </w:rPr>
              <w:t>、</w:t>
            </w:r>
            <w:r>
              <w:rPr>
                <w:szCs w:val="24"/>
              </w:rPr>
              <w:t>推动手术动力装置、内窥镜系统、超声骨刀在脊柱</w:t>
            </w:r>
            <w:bookmarkStart w:id="1" w:name="OLE_LINK10"/>
            <w:r>
              <w:rPr>
                <w:szCs w:val="24"/>
              </w:rPr>
              <w:t>UBE</w:t>
            </w:r>
            <w:bookmarkEnd w:id="1"/>
            <w:r>
              <w:rPr>
                <w:szCs w:val="24"/>
              </w:rPr>
              <w:t>手术中的应用；</w:t>
            </w:r>
          </w:p>
          <w:p w14:paraId="4A1C2D0F" w14:textId="77777777" w:rsidR="00DE448C" w:rsidRDefault="00000000">
            <w:pPr>
              <w:ind w:firstLineChars="200" w:firstLine="480"/>
              <w:rPr>
                <w:szCs w:val="24"/>
              </w:rPr>
            </w:pPr>
            <w:r>
              <w:rPr>
                <w:rFonts w:hint="eastAsia"/>
                <w:szCs w:val="24"/>
              </w:rPr>
              <w:t>5</w:t>
            </w:r>
            <w:r>
              <w:rPr>
                <w:rFonts w:hint="eastAsia"/>
                <w:szCs w:val="24"/>
              </w:rPr>
              <w:t>、</w:t>
            </w:r>
            <w:r>
              <w:rPr>
                <w:szCs w:val="24"/>
              </w:rPr>
              <w:t>推动内窥镜系统和超声刀产品在普外科的试用体验。</w:t>
            </w:r>
          </w:p>
          <w:p w14:paraId="35F96447" w14:textId="77777777" w:rsidR="00DE448C" w:rsidRDefault="00000000">
            <w:pPr>
              <w:ind w:firstLineChars="200" w:firstLine="480"/>
              <w:rPr>
                <w:szCs w:val="24"/>
              </w:rPr>
            </w:pPr>
            <w:r>
              <w:rPr>
                <w:rFonts w:hint="eastAsia"/>
                <w:szCs w:val="24"/>
              </w:rPr>
              <w:t>截至目前，能量手术设备耗材端增长明显，内窥镜系统也已在安徽医科大学第一附属医院、昆明医科大学第一附属医院等多家医院装机使用。</w:t>
            </w:r>
          </w:p>
          <w:p w14:paraId="3B88CABD" w14:textId="77777777" w:rsidR="00DE448C" w:rsidRDefault="00DE448C">
            <w:pPr>
              <w:rPr>
                <w:szCs w:val="24"/>
              </w:rPr>
            </w:pPr>
          </w:p>
          <w:p w14:paraId="09D6916D" w14:textId="77777777" w:rsidR="00DE448C" w:rsidRDefault="00000000">
            <w:pPr>
              <w:rPr>
                <w:b/>
                <w:bCs/>
                <w:szCs w:val="24"/>
                <w:u w:val="single"/>
              </w:rPr>
            </w:pPr>
            <w:r>
              <w:rPr>
                <w:rFonts w:hint="eastAsia"/>
                <w:b/>
                <w:bCs/>
                <w:szCs w:val="24"/>
                <w:u w:val="single"/>
              </w:rPr>
              <w:t>问题四：公司今年分红是怎么考虑的？</w:t>
            </w:r>
          </w:p>
          <w:p w14:paraId="0795B122" w14:textId="77777777" w:rsidR="00DE448C" w:rsidRDefault="00000000">
            <w:pPr>
              <w:ind w:firstLineChars="200" w:firstLine="480"/>
              <w:rPr>
                <w:szCs w:val="24"/>
              </w:rPr>
            </w:pPr>
            <w:r>
              <w:rPr>
                <w:rFonts w:hint="eastAsia"/>
                <w:szCs w:val="24"/>
              </w:rPr>
              <w:t>近年来，公司主要通过聚焦主业、实控人增持、回购并注销股份、持续稳定的现金分红、加大分红比例等多种方式进行市值管理，以实际行动积极回报投资者，提振投资者信心。</w:t>
            </w:r>
          </w:p>
          <w:p w14:paraId="14B9111D" w14:textId="77777777" w:rsidR="00DE448C" w:rsidRDefault="00000000">
            <w:pPr>
              <w:ind w:firstLineChars="200" w:firstLine="480"/>
              <w:rPr>
                <w:szCs w:val="24"/>
              </w:rPr>
            </w:pPr>
            <w:r>
              <w:rPr>
                <w:rFonts w:hint="eastAsia"/>
                <w:szCs w:val="24"/>
              </w:rPr>
              <w:t>在现金分红方面，公司坚持稳健、可持续的分红策略，兼顾现金分红的连续性和稳定性，根据公司的盈利情况、现金流状况以及未来发展规划等因素，制定合理</w:t>
            </w:r>
            <w:r>
              <w:rPr>
                <w:rFonts w:hint="eastAsia"/>
                <w:szCs w:val="24"/>
              </w:rPr>
              <w:lastRenderedPageBreak/>
              <w:t>的利润分配方案。</w:t>
            </w:r>
            <w:r>
              <w:rPr>
                <w:rFonts w:hint="eastAsia"/>
                <w:szCs w:val="24"/>
              </w:rPr>
              <w:t>2024</w:t>
            </w:r>
            <w:r>
              <w:rPr>
                <w:rFonts w:hint="eastAsia"/>
                <w:szCs w:val="24"/>
              </w:rPr>
              <w:t>年度，公司拟向全体股东每</w:t>
            </w:r>
            <w:r>
              <w:rPr>
                <w:rFonts w:hint="eastAsia"/>
                <w:szCs w:val="24"/>
              </w:rPr>
              <w:t>10</w:t>
            </w:r>
            <w:r>
              <w:rPr>
                <w:rFonts w:hint="eastAsia"/>
                <w:szCs w:val="24"/>
              </w:rPr>
              <w:t>股派发现金红利</w:t>
            </w:r>
            <w:r>
              <w:rPr>
                <w:rFonts w:hint="eastAsia"/>
                <w:szCs w:val="24"/>
              </w:rPr>
              <w:t>10.00</w:t>
            </w:r>
            <w:r>
              <w:rPr>
                <w:rFonts w:hint="eastAsia"/>
                <w:szCs w:val="24"/>
              </w:rPr>
              <w:t>元（含税），按当前公司总股本扣减公司回购专用证券账户中的股份计算合计拟派发现金红利</w:t>
            </w:r>
            <w:r>
              <w:rPr>
                <w:rFonts w:hint="eastAsia"/>
                <w:szCs w:val="24"/>
              </w:rPr>
              <w:t>45,190,060.00</w:t>
            </w:r>
            <w:r>
              <w:rPr>
                <w:rFonts w:hint="eastAsia"/>
                <w:szCs w:val="24"/>
              </w:rPr>
              <w:t>元（含税），占</w:t>
            </w:r>
            <w:r>
              <w:rPr>
                <w:rFonts w:hint="eastAsia"/>
                <w:szCs w:val="24"/>
              </w:rPr>
              <w:t>2024</w:t>
            </w:r>
            <w:r>
              <w:rPr>
                <w:rFonts w:hint="eastAsia"/>
                <w:szCs w:val="24"/>
              </w:rPr>
              <w:t>年度归属于上市公司股东净利润的</w:t>
            </w:r>
            <w:r>
              <w:rPr>
                <w:rFonts w:hint="eastAsia"/>
                <w:szCs w:val="24"/>
              </w:rPr>
              <w:t>45.82%</w:t>
            </w:r>
            <w:r>
              <w:rPr>
                <w:rFonts w:hint="eastAsia"/>
                <w:szCs w:val="24"/>
              </w:rPr>
              <w:t>。</w:t>
            </w:r>
          </w:p>
          <w:p w14:paraId="1AD23C03" w14:textId="77777777" w:rsidR="00DE448C" w:rsidRDefault="00000000">
            <w:pPr>
              <w:ind w:firstLineChars="200" w:firstLine="480"/>
            </w:pPr>
            <w:r>
              <w:rPr>
                <w:rFonts w:hint="eastAsia"/>
                <w:szCs w:val="24"/>
              </w:rPr>
              <w:t>在股份回购方面，</w:t>
            </w:r>
            <w:r>
              <w:rPr>
                <w:rFonts w:hint="eastAsia"/>
                <w:szCs w:val="24"/>
              </w:rPr>
              <w:t>2023</w:t>
            </w:r>
            <w:r>
              <w:rPr>
                <w:rFonts w:hint="eastAsia"/>
                <w:szCs w:val="24"/>
              </w:rPr>
              <w:t>年底至今公司累计支付</w:t>
            </w:r>
            <w:r>
              <w:rPr>
                <w:rFonts w:hint="eastAsia"/>
                <w:szCs w:val="24"/>
              </w:rPr>
              <w:t>4.97</w:t>
            </w:r>
            <w:r>
              <w:rPr>
                <w:rFonts w:hint="eastAsia"/>
                <w:szCs w:val="24"/>
              </w:rPr>
              <w:t>亿元实施了三次回购方案，其中</w:t>
            </w:r>
            <w:r>
              <w:rPr>
                <w:rFonts w:hint="eastAsia"/>
                <w:szCs w:val="24"/>
              </w:rPr>
              <w:t>649.83</w:t>
            </w:r>
            <w:r>
              <w:rPr>
                <w:rFonts w:hint="eastAsia"/>
                <w:szCs w:val="24"/>
              </w:rPr>
              <w:t>万股已完成注销。</w:t>
            </w:r>
            <w:r>
              <w:rPr>
                <w:rFonts w:hint="eastAsia"/>
              </w:rPr>
              <w:t>公司</w:t>
            </w:r>
            <w:r>
              <w:rPr>
                <w:rFonts w:hint="eastAsia"/>
              </w:rPr>
              <w:t>2024</w:t>
            </w:r>
            <w:r>
              <w:rPr>
                <w:rFonts w:hint="eastAsia"/>
              </w:rPr>
              <w:t>年度现金分红和股份回购金额总计</w:t>
            </w:r>
            <w:r>
              <w:rPr>
                <w:rFonts w:hint="eastAsia"/>
              </w:rPr>
              <w:t>4.95</w:t>
            </w:r>
            <w:r>
              <w:rPr>
                <w:rFonts w:hint="eastAsia"/>
              </w:rPr>
              <w:t>亿元，占</w:t>
            </w:r>
            <w:r>
              <w:rPr>
                <w:rFonts w:hint="eastAsia"/>
              </w:rPr>
              <w:t>2024</w:t>
            </w:r>
            <w:r>
              <w:rPr>
                <w:rFonts w:hint="eastAsia"/>
              </w:rPr>
              <w:t>年度归属于上市公司股东净利润的</w:t>
            </w:r>
            <w:r>
              <w:rPr>
                <w:rFonts w:hint="eastAsia"/>
              </w:rPr>
              <w:t>501.81%</w:t>
            </w:r>
            <w:r>
              <w:rPr>
                <w:rFonts w:hint="eastAsia"/>
              </w:rPr>
              <w:t>，比例已经相当高。</w:t>
            </w:r>
          </w:p>
          <w:p w14:paraId="0E54F498" w14:textId="77777777" w:rsidR="00DE448C" w:rsidRDefault="00000000">
            <w:pPr>
              <w:ind w:firstLineChars="200" w:firstLine="480"/>
              <w:rPr>
                <w:szCs w:val="24"/>
              </w:rPr>
            </w:pPr>
            <w:r>
              <w:rPr>
                <w:rFonts w:hint="eastAsia"/>
                <w:szCs w:val="24"/>
              </w:rPr>
              <w:t>未来，公司将充分考虑所处行业特点、发展阶段、经营模式、盈利水平、偿债能力、资本需求等因素，兼顾业务持续健康发展与股东综合回报，更多关注长期价值。</w:t>
            </w:r>
          </w:p>
          <w:p w14:paraId="6C3812DA" w14:textId="77777777" w:rsidR="00DE448C" w:rsidRDefault="00DE448C">
            <w:pPr>
              <w:rPr>
                <w:szCs w:val="24"/>
              </w:rPr>
            </w:pPr>
          </w:p>
        </w:tc>
      </w:tr>
      <w:tr w:rsidR="00DE448C" w14:paraId="1356E629" w14:textId="77777777">
        <w:tc>
          <w:tcPr>
            <w:tcW w:w="2405" w:type="dxa"/>
          </w:tcPr>
          <w:p w14:paraId="0DE6B5E9" w14:textId="77777777" w:rsidR="00DE448C" w:rsidRDefault="00DE448C">
            <w:pPr>
              <w:jc w:val="center"/>
              <w:rPr>
                <w:b/>
                <w:bCs/>
                <w:szCs w:val="24"/>
              </w:rPr>
            </w:pPr>
          </w:p>
          <w:p w14:paraId="66DD650A" w14:textId="77777777" w:rsidR="00DE448C" w:rsidRDefault="00000000">
            <w:pPr>
              <w:jc w:val="center"/>
              <w:rPr>
                <w:b/>
                <w:bCs/>
                <w:szCs w:val="24"/>
              </w:rPr>
            </w:pPr>
            <w:r>
              <w:rPr>
                <w:rFonts w:hint="eastAsia"/>
                <w:b/>
                <w:bCs/>
                <w:szCs w:val="24"/>
              </w:rPr>
              <w:t>附件清单（如有）</w:t>
            </w:r>
          </w:p>
        </w:tc>
        <w:tc>
          <w:tcPr>
            <w:tcW w:w="5891" w:type="dxa"/>
          </w:tcPr>
          <w:p w14:paraId="567A0FB7" w14:textId="77777777" w:rsidR="00DE448C" w:rsidRDefault="00DE448C">
            <w:pPr>
              <w:jc w:val="center"/>
              <w:rPr>
                <w:szCs w:val="24"/>
              </w:rPr>
            </w:pPr>
          </w:p>
          <w:p w14:paraId="23B9CC94" w14:textId="77777777" w:rsidR="00DE448C" w:rsidRDefault="00000000">
            <w:pPr>
              <w:jc w:val="left"/>
              <w:rPr>
                <w:szCs w:val="24"/>
              </w:rPr>
            </w:pPr>
            <w:r>
              <w:rPr>
                <w:rFonts w:hint="eastAsia"/>
                <w:szCs w:val="24"/>
              </w:rPr>
              <w:t>无</w:t>
            </w:r>
          </w:p>
          <w:p w14:paraId="29EA0F3A" w14:textId="77777777" w:rsidR="00DE448C" w:rsidRDefault="00DE448C">
            <w:pPr>
              <w:jc w:val="center"/>
              <w:rPr>
                <w:szCs w:val="24"/>
              </w:rPr>
            </w:pPr>
          </w:p>
        </w:tc>
      </w:tr>
    </w:tbl>
    <w:p w14:paraId="07C86E51" w14:textId="77777777" w:rsidR="00DE448C" w:rsidRDefault="00DE448C">
      <w:pPr>
        <w:spacing w:line="360" w:lineRule="auto"/>
        <w:rPr>
          <w:szCs w:val="24"/>
        </w:rPr>
      </w:pPr>
    </w:p>
    <w:p w14:paraId="2F3CCE7A" w14:textId="77777777" w:rsidR="00DE448C" w:rsidRDefault="00DE448C">
      <w:pPr>
        <w:widowControl/>
        <w:jc w:val="left"/>
        <w:rPr>
          <w:szCs w:val="24"/>
        </w:rPr>
      </w:pPr>
    </w:p>
    <w:sectPr w:rsidR="00DE4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zNDBlYWJkZmNiMWQ1NWYyMWUxMTVjNjM2MDc3YjEifQ=="/>
    <w:docVar w:name="KSO_WPS_MARK_KEY" w:val="99b48d35-2832-430e-860c-e4b402000f1d"/>
  </w:docVars>
  <w:rsids>
    <w:rsidRoot w:val="00DC5E46"/>
    <w:rsid w:val="00004524"/>
    <w:rsid w:val="0003116F"/>
    <w:rsid w:val="00037DC5"/>
    <w:rsid w:val="0005194A"/>
    <w:rsid w:val="00064B1C"/>
    <w:rsid w:val="00067978"/>
    <w:rsid w:val="000844BF"/>
    <w:rsid w:val="000973DD"/>
    <w:rsid w:val="000974A6"/>
    <w:rsid w:val="000A3EFF"/>
    <w:rsid w:val="000B61FC"/>
    <w:rsid w:val="000D2872"/>
    <w:rsid w:val="000E1009"/>
    <w:rsid w:val="000E1231"/>
    <w:rsid w:val="000E69B0"/>
    <w:rsid w:val="000E774F"/>
    <w:rsid w:val="00100178"/>
    <w:rsid w:val="001041EB"/>
    <w:rsid w:val="0011088C"/>
    <w:rsid w:val="0012585B"/>
    <w:rsid w:val="00131477"/>
    <w:rsid w:val="00133539"/>
    <w:rsid w:val="00171B17"/>
    <w:rsid w:val="0018696E"/>
    <w:rsid w:val="001971F2"/>
    <w:rsid w:val="001B100A"/>
    <w:rsid w:val="001E0AAE"/>
    <w:rsid w:val="001F0F88"/>
    <w:rsid w:val="001F79EE"/>
    <w:rsid w:val="00201F9B"/>
    <w:rsid w:val="00202882"/>
    <w:rsid w:val="0020500F"/>
    <w:rsid w:val="00205068"/>
    <w:rsid w:val="00205DC1"/>
    <w:rsid w:val="00212A05"/>
    <w:rsid w:val="00216937"/>
    <w:rsid w:val="002366F1"/>
    <w:rsid w:val="00244EF2"/>
    <w:rsid w:val="00256604"/>
    <w:rsid w:val="00275786"/>
    <w:rsid w:val="0027614C"/>
    <w:rsid w:val="00293A5E"/>
    <w:rsid w:val="00297953"/>
    <w:rsid w:val="002A0AA7"/>
    <w:rsid w:val="002A57AF"/>
    <w:rsid w:val="002B133E"/>
    <w:rsid w:val="002C3A9A"/>
    <w:rsid w:val="002D557D"/>
    <w:rsid w:val="002F62B5"/>
    <w:rsid w:val="00310E3C"/>
    <w:rsid w:val="00313DE0"/>
    <w:rsid w:val="00315039"/>
    <w:rsid w:val="00346FEC"/>
    <w:rsid w:val="00351213"/>
    <w:rsid w:val="0035146F"/>
    <w:rsid w:val="0037279A"/>
    <w:rsid w:val="003A301F"/>
    <w:rsid w:val="003A3A46"/>
    <w:rsid w:val="003B7A8C"/>
    <w:rsid w:val="003C61AA"/>
    <w:rsid w:val="003E7FB7"/>
    <w:rsid w:val="003F3C92"/>
    <w:rsid w:val="004046FF"/>
    <w:rsid w:val="004047AD"/>
    <w:rsid w:val="004055A8"/>
    <w:rsid w:val="004065F8"/>
    <w:rsid w:val="004110D7"/>
    <w:rsid w:val="004200CD"/>
    <w:rsid w:val="00424840"/>
    <w:rsid w:val="00425315"/>
    <w:rsid w:val="00447592"/>
    <w:rsid w:val="00461D04"/>
    <w:rsid w:val="004741B9"/>
    <w:rsid w:val="004754E9"/>
    <w:rsid w:val="004760DD"/>
    <w:rsid w:val="004B52A3"/>
    <w:rsid w:val="004C11AA"/>
    <w:rsid w:val="004C6AE7"/>
    <w:rsid w:val="004E0E8A"/>
    <w:rsid w:val="004E40CA"/>
    <w:rsid w:val="00513BB5"/>
    <w:rsid w:val="00523F91"/>
    <w:rsid w:val="00534A34"/>
    <w:rsid w:val="00555E9C"/>
    <w:rsid w:val="0055715C"/>
    <w:rsid w:val="00564D8B"/>
    <w:rsid w:val="005912BA"/>
    <w:rsid w:val="005933E5"/>
    <w:rsid w:val="005A6C5F"/>
    <w:rsid w:val="005B7220"/>
    <w:rsid w:val="005D28ED"/>
    <w:rsid w:val="005D43FC"/>
    <w:rsid w:val="005D7CDB"/>
    <w:rsid w:val="005F3A58"/>
    <w:rsid w:val="00607E0B"/>
    <w:rsid w:val="006150F1"/>
    <w:rsid w:val="0061548B"/>
    <w:rsid w:val="0062169D"/>
    <w:rsid w:val="006278AD"/>
    <w:rsid w:val="00657EB8"/>
    <w:rsid w:val="00664189"/>
    <w:rsid w:val="00673800"/>
    <w:rsid w:val="00682E48"/>
    <w:rsid w:val="00691D59"/>
    <w:rsid w:val="006974F1"/>
    <w:rsid w:val="006A40D4"/>
    <w:rsid w:val="006B256E"/>
    <w:rsid w:val="006E324E"/>
    <w:rsid w:val="006E4169"/>
    <w:rsid w:val="006E673A"/>
    <w:rsid w:val="006E7476"/>
    <w:rsid w:val="006F0259"/>
    <w:rsid w:val="006F2D0F"/>
    <w:rsid w:val="0070123D"/>
    <w:rsid w:val="0070790C"/>
    <w:rsid w:val="007241DB"/>
    <w:rsid w:val="007245D8"/>
    <w:rsid w:val="00730979"/>
    <w:rsid w:val="007328B1"/>
    <w:rsid w:val="00743C65"/>
    <w:rsid w:val="007705A8"/>
    <w:rsid w:val="0077083A"/>
    <w:rsid w:val="00773E29"/>
    <w:rsid w:val="00792AF5"/>
    <w:rsid w:val="007A5979"/>
    <w:rsid w:val="007E1237"/>
    <w:rsid w:val="007E205E"/>
    <w:rsid w:val="007F0387"/>
    <w:rsid w:val="008058FB"/>
    <w:rsid w:val="008412E3"/>
    <w:rsid w:val="008514D3"/>
    <w:rsid w:val="00864167"/>
    <w:rsid w:val="0087022E"/>
    <w:rsid w:val="00873606"/>
    <w:rsid w:val="008750A5"/>
    <w:rsid w:val="008752A0"/>
    <w:rsid w:val="00880820"/>
    <w:rsid w:val="00880942"/>
    <w:rsid w:val="00880CFA"/>
    <w:rsid w:val="008956BF"/>
    <w:rsid w:val="008A268E"/>
    <w:rsid w:val="008B6B60"/>
    <w:rsid w:val="008C34DD"/>
    <w:rsid w:val="008C3DD8"/>
    <w:rsid w:val="008E003A"/>
    <w:rsid w:val="008E1EF8"/>
    <w:rsid w:val="008E4F93"/>
    <w:rsid w:val="00904323"/>
    <w:rsid w:val="00904B50"/>
    <w:rsid w:val="00904E35"/>
    <w:rsid w:val="009114D0"/>
    <w:rsid w:val="00914FEB"/>
    <w:rsid w:val="00946314"/>
    <w:rsid w:val="00957288"/>
    <w:rsid w:val="0095795A"/>
    <w:rsid w:val="009623F4"/>
    <w:rsid w:val="0099173E"/>
    <w:rsid w:val="009A5E0E"/>
    <w:rsid w:val="009D31B8"/>
    <w:rsid w:val="009E2AF5"/>
    <w:rsid w:val="009E5FCE"/>
    <w:rsid w:val="009F4679"/>
    <w:rsid w:val="00A06F98"/>
    <w:rsid w:val="00A20A88"/>
    <w:rsid w:val="00A300B7"/>
    <w:rsid w:val="00A3356A"/>
    <w:rsid w:val="00A715D1"/>
    <w:rsid w:val="00A76355"/>
    <w:rsid w:val="00A77AEA"/>
    <w:rsid w:val="00A94C8D"/>
    <w:rsid w:val="00AA1D76"/>
    <w:rsid w:val="00AA4C9F"/>
    <w:rsid w:val="00AB10A7"/>
    <w:rsid w:val="00AB3F42"/>
    <w:rsid w:val="00AB6E66"/>
    <w:rsid w:val="00AC48F7"/>
    <w:rsid w:val="00AC59D5"/>
    <w:rsid w:val="00AD40D4"/>
    <w:rsid w:val="00AF0F0C"/>
    <w:rsid w:val="00B40250"/>
    <w:rsid w:val="00B617E1"/>
    <w:rsid w:val="00B6678B"/>
    <w:rsid w:val="00B71EE6"/>
    <w:rsid w:val="00B85161"/>
    <w:rsid w:val="00B86F6F"/>
    <w:rsid w:val="00BC1E84"/>
    <w:rsid w:val="00BD258D"/>
    <w:rsid w:val="00BD2B1A"/>
    <w:rsid w:val="00BD7B7F"/>
    <w:rsid w:val="00BE4229"/>
    <w:rsid w:val="00C02DBB"/>
    <w:rsid w:val="00C500B5"/>
    <w:rsid w:val="00C507A7"/>
    <w:rsid w:val="00C62F97"/>
    <w:rsid w:val="00C945C3"/>
    <w:rsid w:val="00C95219"/>
    <w:rsid w:val="00C96E74"/>
    <w:rsid w:val="00CA5804"/>
    <w:rsid w:val="00CA632A"/>
    <w:rsid w:val="00CA7165"/>
    <w:rsid w:val="00CB46D0"/>
    <w:rsid w:val="00CD2C41"/>
    <w:rsid w:val="00CF4999"/>
    <w:rsid w:val="00D2176D"/>
    <w:rsid w:val="00D311EC"/>
    <w:rsid w:val="00D356E2"/>
    <w:rsid w:val="00D37751"/>
    <w:rsid w:val="00D40785"/>
    <w:rsid w:val="00D621D6"/>
    <w:rsid w:val="00D74827"/>
    <w:rsid w:val="00D86472"/>
    <w:rsid w:val="00D918D9"/>
    <w:rsid w:val="00D93C37"/>
    <w:rsid w:val="00D94600"/>
    <w:rsid w:val="00D95EBE"/>
    <w:rsid w:val="00DA082D"/>
    <w:rsid w:val="00DA4A93"/>
    <w:rsid w:val="00DA60CA"/>
    <w:rsid w:val="00DA643A"/>
    <w:rsid w:val="00DB1A80"/>
    <w:rsid w:val="00DB6541"/>
    <w:rsid w:val="00DC0644"/>
    <w:rsid w:val="00DC321A"/>
    <w:rsid w:val="00DC3C6F"/>
    <w:rsid w:val="00DC5E46"/>
    <w:rsid w:val="00DE448C"/>
    <w:rsid w:val="00E02CAA"/>
    <w:rsid w:val="00E02F8B"/>
    <w:rsid w:val="00E0423C"/>
    <w:rsid w:val="00E23EE3"/>
    <w:rsid w:val="00E25A38"/>
    <w:rsid w:val="00E339E5"/>
    <w:rsid w:val="00E35048"/>
    <w:rsid w:val="00E569A4"/>
    <w:rsid w:val="00E601CC"/>
    <w:rsid w:val="00E62DCB"/>
    <w:rsid w:val="00E64E0C"/>
    <w:rsid w:val="00E66C81"/>
    <w:rsid w:val="00E73F91"/>
    <w:rsid w:val="00E85841"/>
    <w:rsid w:val="00E86D19"/>
    <w:rsid w:val="00E9000F"/>
    <w:rsid w:val="00E91FE4"/>
    <w:rsid w:val="00E93A9D"/>
    <w:rsid w:val="00EA497B"/>
    <w:rsid w:val="00EB59D7"/>
    <w:rsid w:val="00EC5FC8"/>
    <w:rsid w:val="00EE421E"/>
    <w:rsid w:val="00F01782"/>
    <w:rsid w:val="00F23674"/>
    <w:rsid w:val="00F3095F"/>
    <w:rsid w:val="00F320D1"/>
    <w:rsid w:val="00F32E9C"/>
    <w:rsid w:val="00F554A3"/>
    <w:rsid w:val="00F61B22"/>
    <w:rsid w:val="00F733D2"/>
    <w:rsid w:val="00F90967"/>
    <w:rsid w:val="00FA02CA"/>
    <w:rsid w:val="00FC6020"/>
    <w:rsid w:val="00FE5892"/>
    <w:rsid w:val="0371289F"/>
    <w:rsid w:val="14411E19"/>
    <w:rsid w:val="21C06FD3"/>
    <w:rsid w:val="25E847EB"/>
    <w:rsid w:val="3C6912E3"/>
    <w:rsid w:val="3D0719EB"/>
    <w:rsid w:val="429232D3"/>
    <w:rsid w:val="49DD0F01"/>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549D"/>
  <w15:docId w15:val="{2B9558F1-FE7E-4031-88EC-520564C4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修订1"/>
    <w:hidden/>
    <w:uiPriority w:val="99"/>
    <w:unhideWhenUsed/>
    <w:qFormat/>
    <w:rPr>
      <w:rFonts w:cstheme="minorBidi"/>
      <w:kern w:val="2"/>
      <w:sz w:val="24"/>
      <w:szCs w:val="22"/>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886</Words>
  <Characters>932</Characters>
  <Application>Microsoft Office Word</Application>
  <DocSecurity>0</DocSecurity>
  <Lines>66</Lines>
  <Paragraphs>45</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36</cp:revision>
  <dcterms:created xsi:type="dcterms:W3CDTF">2025-03-07T06:05:00Z</dcterms:created>
  <dcterms:modified xsi:type="dcterms:W3CDTF">2025-04-29T10:36:00Z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B0EC4A7864234BDDB1E311CE95BD474F_13</vt:lpwstr>
  </property>
</Properties>
</file>