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b/>
          <w:bCs/>
          <w:iCs/>
          <w:color w:val="000000"/>
        </w:rPr>
      </w:pPr>
      <w:r>
        <w:rPr>
          <w:bCs/>
          <w:iCs/>
          <w:color w:val="000000"/>
        </w:rPr>
        <w:t>证券代码：</w:t>
      </w:r>
      <w:r>
        <w:rPr>
          <w:rFonts w:hint="eastAsia"/>
          <w:bCs/>
          <w:iCs/>
          <w:color w:val="000000"/>
        </w:rPr>
        <w:t>688512</w:t>
      </w:r>
      <w:r>
        <w:rPr>
          <w:bCs/>
          <w:iCs/>
          <w:color w:val="000000"/>
        </w:rPr>
        <w:t xml:space="preserve">                            </w:t>
      </w:r>
      <w:r>
        <w:rPr>
          <w:rFonts w:hint="eastAsia"/>
          <w:bCs/>
          <w:iCs/>
          <w:color w:val="000000"/>
        </w:rPr>
        <w:t xml:space="preserve">         </w:t>
      </w:r>
      <w:r>
        <w:rPr>
          <w:bCs/>
          <w:iCs/>
          <w:color w:val="000000"/>
        </w:rPr>
        <w:t>证券简称：</w:t>
      </w:r>
      <w:r>
        <w:rPr>
          <w:rFonts w:hint="eastAsia"/>
          <w:bCs/>
          <w:iCs/>
          <w:color w:val="000000"/>
        </w:rPr>
        <w:t xml:space="preserve">慧智微 </w:t>
      </w:r>
      <w:r>
        <w:rPr>
          <w:bCs/>
          <w:iCs/>
          <w:color w:val="000000"/>
        </w:rPr>
        <w:t xml:space="preserve">  </w:t>
      </w:r>
    </w:p>
    <w:p>
      <w:pPr>
        <w:ind w:firstLine="562"/>
        <w:jc w:val="center"/>
        <w:rPr>
          <w:b/>
          <w:bCs/>
          <w:iCs/>
          <w:color w:val="000000"/>
          <w:sz w:val="28"/>
          <w:szCs w:val="28"/>
        </w:rPr>
      </w:pPr>
      <w:r>
        <w:rPr>
          <w:rFonts w:hint="eastAsia"/>
          <w:b/>
          <w:bCs/>
          <w:iCs/>
          <w:color w:val="000000"/>
          <w:sz w:val="28"/>
          <w:szCs w:val="28"/>
        </w:rPr>
        <w:t>广州慧智微电子股份有限公司</w:t>
      </w:r>
    </w:p>
    <w:p>
      <w:pPr>
        <w:ind w:firstLine="562"/>
        <w:jc w:val="center"/>
        <w:rPr>
          <w:b/>
          <w:bCs/>
          <w:iCs/>
          <w:color w:val="000000"/>
          <w:sz w:val="28"/>
          <w:szCs w:val="28"/>
        </w:rPr>
      </w:pPr>
      <w:r>
        <w:rPr>
          <w:rFonts w:hint="eastAsia"/>
          <w:b/>
          <w:bCs/>
          <w:iCs/>
          <w:color w:val="000000"/>
          <w:sz w:val="28"/>
          <w:szCs w:val="28"/>
        </w:rPr>
        <w:t>投资者关系活动记录表</w:t>
      </w:r>
    </w:p>
    <w:p>
      <w:pPr>
        <w:spacing w:line="400" w:lineRule="exact"/>
        <w:ind w:firstLine="480"/>
        <w:jc w:val="right"/>
        <w:rPr>
          <w:bCs/>
          <w:iCs/>
          <w:color w:val="000000"/>
        </w:rPr>
      </w:pPr>
      <w:r>
        <w:rPr>
          <w:bCs/>
          <w:iCs/>
          <w:color w:val="000000"/>
        </w:rPr>
        <w:t xml:space="preserve"> 编号：202</w:t>
      </w:r>
      <w:r>
        <w:rPr>
          <w:rFonts w:hint="eastAsia"/>
          <w:bCs/>
          <w:iCs/>
          <w:color w:val="000000"/>
        </w:rPr>
        <w:t>5</w:t>
      </w:r>
      <w:r>
        <w:rPr>
          <w:bCs/>
          <w:iCs/>
          <w:color w:val="000000"/>
        </w:rPr>
        <w:t>-00</w:t>
      </w:r>
      <w:r>
        <w:rPr>
          <w:rFonts w:hint="eastAsia"/>
          <w:bCs/>
          <w:iCs/>
          <w:color w:val="000000"/>
        </w:rPr>
        <w:t>1</w:t>
      </w:r>
    </w:p>
    <w:tbl>
      <w:tblPr>
        <w:tblStyle w:val="18"/>
        <w:tblpPr w:leftFromText="180" w:rightFromText="180" w:vertAnchor="text" w:horzAnchor="page" w:tblpX="1798"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投资者关系活动类别</w:t>
            </w:r>
          </w:p>
          <w:p>
            <w:pPr>
              <w:ind w:firstLine="0" w:firstLineChars="0"/>
              <w:jc w:val="center"/>
              <w:rPr>
                <w:bCs/>
                <w:iCs/>
                <w:color w:val="000000"/>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ind w:firstLine="0" w:firstLineChars="0"/>
              <w:rPr>
                <w:bCs/>
                <w:iCs/>
                <w:color w:val="000000"/>
              </w:rPr>
            </w:pPr>
            <w:r>
              <w:rPr>
                <w:bCs/>
                <w:iCs/>
                <w:color w:val="000000"/>
              </w:rPr>
              <w:sym w:font="Wingdings 2" w:char="0052"/>
            </w:r>
            <w:r>
              <w:t xml:space="preserve">特定对象调研        </w:t>
            </w:r>
            <w:r>
              <w:rPr>
                <w:bCs/>
                <w:iCs/>
                <w:color w:val="000000"/>
              </w:rPr>
              <w:sym w:font="Wingdings 2" w:char="00A3"/>
            </w:r>
            <w:r>
              <w:t>分析师会议</w:t>
            </w:r>
          </w:p>
          <w:p>
            <w:pPr>
              <w:spacing w:line="480" w:lineRule="atLeast"/>
              <w:ind w:firstLine="0" w:firstLineChars="0"/>
              <w:rPr>
                <w:bCs/>
                <w:iCs/>
                <w:color w:val="000000"/>
              </w:rPr>
            </w:pPr>
            <w:r>
              <w:rPr>
                <w:bCs/>
                <w:iCs/>
                <w:color w:val="000000"/>
              </w:rPr>
              <w:sym w:font="Wingdings 2" w:char="00A3"/>
            </w:r>
            <w:r>
              <w:t xml:space="preserve">媒体采访            </w:t>
            </w:r>
            <w:r>
              <w:rPr>
                <w:bCs/>
                <w:iCs/>
                <w:color w:val="000000"/>
              </w:rPr>
              <w:sym w:font="Wingdings 2" w:char="00A3"/>
            </w:r>
            <w:r>
              <w:t>业绩说明会</w:t>
            </w:r>
          </w:p>
          <w:p>
            <w:pPr>
              <w:spacing w:line="480" w:lineRule="atLeast"/>
              <w:ind w:firstLine="0" w:firstLineChars="0"/>
              <w:rPr>
                <w:bCs/>
                <w:iCs/>
                <w:color w:val="000000"/>
              </w:rPr>
            </w:pPr>
            <w:r>
              <w:rPr>
                <w:bCs/>
                <w:iCs/>
                <w:color w:val="000000"/>
              </w:rPr>
              <w:sym w:font="Wingdings 2" w:char="00A3"/>
            </w:r>
            <w:r>
              <w:t xml:space="preserve">新闻发布会          </w:t>
            </w:r>
            <w:r>
              <w:rPr>
                <w:bCs/>
                <w:iCs/>
                <w:color w:val="000000"/>
              </w:rPr>
              <w:sym w:font="Wingdings 2" w:char="00A3"/>
            </w:r>
            <w:r>
              <w:t>路演活动</w:t>
            </w:r>
          </w:p>
          <w:p>
            <w:pPr>
              <w:tabs>
                <w:tab w:val="left" w:pos="3045"/>
                <w:tab w:val="center" w:pos="3199"/>
              </w:tabs>
              <w:spacing w:line="480" w:lineRule="atLeast"/>
              <w:ind w:firstLine="0" w:firstLineChars="0"/>
              <w:rPr>
                <w:bCs/>
                <w:iCs/>
                <w:color w:val="000000"/>
              </w:rPr>
            </w:pPr>
            <w:r>
              <w:rPr>
                <w:bCs/>
                <w:iCs/>
                <w:color w:val="000000"/>
              </w:rPr>
              <w:sym w:font="Wingdings 2" w:char="00A3"/>
            </w:r>
            <w:r>
              <w:t>现场参观</w:t>
            </w:r>
            <w:r>
              <w:rPr>
                <w:bCs/>
                <w:iCs/>
                <w:color w:val="000000"/>
              </w:rPr>
              <w:tab/>
            </w:r>
          </w:p>
          <w:p>
            <w:pPr>
              <w:tabs>
                <w:tab w:val="center" w:pos="3199"/>
              </w:tabs>
              <w:spacing w:line="480" w:lineRule="atLeast"/>
              <w:ind w:firstLine="0" w:firstLineChars="0"/>
              <w:rPr>
                <w:bCs/>
                <w:iCs/>
                <w:color w:val="000000"/>
              </w:rPr>
            </w:pPr>
            <w:r>
              <w:rPr>
                <w:bCs/>
                <w:iCs/>
                <w:color w:val="000000"/>
              </w:rPr>
              <w:sym w:font="Wingdings 2" w:char="00A3"/>
            </w:r>
            <w:r>
              <w:t>其他 （</w:t>
            </w:r>
            <w:r>
              <w:rPr>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ind w:firstLine="0" w:firstLineChars="0"/>
              <w:jc w:val="left"/>
              <w:rPr>
                <w:bCs/>
                <w:iCs/>
                <w:color w:val="000000"/>
              </w:rPr>
            </w:pPr>
            <w:r>
              <w:rPr>
                <w:rFonts w:hint="eastAsia"/>
                <w:bCs/>
                <w:iCs/>
                <w:color w:val="000000"/>
              </w:rPr>
              <w:t>鲍尔赛嘉（上海）、博裕资本、东方基金、东吴证券、东兴基金、敦颐资管、广东钜洲投资、硅产业集团、国融基金、国盛证券、国泰君安证券、果行育德、杭州重湖、华安财保资管、华安证券、华泰联合证券、华泰证券、华西证券、加盛投资、建投华科投资、金沙江联合管理、睿沃德基金、山西证券、上海保银私募、尚诚资管、仕佳光子、太平基金、同创佳业资管、信达证券、兴业银行、圆和景明投资、粤鸿金融、长城财富资管、长江证券资管、中国银河证券、仲春私募、宁波旭彤、赢舟资管、旭彤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ind w:firstLine="0" w:firstLineChars="0"/>
              <w:jc w:val="left"/>
              <w:rPr>
                <w:bCs/>
                <w:iCs/>
                <w:color w:val="000000"/>
              </w:rPr>
            </w:pPr>
            <w:r>
              <w:rPr>
                <w:bCs/>
                <w:iCs/>
                <w:color w:val="000000"/>
              </w:rPr>
              <w:t>202</w:t>
            </w:r>
            <w:r>
              <w:rPr>
                <w:rFonts w:hint="eastAsia"/>
                <w:bCs/>
                <w:iCs/>
                <w:color w:val="000000"/>
              </w:rPr>
              <w:t>5</w:t>
            </w:r>
            <w:r>
              <w:rPr>
                <w:bCs/>
                <w:iCs/>
                <w:color w:val="000000"/>
              </w:rPr>
              <w:t>年</w:t>
            </w:r>
            <w:r>
              <w:rPr>
                <w:rFonts w:hint="eastAsia"/>
                <w:bCs/>
                <w:iCs/>
                <w:color w:val="000000"/>
              </w:rPr>
              <w:t>4</w:t>
            </w:r>
            <w:r>
              <w:rPr>
                <w:bCs/>
                <w:iCs/>
                <w:color w:val="000000"/>
              </w:rPr>
              <w:t>月</w:t>
            </w:r>
            <w:r>
              <w:rPr>
                <w:rFonts w:hint="eastAsia"/>
                <w:bCs/>
                <w:iCs/>
                <w:color w:val="000000"/>
              </w:rPr>
              <w:t>29</w:t>
            </w:r>
            <w:r>
              <w:rPr>
                <w:bCs/>
                <w:iCs/>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ind w:firstLine="0" w:firstLineChars="0"/>
              <w:jc w:val="left"/>
              <w:rPr>
                <w:bCs/>
                <w:iCs/>
                <w:color w:val="000000"/>
              </w:rPr>
            </w:pPr>
            <w:r>
              <w:rPr>
                <w:bCs/>
                <w:iCs/>
                <w:color w:val="000000"/>
              </w:rPr>
              <w:t>广州慧智微电子股份有限公司上海办公室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ind w:firstLine="0" w:firstLineChars="0"/>
              <w:jc w:val="left"/>
              <w:rPr>
                <w:bCs/>
                <w:iCs/>
                <w:color w:val="000000"/>
              </w:rPr>
            </w:pPr>
            <w:r>
              <w:rPr>
                <w:bCs/>
                <w:iCs/>
                <w:color w:val="000000"/>
              </w:rPr>
              <w:t>财务总监兼董事会秘书：徐斌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投资者关系活动主要内容介绍</w:t>
            </w:r>
          </w:p>
          <w:p>
            <w:pPr>
              <w:ind w:firstLine="0" w:firstLineChars="0"/>
              <w:jc w:val="center"/>
              <w:rPr>
                <w:bCs/>
                <w:iCs/>
                <w:color w:val="000000"/>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ind w:firstLine="0" w:firstLineChars="0"/>
              <w:rPr>
                <w:b/>
                <w:iCs/>
                <w:color w:val="000000"/>
              </w:rPr>
            </w:pPr>
            <w:r>
              <w:rPr>
                <w:b/>
                <w:iCs/>
                <w:color w:val="000000"/>
              </w:rPr>
              <w:t>一、202</w:t>
            </w:r>
            <w:r>
              <w:rPr>
                <w:rFonts w:hint="eastAsia"/>
                <w:b/>
                <w:iCs/>
                <w:color w:val="000000"/>
              </w:rPr>
              <w:t>4</w:t>
            </w:r>
            <w:r>
              <w:rPr>
                <w:b/>
                <w:iCs/>
                <w:color w:val="000000"/>
              </w:rPr>
              <w:t>年</w:t>
            </w:r>
            <w:r>
              <w:rPr>
                <w:rFonts w:hint="eastAsia"/>
                <w:b/>
                <w:iCs/>
                <w:color w:val="000000"/>
              </w:rPr>
              <w:t>年度经营</w:t>
            </w:r>
            <w:r>
              <w:rPr>
                <w:b/>
                <w:iCs/>
                <w:color w:val="000000"/>
              </w:rPr>
              <w:t>情况介绍</w:t>
            </w:r>
          </w:p>
          <w:p>
            <w:pPr>
              <w:pStyle w:val="35"/>
              <w:spacing w:line="480" w:lineRule="atLeast"/>
              <w:ind w:firstLine="0" w:firstLineChars="0"/>
              <w:rPr>
                <w:b/>
                <w:iCs/>
                <w:color w:val="000000"/>
              </w:rPr>
            </w:pPr>
            <w:r>
              <w:rPr>
                <w:rFonts w:hint="eastAsia"/>
                <w:b/>
                <w:iCs/>
                <w:color w:val="000000"/>
              </w:rPr>
              <w:t>1、主要业绩情况</w:t>
            </w:r>
          </w:p>
          <w:p>
            <w:pPr>
              <w:pStyle w:val="35"/>
              <w:spacing w:line="480" w:lineRule="atLeast"/>
              <w:ind w:firstLine="480"/>
              <w:rPr>
                <w:bCs/>
                <w:iCs/>
                <w:color w:val="000000"/>
              </w:rPr>
            </w:pPr>
            <w:r>
              <w:rPr>
                <w:rFonts w:hint="eastAsia"/>
                <w:bCs/>
                <w:iCs/>
                <w:color w:val="000000"/>
              </w:rPr>
              <w:t>2024年公司实现营业收入5.24亿元，同比减少5.08%；毛利率为1.9</w:t>
            </w:r>
            <w:r>
              <w:rPr>
                <w:rFonts w:hint="eastAsia"/>
                <w:bCs/>
                <w:iCs/>
                <w:color w:val="000000"/>
                <w:lang w:val="en-US" w:eastAsia="zh-CN"/>
              </w:rPr>
              <w:t>0</w:t>
            </w:r>
            <w:bookmarkStart w:id="0" w:name="_GoBack"/>
            <w:bookmarkEnd w:id="0"/>
            <w:r>
              <w:rPr>
                <w:rFonts w:hint="eastAsia"/>
                <w:bCs/>
                <w:iCs/>
                <w:color w:val="000000"/>
              </w:rPr>
              <w:t>%，同比下降10.07个百分点。期间费用为3.56亿元，同比下降21.16%。归母净利润亏损4.38亿元，同比亏损扩大7.32%。扣非归母净利润亏损4.74亿元，同比亏损扩大5.18%</w:t>
            </w:r>
          </w:p>
          <w:p>
            <w:pPr>
              <w:pStyle w:val="35"/>
              <w:spacing w:line="480" w:lineRule="atLeast"/>
              <w:ind w:firstLine="480"/>
              <w:rPr>
                <w:bCs/>
                <w:iCs/>
                <w:color w:val="000000"/>
              </w:rPr>
            </w:pPr>
            <w:r>
              <w:rPr>
                <w:rFonts w:hint="eastAsia"/>
                <w:bCs/>
                <w:iCs/>
                <w:color w:val="000000"/>
              </w:rPr>
              <w:t>2025年一季度公司实现营业收入1.37亿元，同比增长30.63%。毛利率为12.85%，同比增长4.88个百分点。期间费用为6621万元，同比下降25.51%。归母净利润357万元，实现扭亏为盈，扣非归母净利润为亏损6067万元，同比亏损收窄34.80%。</w:t>
            </w:r>
          </w:p>
          <w:p>
            <w:pPr>
              <w:pStyle w:val="35"/>
              <w:spacing w:line="480" w:lineRule="atLeast"/>
              <w:ind w:firstLine="0" w:firstLineChars="0"/>
              <w:rPr>
                <w:b/>
                <w:iCs/>
                <w:color w:val="000000"/>
              </w:rPr>
            </w:pPr>
            <w:r>
              <w:rPr>
                <w:rFonts w:hint="eastAsia"/>
                <w:b/>
                <w:iCs/>
                <w:color w:val="000000"/>
              </w:rPr>
              <w:t>2、最新的客户及产品进展</w:t>
            </w:r>
          </w:p>
          <w:p>
            <w:pPr>
              <w:pStyle w:val="35"/>
              <w:spacing w:line="480" w:lineRule="atLeast"/>
              <w:ind w:firstLine="480"/>
              <w:rPr>
                <w:bCs/>
                <w:iCs/>
                <w:color w:val="000000"/>
              </w:rPr>
            </w:pPr>
            <w:r>
              <w:rPr>
                <w:rFonts w:hint="eastAsia"/>
                <w:bCs/>
                <w:iCs/>
                <w:color w:val="000000"/>
              </w:rPr>
              <w:t>（1）2024年底，公司新一代小尺寸、高功率的MMMB PA模组在海外安卓客户自研智能手机出货，2025年一季度，公司有新物料导入了该客户的主流机型；</w:t>
            </w:r>
          </w:p>
          <w:p>
            <w:pPr>
              <w:pStyle w:val="35"/>
              <w:spacing w:line="480" w:lineRule="atLeast"/>
              <w:ind w:firstLine="480"/>
              <w:rPr>
                <w:bCs/>
                <w:iCs/>
                <w:color w:val="000000"/>
              </w:rPr>
            </w:pPr>
            <w:r>
              <w:rPr>
                <w:rFonts w:hint="eastAsia"/>
                <w:bCs/>
                <w:iCs/>
                <w:color w:val="000000"/>
              </w:rPr>
              <w:t>（2）公司L-PAMiF产品在头部品牌客户旗舰机型量产，公司产品首次进入旗舰机型序列；</w:t>
            </w:r>
          </w:p>
          <w:p>
            <w:pPr>
              <w:pStyle w:val="35"/>
              <w:spacing w:line="480" w:lineRule="atLeast"/>
              <w:ind w:firstLine="480"/>
              <w:rPr>
                <w:bCs/>
                <w:iCs/>
                <w:color w:val="000000"/>
              </w:rPr>
            </w:pPr>
            <w:r>
              <w:rPr>
                <w:rFonts w:hint="eastAsia"/>
                <w:bCs/>
                <w:iCs/>
                <w:color w:val="000000"/>
              </w:rPr>
              <w:t>（3）公司Phase 8L产品在头部品牌客户规模量产，成为国内最早具备该产品量产能力的企业。</w:t>
            </w:r>
          </w:p>
          <w:p>
            <w:pPr>
              <w:spacing w:line="480" w:lineRule="atLeast"/>
              <w:ind w:firstLine="0" w:firstLineChars="0"/>
              <w:rPr>
                <w:b/>
                <w:iCs/>
                <w:color w:val="000000"/>
              </w:rPr>
            </w:pPr>
            <w:r>
              <w:rPr>
                <w:b/>
                <w:iCs/>
                <w:color w:val="000000"/>
              </w:rPr>
              <w:t>二、交流的主要问题及回复</w:t>
            </w:r>
          </w:p>
          <w:p>
            <w:pPr>
              <w:pStyle w:val="34"/>
              <w:spacing w:before="156" w:after="156"/>
              <w:ind w:firstLine="0" w:firstLineChars="0"/>
              <w:rPr>
                <w:b/>
                <w:szCs w:val="24"/>
              </w:rPr>
            </w:pPr>
            <w:r>
              <w:rPr>
                <w:rFonts w:hint="eastAsia"/>
                <w:b/>
                <w:szCs w:val="24"/>
              </w:rPr>
              <w:t>1、公司2025年一季度毛利情况改善明显的主要原因？</w:t>
            </w:r>
          </w:p>
          <w:p>
            <w:pPr>
              <w:pStyle w:val="34"/>
              <w:spacing w:before="156" w:after="156"/>
              <w:ind w:firstLine="480"/>
              <w:rPr>
                <w:bCs/>
                <w:szCs w:val="24"/>
              </w:rPr>
            </w:pPr>
            <w:r>
              <w:rPr>
                <w:rFonts w:hint="eastAsia"/>
                <w:bCs/>
                <w:szCs w:val="24"/>
              </w:rPr>
              <w:t>公司通过优化产品结构，推动新老产品的切换，实现了毛利的显著改善；同时，公司采购成本下降，也对公司毛利带来正向的帮助。未来随着公司Phase 8L产品放量出货，将对整体经营业绩产生积极的拉动作用。</w:t>
            </w:r>
          </w:p>
          <w:p>
            <w:pPr>
              <w:pStyle w:val="34"/>
              <w:spacing w:before="156" w:after="156"/>
              <w:ind w:firstLine="0" w:firstLineChars="0"/>
              <w:rPr>
                <w:b/>
                <w:szCs w:val="24"/>
              </w:rPr>
            </w:pPr>
            <w:r>
              <w:rPr>
                <w:rFonts w:hint="eastAsia"/>
                <w:b/>
                <w:szCs w:val="24"/>
              </w:rPr>
              <w:t>2、公司Phase 8L的L-PAMiD产品当前进展以及竞争优势如何？</w:t>
            </w:r>
          </w:p>
          <w:p>
            <w:pPr>
              <w:pStyle w:val="34"/>
              <w:spacing w:before="156" w:after="156"/>
              <w:ind w:firstLine="480"/>
              <w:rPr>
                <w:bCs/>
                <w:szCs w:val="24"/>
              </w:rPr>
            </w:pPr>
            <w:r>
              <w:rPr>
                <w:rFonts w:hint="eastAsia"/>
                <w:bCs/>
                <w:szCs w:val="24"/>
              </w:rPr>
              <w:t>公司已实现Phase 8L 产品在头部客户规模量产，成为国内最早具备该产品量产能力的企业。近年来，公司一直把主要研发资源投入在L-PAMiD产品领域，凭借自主研发的可重构架构优势，在同等封装尺寸下，抵消了国内厂商缺少小尺寸WLP滤波器的影响，保证片内隔离度，性能与可靠性等指标达到国际厂商同等水平，充分展现公司在射频前端领域的技术创新实力。</w:t>
            </w:r>
          </w:p>
          <w:p>
            <w:pPr>
              <w:pStyle w:val="34"/>
              <w:spacing w:before="156" w:after="156"/>
              <w:ind w:firstLine="0" w:firstLineChars="0"/>
              <w:rPr>
                <w:b/>
                <w:szCs w:val="24"/>
              </w:rPr>
            </w:pPr>
            <w:r>
              <w:rPr>
                <w:rFonts w:hint="eastAsia"/>
                <w:b/>
                <w:szCs w:val="24"/>
              </w:rPr>
              <w:t>3、公司成功导入海外安卓客户自研的供应链体系，目前进展如何？自研的项目和公司以往的项目在合作模式和对公司经营业绩的影响会有什么不同？</w:t>
            </w:r>
          </w:p>
          <w:p>
            <w:pPr>
              <w:pStyle w:val="34"/>
              <w:spacing w:before="156" w:after="156"/>
              <w:ind w:firstLine="480" w:firstLineChars="0"/>
              <w:rPr>
                <w:b/>
                <w:szCs w:val="24"/>
              </w:rPr>
            </w:pPr>
            <w:r>
              <w:rPr>
                <w:rFonts w:hint="eastAsia"/>
                <w:bCs/>
                <w:szCs w:val="24"/>
              </w:rPr>
              <w:t>公司新一代小尺寸、高功率的5G MMMB产品凭借其优秀的产品力，已经在海外安卓客户自研智能手机实现批量出货，并获得客户的认可。今年一季度有新物料导入该客户的主流机型，将在今年完成相关产品的量产出货，未来预计有更多产品会在该客户主流机型量产出货。</w:t>
            </w:r>
          </w:p>
          <w:p>
            <w:pPr>
              <w:pStyle w:val="34"/>
              <w:spacing w:before="156" w:after="156"/>
              <w:ind w:firstLine="480"/>
              <w:rPr>
                <w:bCs/>
                <w:szCs w:val="24"/>
              </w:rPr>
            </w:pPr>
            <w:r>
              <w:rPr>
                <w:rFonts w:hint="eastAsia"/>
                <w:bCs/>
                <w:szCs w:val="24"/>
                <w:lang w:bidi="ar"/>
              </w:rPr>
              <w:t>公司此前通过华勤、龙旗等</w:t>
            </w:r>
            <w:r>
              <w:rPr>
                <w:bCs/>
                <w:szCs w:val="24"/>
                <w:lang w:bidi="ar"/>
              </w:rPr>
              <w:t>ODM</w:t>
            </w:r>
            <w:r>
              <w:rPr>
                <w:rFonts w:hint="eastAsia"/>
                <w:bCs/>
                <w:szCs w:val="24"/>
                <w:lang w:bidi="ar"/>
              </w:rPr>
              <w:t>厂商以项目形式承接了海外安卓客户的手机订单。目前公司已进入其自研供应链体系，这对公司产品性能、产品品质和供应链的稳定性提出更高的要求。该客户自研手机比例约70%，未来对提升公司规模产生正向的作用。</w:t>
            </w:r>
          </w:p>
          <w:p>
            <w:pPr>
              <w:pStyle w:val="34"/>
              <w:spacing w:before="156" w:after="156"/>
              <w:ind w:firstLine="0" w:firstLineChars="0"/>
              <w:rPr>
                <w:b/>
                <w:szCs w:val="24"/>
              </w:rPr>
            </w:pPr>
            <w:r>
              <w:rPr>
                <w:rFonts w:hint="eastAsia"/>
                <w:b/>
                <w:szCs w:val="24"/>
              </w:rPr>
              <w:t>4、近期中美关税变动对公司成本端影响，供应链是否有在国内布局？</w:t>
            </w:r>
          </w:p>
          <w:p>
            <w:pPr>
              <w:pStyle w:val="34"/>
              <w:spacing w:before="156" w:after="156"/>
              <w:ind w:firstLine="480"/>
              <w:rPr>
                <w:bCs/>
                <w:szCs w:val="24"/>
              </w:rPr>
            </w:pPr>
            <w:r>
              <w:rPr>
                <w:rFonts w:hint="eastAsia"/>
                <w:bCs/>
                <w:szCs w:val="24"/>
              </w:rPr>
              <w:t>公司高度重视供应链的安全与可控，已提前多年布局国内供应链。在晶圆方面，公司已与多家国内厂商建立了合作关系。后续将持续关注政策环境变化，积极拓展多元化供应渠道，加强与国内外优质供应商的战略合作，确保供应链的稳定性和竞争力。</w:t>
            </w:r>
          </w:p>
          <w:p>
            <w:pPr>
              <w:pStyle w:val="34"/>
              <w:spacing w:before="156" w:after="156"/>
              <w:ind w:firstLine="0" w:firstLineChars="0"/>
              <w:rPr>
                <w:b/>
                <w:szCs w:val="24"/>
              </w:rPr>
            </w:pPr>
            <w:r>
              <w:rPr>
                <w:rFonts w:hint="eastAsia"/>
                <w:b/>
                <w:szCs w:val="24"/>
              </w:rPr>
              <w:t>5、公司当前研发产品的重点方向如何？</w:t>
            </w:r>
          </w:p>
          <w:p>
            <w:pPr>
              <w:pStyle w:val="34"/>
              <w:spacing w:before="156" w:after="156"/>
              <w:ind w:firstLine="480"/>
              <w:rPr>
                <w:bCs/>
                <w:szCs w:val="24"/>
              </w:rPr>
            </w:pPr>
            <w:r>
              <w:rPr>
                <w:rFonts w:hint="eastAsia"/>
                <w:bCs/>
                <w:szCs w:val="24"/>
              </w:rPr>
              <w:t>公司研发主线目前</w:t>
            </w:r>
            <w:r>
              <w:rPr>
                <w:rFonts w:hint="eastAsia"/>
                <w:bCs/>
                <w:szCs w:val="24"/>
                <w:lang w:bidi="ar"/>
              </w:rPr>
              <w:t>紧随射频前端技术演进趋势，并围绕3GPP射频前端技术进行研发，持续推动产品迭代和演进。同时，公司在</w:t>
            </w:r>
            <w:r>
              <w:rPr>
                <w:bCs/>
                <w:szCs w:val="24"/>
                <w:lang w:bidi="ar"/>
              </w:rPr>
              <w:t>Wi-Fi</w:t>
            </w:r>
            <w:r>
              <w:rPr>
                <w:rFonts w:hint="eastAsia"/>
                <w:bCs/>
                <w:szCs w:val="24"/>
                <w:lang w:bidi="ar"/>
              </w:rPr>
              <w:t>和卫星通信领域也已经推出相关产品。</w:t>
            </w:r>
          </w:p>
          <w:p>
            <w:pPr>
              <w:pStyle w:val="34"/>
              <w:spacing w:before="156" w:after="156"/>
              <w:ind w:firstLine="0" w:firstLineChars="0"/>
              <w:rPr>
                <w:b/>
                <w:szCs w:val="24"/>
              </w:rPr>
            </w:pPr>
            <w:r>
              <w:rPr>
                <w:rFonts w:hint="eastAsia"/>
                <w:b/>
                <w:szCs w:val="24"/>
              </w:rPr>
              <w:t>6、随着低空经济、机器人等新兴行业发展，公司是否在这些方向提前布局并横向拓展业务？</w:t>
            </w:r>
          </w:p>
          <w:p>
            <w:pPr>
              <w:pStyle w:val="34"/>
              <w:spacing w:before="156" w:after="156"/>
              <w:ind w:firstLine="480"/>
              <w:rPr>
                <w:bCs/>
                <w:szCs w:val="24"/>
              </w:rPr>
            </w:pPr>
            <w:r>
              <w:rPr>
                <w:rFonts w:hint="eastAsia"/>
                <w:bCs/>
                <w:szCs w:val="24"/>
              </w:rPr>
              <w:t>公司积极关注相关行业带来的市场机会和发展动态，并将根据公司主营状况及市场变化研发相应的技术和产品。公司有专门团队针对新兴行业的市场机会和技术进行研究。未来，随着低空经济、机器人等领域的广泛应用，射频前端行业将迎来新的增长机遇。</w:t>
            </w:r>
          </w:p>
          <w:p>
            <w:pPr>
              <w:pStyle w:val="34"/>
              <w:numPr>
                <w:ilvl w:val="255"/>
                <w:numId w:val="0"/>
              </w:numPr>
              <w:spacing w:before="156" w:after="156"/>
              <w:rPr>
                <w:b/>
                <w:szCs w:val="24"/>
              </w:rPr>
            </w:pPr>
            <w:r>
              <w:rPr>
                <w:rFonts w:hint="eastAsia"/>
                <w:b/>
                <w:szCs w:val="24"/>
              </w:rPr>
              <w:t>7、未来市场竞争格局演化，公司未来如何改善经营业绩？</w:t>
            </w:r>
          </w:p>
          <w:p>
            <w:pPr>
              <w:pStyle w:val="34"/>
              <w:spacing w:before="156" w:after="156"/>
              <w:ind w:firstLine="480"/>
              <w:rPr>
                <w:szCs w:val="21"/>
              </w:rPr>
            </w:pPr>
            <w:r>
              <w:rPr>
                <w:rFonts w:hint="eastAsia"/>
                <w:bCs/>
                <w:szCs w:val="24"/>
              </w:rPr>
              <w:t>公司目前以拓展品牌客户为主，将在客户端导入更多自研项目实现毛利均值回归。伴随国际行业竞争格局的动态演变，部分海外友商战略性收缩国内市场布局，叠加关税政策调整带来的市场环境变化，我国射频前端产业迎来国产替代加速发展的重要窗口期。公司的Phase 8L的L-PAMiD产品率先突破国内厂商在此领域“卡脖子”的困境，在国产替代战略推进的关键节点构筑先发优势，借此加深现有合作客户的黏性并有机会突破新的品牌客户，稳步提升在主流品牌客户供应链体系中的渗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ind w:firstLine="0" w:firstLineChars="0"/>
              <w:jc w:val="left"/>
              <w:rPr>
                <w:bCs/>
                <w:iCs/>
                <w:color w:val="000000"/>
              </w:rPr>
            </w:pPr>
            <w:r>
              <w:rPr>
                <w:bCs/>
                <w:iCs/>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bCs/>
                <w:iCs/>
                <w:color w:val="000000"/>
              </w:rPr>
            </w:pPr>
            <w:r>
              <w:rPr>
                <w:bCs/>
                <w:iCs/>
                <w:color w:val="000000"/>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ind w:firstLine="0" w:firstLineChars="0"/>
              <w:jc w:val="left"/>
              <w:rPr>
                <w:bCs/>
                <w:iCs/>
                <w:color w:val="000000"/>
              </w:rPr>
            </w:pPr>
            <w:r>
              <w:rPr>
                <w:bCs/>
                <w:iCs/>
                <w:color w:val="000000"/>
              </w:rPr>
              <w:t>本次活动不涉及应当披露重大信息。</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E2CC6"/>
    <w:multiLevelType w:val="multilevel"/>
    <w:tmpl w:val="211E2CC6"/>
    <w:lvl w:ilvl="0" w:tentative="0">
      <w:start w:val="1"/>
      <w:numFmt w:val="chineseCountingThousand"/>
      <w:pStyle w:val="2"/>
      <w:suff w:val="nothing"/>
      <w:lvlText w:val="第%1节"/>
      <w:lvlJc w:val="left"/>
      <w:pPr>
        <w:ind w:left="0" w:firstLine="0"/>
      </w:pPr>
      <w:rPr>
        <w:rFonts w:hint="eastAsia" w:ascii="黑体" w:hAnsi="黑体" w:eastAsia="黑体"/>
        <w:b w:val="0"/>
        <w:i w:val="0"/>
        <w:sz w:val="32"/>
      </w:rPr>
    </w:lvl>
    <w:lvl w:ilvl="1" w:tentative="0">
      <w:start w:val="1"/>
      <w:numFmt w:val="koreanDigital2"/>
      <w:pStyle w:val="4"/>
      <w:suff w:val="nothing"/>
      <w:lvlText w:val="%2、"/>
      <w:lvlJc w:val="left"/>
      <w:pPr>
        <w:ind w:left="0" w:firstLine="0"/>
      </w:pPr>
      <w:rPr>
        <w:rFonts w:hint="default" w:ascii="Times New Roman" w:hAnsi="Times New Roman" w:cs="Times New Roman"/>
        <w:b w:val="0"/>
        <w:i w:val="0"/>
        <w:sz w:val="28"/>
      </w:rPr>
    </w:lvl>
    <w:lvl w:ilvl="2" w:tentative="0">
      <w:start w:val="1"/>
      <w:numFmt w:val="koreanDigital2"/>
      <w:pStyle w:val="5"/>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
      <w:suff w:val="nothing"/>
      <w:lvlText w:val="%4、"/>
      <w:lvlJc w:val="left"/>
      <w:pPr>
        <w:ind w:left="0" w:firstLine="0"/>
      </w:pPr>
      <w:rPr>
        <w:rFonts w:hint="default" w:ascii="Times New Roman" w:hAnsi="Times New Roman" w:cs="Times New Roman"/>
        <w:b/>
        <w:i w:val="0"/>
        <w:sz w:val="24"/>
      </w:rPr>
    </w:lvl>
    <w:lvl w:ilvl="4" w:tentative="0">
      <w:start w:val="1"/>
      <w:numFmt w:val="decimal"/>
      <w:pStyle w:val="7"/>
      <w:suff w:val="nothing"/>
      <w:lvlText w:val="（%5）"/>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pStyle w:val="8"/>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pStyle w:val="9"/>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NzBjZjY1N2M2ZDhiZTU1ZjM1ODczNDhiOWJkOTQifQ=="/>
  </w:docVars>
  <w:rsids>
    <w:rsidRoot w:val="002963FE"/>
    <w:rsid w:val="0000167D"/>
    <w:rsid w:val="00003434"/>
    <w:rsid w:val="00022B7C"/>
    <w:rsid w:val="00026015"/>
    <w:rsid w:val="00027259"/>
    <w:rsid w:val="000339DC"/>
    <w:rsid w:val="0005388C"/>
    <w:rsid w:val="00065F0D"/>
    <w:rsid w:val="000865B1"/>
    <w:rsid w:val="000876C2"/>
    <w:rsid w:val="00087737"/>
    <w:rsid w:val="000D1E57"/>
    <w:rsid w:val="001139B6"/>
    <w:rsid w:val="0012543D"/>
    <w:rsid w:val="00167C0C"/>
    <w:rsid w:val="00180C6C"/>
    <w:rsid w:val="0018582C"/>
    <w:rsid w:val="001954EA"/>
    <w:rsid w:val="001C724B"/>
    <w:rsid w:val="001D0865"/>
    <w:rsid w:val="001E7710"/>
    <w:rsid w:val="00221BF8"/>
    <w:rsid w:val="00227AC2"/>
    <w:rsid w:val="00227ADB"/>
    <w:rsid w:val="0024611F"/>
    <w:rsid w:val="00247CBB"/>
    <w:rsid w:val="00252422"/>
    <w:rsid w:val="00285407"/>
    <w:rsid w:val="00290F09"/>
    <w:rsid w:val="002963FE"/>
    <w:rsid w:val="002B3BDE"/>
    <w:rsid w:val="002B4578"/>
    <w:rsid w:val="002B55F2"/>
    <w:rsid w:val="00301862"/>
    <w:rsid w:val="0031037B"/>
    <w:rsid w:val="00317D5E"/>
    <w:rsid w:val="003310D8"/>
    <w:rsid w:val="003E2E84"/>
    <w:rsid w:val="003F3957"/>
    <w:rsid w:val="00417016"/>
    <w:rsid w:val="0042117C"/>
    <w:rsid w:val="00452299"/>
    <w:rsid w:val="0047324E"/>
    <w:rsid w:val="00476251"/>
    <w:rsid w:val="0048582B"/>
    <w:rsid w:val="004A09A3"/>
    <w:rsid w:val="004A6B81"/>
    <w:rsid w:val="004B1074"/>
    <w:rsid w:val="004D53FD"/>
    <w:rsid w:val="00546DA6"/>
    <w:rsid w:val="00556977"/>
    <w:rsid w:val="00561621"/>
    <w:rsid w:val="005E6F03"/>
    <w:rsid w:val="00614719"/>
    <w:rsid w:val="00653806"/>
    <w:rsid w:val="00655546"/>
    <w:rsid w:val="006B2612"/>
    <w:rsid w:val="006B77DE"/>
    <w:rsid w:val="006C2415"/>
    <w:rsid w:val="006C4D1E"/>
    <w:rsid w:val="00704E46"/>
    <w:rsid w:val="007270B2"/>
    <w:rsid w:val="00734BE6"/>
    <w:rsid w:val="007351BF"/>
    <w:rsid w:val="00750E14"/>
    <w:rsid w:val="0076144B"/>
    <w:rsid w:val="00763AD2"/>
    <w:rsid w:val="007650DC"/>
    <w:rsid w:val="00797315"/>
    <w:rsid w:val="007C4587"/>
    <w:rsid w:val="007D460F"/>
    <w:rsid w:val="007D4B02"/>
    <w:rsid w:val="007E1548"/>
    <w:rsid w:val="00832144"/>
    <w:rsid w:val="00837B2D"/>
    <w:rsid w:val="008511E7"/>
    <w:rsid w:val="0088215C"/>
    <w:rsid w:val="008852C9"/>
    <w:rsid w:val="00887733"/>
    <w:rsid w:val="008B3400"/>
    <w:rsid w:val="008D361D"/>
    <w:rsid w:val="008D52FF"/>
    <w:rsid w:val="008E4294"/>
    <w:rsid w:val="008E5B35"/>
    <w:rsid w:val="008F3795"/>
    <w:rsid w:val="0090347D"/>
    <w:rsid w:val="00933041"/>
    <w:rsid w:val="00934D41"/>
    <w:rsid w:val="0097755C"/>
    <w:rsid w:val="00A0143C"/>
    <w:rsid w:val="00A0229E"/>
    <w:rsid w:val="00A10F3E"/>
    <w:rsid w:val="00A21B70"/>
    <w:rsid w:val="00A30ABC"/>
    <w:rsid w:val="00A3142C"/>
    <w:rsid w:val="00A36504"/>
    <w:rsid w:val="00A61C39"/>
    <w:rsid w:val="00A730E8"/>
    <w:rsid w:val="00AC56DD"/>
    <w:rsid w:val="00AC7233"/>
    <w:rsid w:val="00AD0821"/>
    <w:rsid w:val="00AD2345"/>
    <w:rsid w:val="00AF2045"/>
    <w:rsid w:val="00B0525B"/>
    <w:rsid w:val="00B12D8B"/>
    <w:rsid w:val="00B16710"/>
    <w:rsid w:val="00B17931"/>
    <w:rsid w:val="00B37FBE"/>
    <w:rsid w:val="00B44AB4"/>
    <w:rsid w:val="00B45C73"/>
    <w:rsid w:val="00BB5D25"/>
    <w:rsid w:val="00BD304D"/>
    <w:rsid w:val="00BF34F0"/>
    <w:rsid w:val="00C1198B"/>
    <w:rsid w:val="00C42CFC"/>
    <w:rsid w:val="00C52D2F"/>
    <w:rsid w:val="00C65FC9"/>
    <w:rsid w:val="00C80DC6"/>
    <w:rsid w:val="00C942B2"/>
    <w:rsid w:val="00C97EBD"/>
    <w:rsid w:val="00CA2638"/>
    <w:rsid w:val="00CB5F81"/>
    <w:rsid w:val="00CB7EC9"/>
    <w:rsid w:val="00CC6882"/>
    <w:rsid w:val="00CD2A92"/>
    <w:rsid w:val="00D0340A"/>
    <w:rsid w:val="00D23D83"/>
    <w:rsid w:val="00D276FC"/>
    <w:rsid w:val="00D66C99"/>
    <w:rsid w:val="00D8030D"/>
    <w:rsid w:val="00DA0CEA"/>
    <w:rsid w:val="00DB35E2"/>
    <w:rsid w:val="00DC5D00"/>
    <w:rsid w:val="00DC6A40"/>
    <w:rsid w:val="00DE04B2"/>
    <w:rsid w:val="00DE3BAC"/>
    <w:rsid w:val="00DF4C34"/>
    <w:rsid w:val="00E12FB9"/>
    <w:rsid w:val="00E3023D"/>
    <w:rsid w:val="00E3283D"/>
    <w:rsid w:val="00E3386A"/>
    <w:rsid w:val="00E41636"/>
    <w:rsid w:val="00E55047"/>
    <w:rsid w:val="00E80272"/>
    <w:rsid w:val="00EA14F1"/>
    <w:rsid w:val="00ED3BDA"/>
    <w:rsid w:val="00EE0117"/>
    <w:rsid w:val="00EF4C6C"/>
    <w:rsid w:val="00F0203F"/>
    <w:rsid w:val="00F03CE5"/>
    <w:rsid w:val="00F05EF2"/>
    <w:rsid w:val="00F1454F"/>
    <w:rsid w:val="00F22007"/>
    <w:rsid w:val="00F22152"/>
    <w:rsid w:val="00FA36D7"/>
    <w:rsid w:val="00FD666B"/>
    <w:rsid w:val="00FE3A01"/>
    <w:rsid w:val="02B92D50"/>
    <w:rsid w:val="05640F3F"/>
    <w:rsid w:val="07D068F2"/>
    <w:rsid w:val="0A174812"/>
    <w:rsid w:val="10890381"/>
    <w:rsid w:val="219775FD"/>
    <w:rsid w:val="23993B8F"/>
    <w:rsid w:val="32255E38"/>
    <w:rsid w:val="3AFA3584"/>
    <w:rsid w:val="3C124C24"/>
    <w:rsid w:val="48115A30"/>
    <w:rsid w:val="489A279D"/>
    <w:rsid w:val="49D870B4"/>
    <w:rsid w:val="54954BE7"/>
    <w:rsid w:val="59465F65"/>
    <w:rsid w:val="5B08458F"/>
    <w:rsid w:val="66A8423E"/>
    <w:rsid w:val="69783EC9"/>
    <w:rsid w:val="6F2436A8"/>
    <w:rsid w:val="71692EAD"/>
    <w:rsid w:val="7733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2"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3"/>
    <w:link w:val="21"/>
    <w:qFormat/>
    <w:uiPriority w:val="1"/>
    <w:pPr>
      <w:keepNext/>
      <w:keepLines/>
      <w:pageBreakBefore/>
      <w:numPr>
        <w:ilvl w:val="0"/>
        <w:numId w:val="1"/>
      </w:numPr>
      <w:spacing w:before="50" w:beforeLines="50" w:after="50" w:afterLines="50" w:line="360" w:lineRule="auto"/>
      <w:jc w:val="center"/>
      <w:outlineLvl w:val="0"/>
    </w:pPr>
    <w:rPr>
      <w:rFonts w:ascii="Times New Roman" w:hAnsi="Times New Roman" w:eastAsia="黑体" w:cs="Times New Roman"/>
      <w:bCs/>
      <w:sz w:val="32"/>
      <w:szCs w:val="44"/>
      <w:lang w:val="en-US" w:eastAsia="zh-CN" w:bidi="ar-SA"/>
    </w:rPr>
  </w:style>
  <w:style w:type="paragraph" w:styleId="4">
    <w:name w:val="heading 2"/>
    <w:next w:val="3"/>
    <w:link w:val="22"/>
    <w:qFormat/>
    <w:uiPriority w:val="1"/>
    <w:pPr>
      <w:keepNext/>
      <w:keepLines/>
      <w:numPr>
        <w:ilvl w:val="1"/>
        <w:numId w:val="1"/>
      </w:numPr>
      <w:spacing w:before="50" w:beforeLines="50" w:after="50" w:afterLines="50" w:line="360" w:lineRule="auto"/>
      <w:jc w:val="both"/>
      <w:outlineLvl w:val="1"/>
    </w:pPr>
    <w:rPr>
      <w:rFonts w:ascii="Times New Roman" w:hAnsi="Times New Roman" w:eastAsia="黑体" w:cs="Times New Roman"/>
      <w:bCs/>
      <w:kern w:val="2"/>
      <w:sz w:val="28"/>
      <w:szCs w:val="32"/>
      <w:lang w:val="en-US" w:eastAsia="zh-CN" w:bidi="ar-SA"/>
    </w:rPr>
  </w:style>
  <w:style w:type="paragraph" w:styleId="5">
    <w:name w:val="heading 3"/>
    <w:next w:val="3"/>
    <w:link w:val="23"/>
    <w:qFormat/>
    <w:uiPriority w:val="1"/>
    <w:pPr>
      <w:keepNext/>
      <w:keepLines/>
      <w:numPr>
        <w:ilvl w:val="2"/>
        <w:numId w:val="1"/>
      </w:numPr>
      <w:snapToGrid w:val="0"/>
      <w:spacing w:before="50" w:beforeLines="50" w:after="50" w:afterLines="50" w:line="360" w:lineRule="auto"/>
      <w:jc w:val="both"/>
      <w:outlineLvl w:val="2"/>
    </w:pPr>
    <w:rPr>
      <w:rFonts w:ascii="Times New Roman" w:hAnsi="Times New Roman" w:eastAsia="黑体" w:cs="Times New Roman"/>
      <w:bCs/>
      <w:color w:val="000000"/>
      <w:sz w:val="24"/>
      <w:szCs w:val="24"/>
      <w:lang w:val="en-US" w:eastAsia="ar-SA" w:bidi="ar-SA"/>
    </w:rPr>
  </w:style>
  <w:style w:type="paragraph" w:styleId="6">
    <w:name w:val="heading 4"/>
    <w:next w:val="3"/>
    <w:link w:val="24"/>
    <w:qFormat/>
    <w:uiPriority w:val="1"/>
    <w:pPr>
      <w:keepNext/>
      <w:keepLines/>
      <w:numPr>
        <w:ilvl w:val="3"/>
        <w:numId w:val="1"/>
      </w:numPr>
      <w:spacing w:before="50" w:beforeLines="50" w:after="50" w:afterLines="50" w:line="360" w:lineRule="auto"/>
      <w:jc w:val="both"/>
      <w:outlineLvl w:val="3"/>
    </w:pPr>
    <w:rPr>
      <w:rFonts w:ascii="Times New Roman" w:hAnsi="Times New Roman" w:eastAsia="宋体" w:cs="Times New Roman"/>
      <w:b/>
      <w:bCs/>
      <w:kern w:val="2"/>
      <w:sz w:val="24"/>
      <w:szCs w:val="28"/>
      <w:lang w:val="en-US" w:eastAsia="zh-CN" w:bidi="ar-SA"/>
    </w:rPr>
  </w:style>
  <w:style w:type="paragraph" w:styleId="7">
    <w:name w:val="heading 5"/>
    <w:next w:val="3"/>
    <w:link w:val="25"/>
    <w:qFormat/>
    <w:uiPriority w:val="1"/>
    <w:pPr>
      <w:keepNext/>
      <w:keepLines/>
      <w:numPr>
        <w:ilvl w:val="4"/>
        <w:numId w:val="1"/>
      </w:numPr>
      <w:spacing w:before="50" w:beforeLines="50" w:after="50" w:afterLines="50" w:line="360" w:lineRule="auto"/>
      <w:outlineLvl w:val="4"/>
    </w:pPr>
    <w:rPr>
      <w:rFonts w:ascii="Times New Roman" w:hAnsi="Times New Roman" w:eastAsia="宋体" w:cs="Times New Roman"/>
      <w:bCs/>
      <w:kern w:val="2"/>
      <w:sz w:val="24"/>
      <w:szCs w:val="28"/>
      <w:lang w:val="en-US" w:eastAsia="zh-CN" w:bidi="ar-SA"/>
    </w:rPr>
  </w:style>
  <w:style w:type="paragraph" w:styleId="8">
    <w:name w:val="heading 6"/>
    <w:next w:val="3"/>
    <w:link w:val="26"/>
    <w:qFormat/>
    <w:uiPriority w:val="1"/>
    <w:pPr>
      <w:numPr>
        <w:ilvl w:val="5"/>
        <w:numId w:val="1"/>
      </w:numPr>
      <w:spacing w:before="50" w:beforeLines="50" w:after="50" w:afterLines="50" w:line="360" w:lineRule="auto"/>
      <w:ind w:firstLine="200" w:firstLineChars="200"/>
      <w:jc w:val="both"/>
      <w:outlineLvl w:val="5"/>
    </w:pPr>
    <w:rPr>
      <w:rFonts w:ascii="Times New Roman" w:hAnsi="Times New Roman" w:eastAsia="宋体" w:cs="Times New Roman"/>
      <w:bCs/>
      <w:kern w:val="2"/>
      <w:sz w:val="24"/>
      <w:szCs w:val="24"/>
      <w:lang w:val="en-US" w:eastAsia="zh-CN" w:bidi="ar-SA"/>
    </w:rPr>
  </w:style>
  <w:style w:type="paragraph" w:styleId="9">
    <w:name w:val="heading 7"/>
    <w:next w:val="3"/>
    <w:link w:val="27"/>
    <w:unhideWhenUsed/>
    <w:qFormat/>
    <w:uiPriority w:val="2"/>
    <w:pPr>
      <w:keepNext/>
      <w:keepLines/>
      <w:numPr>
        <w:ilvl w:val="6"/>
        <w:numId w:val="1"/>
      </w:numPr>
      <w:spacing w:before="50" w:beforeLines="50" w:after="50" w:afterLines="50" w:line="360" w:lineRule="auto"/>
      <w:outlineLvl w:val="6"/>
    </w:pPr>
    <w:rPr>
      <w:rFonts w:ascii="Times New Roman" w:hAnsi="Times New Roman" w:eastAsia="宋体" w:cs="Times New Roman"/>
      <w:bCs/>
      <w:kern w:val="2"/>
      <w:sz w:val="24"/>
      <w:szCs w:val="24"/>
      <w:lang w:val="en-US" w:eastAsia="zh-CN" w:bidi="ar-SA"/>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10">
    <w:name w:val="annotation text"/>
    <w:basedOn w:val="1"/>
    <w:link w:val="36"/>
    <w:semiHidden/>
    <w:unhideWhenUsed/>
    <w:qFormat/>
    <w:uiPriority w:val="99"/>
    <w:pPr>
      <w:jc w:val="left"/>
    </w:pPr>
  </w:style>
  <w:style w:type="paragraph" w:styleId="11">
    <w:name w:val="toc 3"/>
    <w:basedOn w:val="1"/>
    <w:next w:val="1"/>
    <w:unhideWhenUsed/>
    <w:qFormat/>
    <w:uiPriority w:val="39"/>
    <w:pPr>
      <w:ind w:left="840" w:leftChars="400"/>
    </w:pPr>
    <w:rPr>
      <w:rFonts w:eastAsia="黑体"/>
    </w:rPr>
  </w:style>
  <w:style w:type="paragraph" w:styleId="12">
    <w:name w:val="Balloon Text"/>
    <w:basedOn w:val="1"/>
    <w:link w:val="38"/>
    <w:semiHidden/>
    <w:unhideWhenUsed/>
    <w:qFormat/>
    <w:uiPriority w:val="99"/>
    <w:pPr>
      <w:spacing w:line="240" w:lineRule="auto"/>
    </w:pPr>
    <w:rPr>
      <w:sz w:val="18"/>
      <w:szCs w:val="18"/>
    </w:rPr>
  </w:style>
  <w:style w:type="paragraph" w:styleId="13">
    <w:name w:val="footer"/>
    <w:basedOn w:val="1"/>
    <w:link w:val="32"/>
    <w:qFormat/>
    <w:uiPriority w:val="0"/>
    <w:pPr>
      <w:tabs>
        <w:tab w:val="center" w:pos="4153"/>
        <w:tab w:val="right" w:pos="8306"/>
      </w:tabs>
      <w:snapToGrid w:val="0"/>
      <w:jc w:val="left"/>
    </w:pPr>
    <w:rPr>
      <w:sz w:val="18"/>
    </w:rPr>
  </w:style>
  <w:style w:type="paragraph" w:styleId="14">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rPr>
      <w:rFonts w:eastAsia="黑体"/>
    </w:rPr>
  </w:style>
  <w:style w:type="paragraph" w:styleId="16">
    <w:name w:val="toc 2"/>
    <w:basedOn w:val="1"/>
    <w:next w:val="1"/>
    <w:unhideWhenUsed/>
    <w:qFormat/>
    <w:uiPriority w:val="39"/>
    <w:pPr>
      <w:ind w:left="420" w:leftChars="200"/>
    </w:pPr>
    <w:rPr>
      <w:rFonts w:eastAsia="黑体"/>
    </w:rPr>
  </w:style>
  <w:style w:type="paragraph" w:styleId="17">
    <w:name w:val="annotation subject"/>
    <w:basedOn w:val="10"/>
    <w:next w:val="10"/>
    <w:link w:val="37"/>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1"/>
    <w:rPr>
      <w:rFonts w:ascii="Times New Roman" w:hAnsi="Times New Roman" w:eastAsia="黑体" w:cs="Times New Roman"/>
      <w:bCs/>
      <w:kern w:val="0"/>
      <w:sz w:val="32"/>
      <w:szCs w:val="44"/>
    </w:rPr>
  </w:style>
  <w:style w:type="character" w:customStyle="1" w:styleId="22">
    <w:name w:val="标题 2 字符"/>
    <w:basedOn w:val="19"/>
    <w:link w:val="4"/>
    <w:qFormat/>
    <w:uiPriority w:val="1"/>
    <w:rPr>
      <w:rFonts w:ascii="Times New Roman" w:hAnsi="Times New Roman" w:eastAsia="黑体" w:cs="Times New Roman"/>
      <w:bCs/>
      <w:sz w:val="28"/>
      <w:szCs w:val="32"/>
    </w:rPr>
  </w:style>
  <w:style w:type="character" w:customStyle="1" w:styleId="23">
    <w:name w:val="标题 3 字符"/>
    <w:basedOn w:val="19"/>
    <w:link w:val="5"/>
    <w:qFormat/>
    <w:uiPriority w:val="1"/>
    <w:rPr>
      <w:rFonts w:ascii="Times New Roman" w:hAnsi="Times New Roman" w:eastAsia="黑体" w:cs="Times New Roman"/>
      <w:bCs/>
      <w:color w:val="000000"/>
      <w:kern w:val="0"/>
      <w:sz w:val="24"/>
      <w:szCs w:val="24"/>
      <w:lang w:eastAsia="ar-SA"/>
    </w:rPr>
  </w:style>
  <w:style w:type="character" w:customStyle="1" w:styleId="24">
    <w:name w:val="标题 4 字符"/>
    <w:basedOn w:val="19"/>
    <w:link w:val="6"/>
    <w:qFormat/>
    <w:uiPriority w:val="1"/>
    <w:rPr>
      <w:rFonts w:ascii="Times New Roman" w:hAnsi="Times New Roman" w:eastAsia="宋体" w:cs="Times New Roman"/>
      <w:b/>
      <w:bCs/>
      <w:sz w:val="24"/>
      <w:szCs w:val="28"/>
    </w:rPr>
  </w:style>
  <w:style w:type="character" w:customStyle="1" w:styleId="25">
    <w:name w:val="标题 5 字符"/>
    <w:basedOn w:val="19"/>
    <w:link w:val="7"/>
    <w:qFormat/>
    <w:uiPriority w:val="1"/>
    <w:rPr>
      <w:rFonts w:ascii="Times New Roman" w:hAnsi="Times New Roman" w:eastAsia="宋体" w:cs="Times New Roman"/>
      <w:bCs/>
      <w:sz w:val="24"/>
      <w:szCs w:val="28"/>
    </w:rPr>
  </w:style>
  <w:style w:type="character" w:customStyle="1" w:styleId="26">
    <w:name w:val="标题 6 字符"/>
    <w:basedOn w:val="19"/>
    <w:link w:val="8"/>
    <w:qFormat/>
    <w:uiPriority w:val="1"/>
    <w:rPr>
      <w:rFonts w:ascii="Times New Roman" w:hAnsi="Times New Roman" w:eastAsia="宋体" w:cs="Times New Roman"/>
      <w:bCs/>
      <w:sz w:val="24"/>
      <w:szCs w:val="24"/>
    </w:rPr>
  </w:style>
  <w:style w:type="character" w:customStyle="1" w:styleId="27">
    <w:name w:val="标题 7 字符"/>
    <w:basedOn w:val="19"/>
    <w:link w:val="9"/>
    <w:qFormat/>
    <w:uiPriority w:val="2"/>
    <w:rPr>
      <w:rFonts w:ascii="Times New Roman" w:hAnsi="Times New Roman" w:eastAsia="宋体" w:cs="Times New Roman"/>
      <w:bCs/>
      <w:sz w:val="24"/>
      <w:szCs w:val="24"/>
    </w:rPr>
  </w:style>
  <w:style w:type="paragraph" w:customStyle="1" w:styleId="28">
    <w:name w:val="表格后说明"/>
    <w:next w:val="3"/>
    <w:qFormat/>
    <w:uiPriority w:val="3"/>
    <w:pPr>
      <w:jc w:val="both"/>
    </w:pPr>
    <w:rPr>
      <w:rFonts w:ascii="Times New Roman" w:hAnsi="Times New Roman" w:eastAsia="宋体" w:cs="Times New Roman"/>
      <w:kern w:val="2"/>
      <w:sz w:val="21"/>
      <w:szCs w:val="24"/>
      <w:lang w:val="en-US" w:eastAsia="zh-CN" w:bidi="ar-SA"/>
    </w:rPr>
  </w:style>
  <w:style w:type="paragraph" w:customStyle="1" w:styleId="29">
    <w:name w:val="表格前单位"/>
    <w:next w:val="3"/>
    <w:qFormat/>
    <w:uiPriority w:val="2"/>
    <w:pPr>
      <w:keepNext/>
      <w:jc w:val="right"/>
    </w:pPr>
    <w:rPr>
      <w:rFonts w:ascii="Times New Roman" w:hAnsi="Times New Roman" w:eastAsia="宋体" w:cs="Times New Roman"/>
      <w:kern w:val="2"/>
      <w:sz w:val="21"/>
      <w:szCs w:val="24"/>
      <w:lang w:val="en-US" w:eastAsia="zh-CN" w:bidi="ar-SA"/>
    </w:rPr>
  </w:style>
  <w:style w:type="table" w:customStyle="1" w:styleId="30">
    <w:name w:val="报告表格"/>
    <w:basedOn w:val="18"/>
    <w:qFormat/>
    <w:uiPriority w:val="99"/>
    <w:rPr>
      <w:sz w:val="18"/>
    </w:rPr>
  </w:style>
  <w:style w:type="paragraph" w:customStyle="1" w:styleId="31">
    <w:name w:val="TOC 标题1"/>
    <w:basedOn w:val="2"/>
    <w:next w:val="1"/>
    <w:unhideWhenUsed/>
    <w:qFormat/>
    <w:uiPriority w:val="39"/>
    <w:pPr>
      <w:pageBreakBefore w:val="0"/>
      <w:numPr>
        <w:numId w:val="0"/>
      </w:numPr>
      <w:snapToGrid w:val="0"/>
      <w:spacing w:before="240" w:beforeLines="0" w:after="0" w:afterLines="0" w:line="259" w:lineRule="auto"/>
      <w:outlineLvl w:val="9"/>
    </w:pPr>
    <w:rPr>
      <w:bCs w:val="0"/>
      <w:szCs w:val="32"/>
    </w:rPr>
  </w:style>
  <w:style w:type="character" w:customStyle="1" w:styleId="32">
    <w:name w:val="页脚 字符"/>
    <w:basedOn w:val="19"/>
    <w:link w:val="13"/>
    <w:qFormat/>
    <w:uiPriority w:val="0"/>
    <w:rPr>
      <w:rFonts w:ascii="Times New Roman" w:hAnsi="Times New Roman" w:eastAsia="宋体" w:cs="Times New Roman"/>
      <w:sz w:val="18"/>
      <w:szCs w:val="24"/>
    </w:rPr>
  </w:style>
  <w:style w:type="character" w:customStyle="1" w:styleId="33">
    <w:name w:val="页眉 字符"/>
    <w:basedOn w:val="19"/>
    <w:link w:val="14"/>
    <w:qFormat/>
    <w:uiPriority w:val="0"/>
    <w:rPr>
      <w:rFonts w:ascii="Times New Roman" w:hAnsi="Times New Roman" w:eastAsia="宋体" w:cs="Times New Roman"/>
      <w:sz w:val="18"/>
      <w:szCs w:val="24"/>
    </w:rPr>
  </w:style>
  <w:style w:type="paragraph" w:customStyle="1" w:styleId="34">
    <w:name w:val="005正文"/>
    <w:basedOn w:val="1"/>
    <w:qFormat/>
    <w:uiPriority w:val="0"/>
    <w:pPr>
      <w:spacing w:before="50" w:beforeLines="50" w:after="50" w:afterLines="50"/>
    </w:pPr>
    <w:rPr>
      <w:szCs w:val="22"/>
    </w:rPr>
  </w:style>
  <w:style w:type="paragraph" w:styleId="35">
    <w:name w:val="List Paragraph"/>
    <w:basedOn w:val="1"/>
    <w:unhideWhenUsed/>
    <w:qFormat/>
    <w:uiPriority w:val="99"/>
    <w:pPr>
      <w:ind w:firstLine="420"/>
    </w:pPr>
  </w:style>
  <w:style w:type="character" w:customStyle="1" w:styleId="36">
    <w:name w:val="批注文字 字符"/>
    <w:basedOn w:val="19"/>
    <w:link w:val="10"/>
    <w:semiHidden/>
    <w:qFormat/>
    <w:uiPriority w:val="99"/>
    <w:rPr>
      <w:rFonts w:ascii="Times New Roman" w:hAnsi="Times New Roman" w:eastAsia="宋体" w:cs="Times New Roman"/>
      <w:sz w:val="24"/>
      <w:szCs w:val="24"/>
    </w:rPr>
  </w:style>
  <w:style w:type="character" w:customStyle="1" w:styleId="37">
    <w:name w:val="批注主题 字符"/>
    <w:basedOn w:val="36"/>
    <w:link w:val="17"/>
    <w:semiHidden/>
    <w:qFormat/>
    <w:uiPriority w:val="99"/>
    <w:rPr>
      <w:rFonts w:ascii="Times New Roman" w:hAnsi="Times New Roman" w:eastAsia="宋体" w:cs="Times New Roman"/>
      <w:b/>
      <w:bCs/>
      <w:sz w:val="24"/>
      <w:szCs w:val="24"/>
    </w:rPr>
  </w:style>
  <w:style w:type="character" w:customStyle="1" w:styleId="38">
    <w:name w:val="批注框文本 字符"/>
    <w:basedOn w:val="19"/>
    <w:link w:val="12"/>
    <w:semiHidden/>
    <w:qFormat/>
    <w:uiPriority w:val="99"/>
    <w:rPr>
      <w:rFonts w:ascii="Times New Roman" w:hAnsi="Times New Roman" w:eastAsia="宋体" w:cs="Times New Roman"/>
      <w:sz w:val="18"/>
      <w:szCs w:val="18"/>
    </w:rPr>
  </w:style>
  <w:style w:type="paragraph" w:customStyle="1" w:styleId="39">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40">
    <w:name w:val="markedcontent"/>
    <w:basedOn w:val="19"/>
    <w:qFormat/>
    <w:uiPriority w:val="0"/>
  </w:style>
  <w:style w:type="paragraph" w:customStyle="1" w:styleId="41">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42">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43">
    <w:name w:val="修订4"/>
    <w:hidden/>
    <w:unhideWhenUsed/>
    <w:qFormat/>
    <w:uiPriority w:val="99"/>
    <w:rPr>
      <w:rFonts w:ascii="Times New Roman" w:hAnsi="Times New Roman" w:eastAsia="宋体" w:cs="Times New Roman"/>
      <w:kern w:val="2"/>
      <w:sz w:val="24"/>
      <w:szCs w:val="24"/>
      <w:lang w:val="en-US" w:eastAsia="zh-CN" w:bidi="ar-SA"/>
    </w:rPr>
  </w:style>
  <w:style w:type="paragraph" w:customStyle="1" w:styleId="44">
    <w:name w:val="修订5"/>
    <w:hidden/>
    <w:unhideWhenUsed/>
    <w:qFormat/>
    <w:uiPriority w:val="99"/>
    <w:rPr>
      <w:rFonts w:ascii="Times New Roman" w:hAnsi="Times New Roman" w:eastAsia="宋体" w:cs="Times New Roman"/>
      <w:kern w:val="2"/>
      <w:sz w:val="24"/>
      <w:szCs w:val="24"/>
      <w:lang w:val="en-US" w:eastAsia="zh-CN" w:bidi="ar-SA"/>
    </w:rPr>
  </w:style>
  <w:style w:type="paragraph" w:customStyle="1" w:styleId="45">
    <w:name w:val="Revision"/>
    <w:hidden/>
    <w:unhideWhenUsed/>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47DF-0BC6-429D-8DCE-A7BF45721BAB}">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387</Words>
  <Characters>2212</Characters>
  <Lines>18</Lines>
  <Paragraphs>5</Paragraphs>
  <TotalTime>46</TotalTime>
  <ScaleCrop>false</ScaleCrop>
  <LinksUpToDate>false</LinksUpToDate>
  <CharactersWithSpaces>2594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2024-05-06T08:52:00Z</dcterms:created>
  <dc:creator>yatine Peng</dc:creator>
  <cp:lastModifiedBy>杜希贤</cp:lastModifiedBy>
  <dcterms:modified xsi:type="dcterms:W3CDTF">2025-04-30T05:51:12Z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23C5D71317F4403A80EFA3D07372DA77_13</vt:lpwstr>
  </property>
  <property fmtid="{D5CDD505-2E9C-101B-9397-08002B2CF9AE}" pid="4" name="KSOTemplateDocerSaveRecord">
    <vt:lpwstr>eyJoZGlkIjoiNGQ2OTc2ZDMzNWRiNzVlMzNiYjBiZGYxZjk4YzQ3NTIiLCJ1c2VySWQiOiIzNDk5NTQxNDIifQ==</vt:lpwstr>
  </property>
</Properties>
</file>