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5CF31">
      <w:pPr>
        <w:spacing w:before="31" w:beforeLines="10" w:line="360" w:lineRule="auto"/>
        <w:rPr>
          <w:rFonts w:ascii="Times New Roman" w:hAnsi="Times New Roman"/>
          <w:bCs/>
          <w:sz w:val="24"/>
        </w:rPr>
      </w:pPr>
      <w:r>
        <w:rPr>
          <w:rFonts w:ascii="Times New Roman" w:hAnsi="Times New Roman"/>
          <w:bCs/>
          <w:sz w:val="24"/>
        </w:rPr>
        <w:t>证券简称</w:t>
      </w:r>
      <w:r>
        <w:rPr>
          <w:rFonts w:hint="eastAsia" w:ascii="Times New Roman" w:hAnsi="Times New Roman"/>
          <w:bCs/>
          <w:sz w:val="24"/>
        </w:rPr>
        <w:t>：</w:t>
      </w:r>
      <w:r>
        <w:rPr>
          <w:rFonts w:ascii="Times New Roman" w:hAnsi="Times New Roman"/>
          <w:bCs/>
          <w:sz w:val="24"/>
        </w:rPr>
        <w:t>兴通股份                                        证券代码：603209</w:t>
      </w:r>
    </w:p>
    <w:p w14:paraId="737B8EE6">
      <w:pPr>
        <w:spacing w:before="31" w:beforeLines="10" w:line="360" w:lineRule="auto"/>
        <w:jc w:val="center"/>
        <w:rPr>
          <w:rFonts w:ascii="Times New Roman" w:hAnsi="Times New Roman"/>
          <w:b/>
          <w:w w:val="95"/>
          <w:sz w:val="32"/>
          <w:szCs w:val="32"/>
        </w:rPr>
      </w:pPr>
    </w:p>
    <w:p w14:paraId="0FFDF0BE">
      <w:pPr>
        <w:spacing w:before="31" w:beforeLines="10" w:line="360" w:lineRule="auto"/>
        <w:jc w:val="center"/>
        <w:rPr>
          <w:rFonts w:ascii="Times New Roman" w:hAnsi="Times New Roman"/>
          <w:b/>
          <w:sz w:val="36"/>
          <w:szCs w:val="36"/>
        </w:rPr>
      </w:pPr>
      <w:r>
        <w:rPr>
          <w:rFonts w:ascii="Times New Roman" w:hAnsi="Times New Roman"/>
          <w:b/>
          <w:sz w:val="36"/>
          <w:szCs w:val="36"/>
        </w:rPr>
        <w:t>兴通海运股份有限公司</w:t>
      </w:r>
    </w:p>
    <w:p w14:paraId="334B950C">
      <w:pPr>
        <w:spacing w:line="360" w:lineRule="auto"/>
        <w:jc w:val="center"/>
        <w:rPr>
          <w:rFonts w:ascii="Times New Roman" w:hAnsi="Times New Roman"/>
          <w:b/>
          <w:kern w:val="0"/>
          <w:sz w:val="36"/>
          <w:szCs w:val="36"/>
        </w:rPr>
      </w:pPr>
      <w:bookmarkStart w:id="0" w:name="OLE_LINK1"/>
      <w:r>
        <w:rPr>
          <w:rFonts w:ascii="Times New Roman" w:hAnsi="Times New Roman"/>
          <w:b/>
          <w:kern w:val="0"/>
          <w:sz w:val="36"/>
          <w:szCs w:val="36"/>
        </w:rPr>
        <w:t>投资者关系活动记录表</w:t>
      </w:r>
    </w:p>
    <w:bookmarkEnd w:id="0"/>
    <w:p w14:paraId="48975354">
      <w:pPr>
        <w:tabs>
          <w:tab w:val="left" w:pos="6106"/>
        </w:tabs>
        <w:spacing w:before="156" w:beforeLines="50" w:after="156" w:afterLines="50"/>
        <w:ind w:firstLine="240" w:firstLineChars="100"/>
        <w:jc w:val="right"/>
        <w:rPr>
          <w:rFonts w:hint="eastAsia" w:ascii="Times New Roman" w:hAnsi="Times New Roman" w:eastAsia="宋体"/>
          <w:sz w:val="24"/>
          <w:lang w:val="en-US" w:eastAsia="zh-CN"/>
        </w:rPr>
      </w:pPr>
      <w:r>
        <w:rPr>
          <w:rFonts w:ascii="Times New Roman" w:hAnsi="Times New Roman"/>
          <w:sz w:val="24"/>
        </w:rPr>
        <w:t>编号：202</w:t>
      </w:r>
      <w:r>
        <w:rPr>
          <w:rFonts w:hint="eastAsia" w:ascii="Times New Roman" w:hAnsi="Times New Roman"/>
          <w:sz w:val="24"/>
          <w:lang w:val="en-US" w:eastAsia="zh-CN"/>
        </w:rPr>
        <w:t>5</w:t>
      </w:r>
      <w:r>
        <w:rPr>
          <w:rFonts w:ascii="Times New Roman" w:hAnsi="Times New Roman"/>
          <w:sz w:val="24"/>
        </w:rPr>
        <w:t>-00</w:t>
      </w:r>
      <w:r>
        <w:rPr>
          <w:rFonts w:hint="eastAsia" w:ascii="Times New Roman" w:hAnsi="Times New Roman"/>
          <w:sz w:val="24"/>
          <w:lang w:val="en-US" w:eastAsia="zh-CN"/>
        </w:rPr>
        <w:t>3</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6855"/>
      </w:tblGrid>
      <w:tr w14:paraId="2CC63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tcBorders>
              <w:top w:val="single" w:color="auto" w:sz="12" w:space="0"/>
              <w:left w:val="single" w:color="auto" w:sz="12" w:space="0"/>
              <w:bottom w:val="single" w:color="auto" w:sz="4" w:space="0"/>
              <w:right w:val="single" w:color="auto" w:sz="4" w:space="0"/>
            </w:tcBorders>
            <w:vAlign w:val="center"/>
          </w:tcPr>
          <w:p w14:paraId="7DE6EE01">
            <w:pPr>
              <w:spacing w:before="156" w:beforeLines="50" w:after="156" w:afterLines="50"/>
              <w:jc w:val="center"/>
              <w:rPr>
                <w:rFonts w:ascii="Times New Roman" w:hAnsi="Times New Roman"/>
                <w:bCs/>
                <w:sz w:val="24"/>
              </w:rPr>
            </w:pPr>
            <w:r>
              <w:rPr>
                <w:rFonts w:ascii="Times New Roman" w:hAnsi="Times New Roman"/>
                <w:b/>
                <w:bCs/>
                <w:sz w:val="24"/>
              </w:rPr>
              <w:t>投资者关系活动类别</w:t>
            </w:r>
          </w:p>
        </w:tc>
        <w:tc>
          <w:tcPr>
            <w:tcW w:w="6855" w:type="dxa"/>
            <w:tcBorders>
              <w:top w:val="single" w:color="auto" w:sz="12" w:space="0"/>
              <w:left w:val="single" w:color="auto" w:sz="4" w:space="0"/>
              <w:bottom w:val="single" w:color="auto" w:sz="4" w:space="0"/>
              <w:right w:val="single" w:color="auto" w:sz="12" w:space="0"/>
            </w:tcBorders>
            <w:vAlign w:val="center"/>
          </w:tcPr>
          <w:p w14:paraId="5DBE8A1F">
            <w:pPr>
              <w:widowControl/>
              <w:tabs>
                <w:tab w:val="left" w:pos="3480"/>
              </w:tabs>
              <w:spacing w:before="156" w:beforeLines="50" w:after="156" w:afterLines="50"/>
              <w:rPr>
                <w:rFonts w:ascii="Times New Roman" w:hAnsi="Times New Roman"/>
                <w:bCs/>
                <w:sz w:val="24"/>
              </w:rPr>
            </w:pPr>
            <w:bookmarkStart w:id="1" w:name="_GoBack"/>
            <w:bookmarkEnd w:id="1"/>
            <w:r>
              <w:rPr>
                <w:rFonts w:hint="default" w:ascii="Times New Roman" w:hAnsi="Times New Roman"/>
                <w:bCs/>
                <w:sz w:val="24"/>
                <w:lang w:val="en-US" w:eastAsia="zh-CN"/>
              </w:rPr>
              <w:t>☑</w:t>
            </w:r>
            <w:r>
              <w:rPr>
                <w:rFonts w:ascii="Times New Roman" w:hAnsi="Times New Roman"/>
                <w:bCs/>
                <w:sz w:val="24"/>
              </w:rPr>
              <w:t>特定对象调研   □分析师会议      □媒体采访</w:t>
            </w:r>
          </w:p>
          <w:p w14:paraId="084B8793">
            <w:pPr>
              <w:widowControl/>
              <w:tabs>
                <w:tab w:val="left" w:pos="2040"/>
                <w:tab w:val="left" w:pos="3480"/>
              </w:tabs>
              <w:spacing w:before="156" w:beforeLines="50" w:after="156" w:afterLines="50"/>
              <w:rPr>
                <w:rFonts w:ascii="Times New Roman" w:hAnsi="Times New Roman"/>
                <w:bCs/>
                <w:sz w:val="24"/>
              </w:rPr>
            </w:pPr>
            <w:r>
              <w:rPr>
                <w:rFonts w:hint="eastAsia" w:ascii="Times New Roman" w:hAnsi="Times New Roman"/>
                <w:bCs/>
                <w:sz w:val="24"/>
                <w:lang w:eastAsia="zh-CN"/>
              </w:rPr>
              <w:t>☑</w:t>
            </w:r>
            <w:r>
              <w:rPr>
                <w:rFonts w:ascii="Times New Roman" w:hAnsi="Times New Roman"/>
                <w:bCs/>
                <w:sz w:val="24"/>
              </w:rPr>
              <w:t xml:space="preserve">业绩说明会     □新闻发布会      </w:t>
            </w:r>
            <w:r>
              <w:rPr>
                <w:rFonts w:hint="eastAsia" w:ascii="Times New Roman" w:hAnsi="Times New Roman"/>
                <w:bCs/>
                <w:sz w:val="24"/>
                <w:lang w:eastAsia="zh-CN"/>
              </w:rPr>
              <w:t>☑</w:t>
            </w:r>
            <w:r>
              <w:rPr>
                <w:rFonts w:ascii="Times New Roman" w:hAnsi="Times New Roman"/>
                <w:bCs/>
                <w:sz w:val="24"/>
              </w:rPr>
              <w:t>路演活动</w:t>
            </w:r>
          </w:p>
          <w:p w14:paraId="7C76FED2">
            <w:pPr>
              <w:spacing w:before="156" w:beforeLines="50" w:after="156" w:afterLines="50"/>
              <w:rPr>
                <w:rFonts w:ascii="Times New Roman" w:hAnsi="Times New Roman"/>
                <w:bCs/>
                <w:sz w:val="24"/>
              </w:rPr>
            </w:pPr>
            <w:r>
              <w:rPr>
                <w:rFonts w:hint="eastAsia" w:ascii="Times New Roman" w:hAnsi="Times New Roman"/>
                <w:bCs/>
                <w:sz w:val="24"/>
                <w:lang w:eastAsia="zh-CN"/>
              </w:rPr>
              <w:t>☑</w:t>
            </w:r>
            <w:r>
              <w:rPr>
                <w:rFonts w:ascii="Times New Roman" w:hAnsi="Times New Roman"/>
                <w:bCs/>
                <w:sz w:val="24"/>
              </w:rPr>
              <w:t xml:space="preserve">现场参观       □一对一沟通      </w:t>
            </w:r>
            <w:r>
              <w:rPr>
                <w:rFonts w:hint="eastAsia" w:ascii="Times New Roman" w:hAnsi="Times New Roman"/>
                <w:bCs/>
                <w:sz w:val="24"/>
                <w:lang w:eastAsia="zh-CN"/>
              </w:rPr>
              <w:t>☑</w:t>
            </w:r>
            <w:r>
              <w:rPr>
                <w:rFonts w:ascii="Times New Roman" w:hAnsi="Times New Roman"/>
                <w:bCs/>
                <w:sz w:val="24"/>
              </w:rPr>
              <w:t>其他（电话会议）</w:t>
            </w:r>
          </w:p>
        </w:tc>
      </w:tr>
      <w:tr w14:paraId="63354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9227E75">
            <w:pPr>
              <w:spacing w:before="156" w:beforeLines="50" w:after="156" w:afterLines="50"/>
              <w:jc w:val="center"/>
              <w:rPr>
                <w:rFonts w:ascii="Times New Roman" w:hAnsi="Times New Roman"/>
                <w:b/>
                <w:bCs/>
                <w:sz w:val="24"/>
              </w:rPr>
            </w:pPr>
            <w:r>
              <w:rPr>
                <w:rFonts w:ascii="Times New Roman" w:hAnsi="Times New Roman"/>
                <w:b/>
                <w:bCs/>
                <w:sz w:val="24"/>
              </w:rPr>
              <w:t>参与单位及人员名称</w:t>
            </w:r>
          </w:p>
        </w:tc>
        <w:tc>
          <w:tcPr>
            <w:tcW w:w="6855" w:type="dxa"/>
            <w:tcBorders>
              <w:top w:val="single" w:color="auto" w:sz="4" w:space="0"/>
              <w:left w:val="single" w:color="auto" w:sz="4" w:space="0"/>
              <w:bottom w:val="single" w:color="auto" w:sz="4" w:space="0"/>
              <w:right w:val="single" w:color="auto" w:sz="12" w:space="0"/>
            </w:tcBorders>
            <w:vAlign w:val="center"/>
          </w:tcPr>
          <w:p w14:paraId="1358BB08">
            <w:pPr>
              <w:spacing w:line="360" w:lineRule="auto"/>
              <w:rPr>
                <w:rFonts w:ascii="Times New Roman" w:hAnsi="Times New Roman"/>
                <w:sz w:val="24"/>
              </w:rPr>
            </w:pPr>
            <w:r>
              <w:rPr>
                <w:rFonts w:hint="eastAsia" w:ascii="Times New Roman" w:hAnsi="Times New Roman"/>
                <w:sz w:val="24"/>
              </w:rPr>
              <w:t>华西银峰投资、湖南轻盐创投、江西大成资本、国泰租赁、青岛城投城金、第一创业投资、浙江发展资产、鹿秀投资、福建产业基金、济南城建投资、佳杰投资、山东海投、上海般胜基金、晋江元诚基金、鼎赣投资、国君资管、陕西产投、善行四海资产、财通基金、金丰创晟、蓝海国投、东方嘉富、建发新兴产投、华文创投、允泰资本、迪策投资、国新证券、上海亿衍、宁波泽阳、中新融创、财通证券、重庆环保基金、江西金投基金、江投资本、龙马资本、申银万国投资、新程资管、金锝基金、海越基金、华能信托、常州投资、长沙国控资本、国海创新资本、杭州城投资本、宝弘景资产、东海基金、江东产投、山能资本、常州金投、乐苍投资、鲁花道生资本、共同基金、华章投资、北京泰德圣、国信创新资本、财信产业基金、天玺投资、华富瑞兴投资、南昌产投基金、前海中船、世纪金源、宁夏国投基金、恒安标准人寿、广州城投、方德磐石、涌津投资、纵贯资本、中建投信托、华泰资产、财信证券及线上参与公司2025年第一季度业绩说明会的投资者等</w:t>
            </w:r>
          </w:p>
        </w:tc>
      </w:tr>
      <w:tr w14:paraId="6755D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5909D8CC">
            <w:pPr>
              <w:spacing w:before="156" w:beforeLines="50" w:after="156" w:afterLines="50"/>
              <w:jc w:val="center"/>
              <w:rPr>
                <w:rFonts w:ascii="Times New Roman" w:hAnsi="Times New Roman"/>
                <w:b/>
                <w:bCs/>
                <w:sz w:val="24"/>
              </w:rPr>
            </w:pPr>
            <w:r>
              <w:rPr>
                <w:rFonts w:ascii="Times New Roman" w:hAnsi="Times New Roman"/>
                <w:b/>
                <w:bCs/>
                <w:sz w:val="24"/>
              </w:rPr>
              <w:t>时间</w:t>
            </w:r>
          </w:p>
        </w:tc>
        <w:tc>
          <w:tcPr>
            <w:tcW w:w="6855" w:type="dxa"/>
            <w:tcBorders>
              <w:top w:val="single" w:color="auto" w:sz="4" w:space="0"/>
              <w:left w:val="single" w:color="auto" w:sz="4" w:space="0"/>
              <w:bottom w:val="single" w:color="auto" w:sz="4" w:space="0"/>
              <w:right w:val="single" w:color="auto" w:sz="12" w:space="0"/>
            </w:tcBorders>
            <w:vAlign w:val="center"/>
          </w:tcPr>
          <w:p w14:paraId="5E1E51C9">
            <w:pPr>
              <w:spacing w:before="156" w:beforeLines="50" w:after="156" w:afterLines="50"/>
              <w:rPr>
                <w:rFonts w:ascii="Times New Roman" w:hAnsi="Times New Roman"/>
                <w:sz w:val="24"/>
              </w:rPr>
            </w:pPr>
            <w:r>
              <w:rPr>
                <w:rFonts w:hint="eastAsia" w:ascii="Times New Roman" w:hAnsi="Times New Roman" w:eastAsia="宋体" w:cs="Times New Roman"/>
                <w:sz w:val="24"/>
              </w:rPr>
              <w:t>2025年4月</w:t>
            </w:r>
            <w:r>
              <w:rPr>
                <w:rFonts w:hint="eastAsia" w:ascii="Times New Roman" w:hAnsi="Times New Roman" w:cs="Times New Roman"/>
                <w:sz w:val="24"/>
                <w:lang w:val="en-US" w:eastAsia="zh-CN"/>
              </w:rPr>
              <w:t>28</w:t>
            </w:r>
            <w:r>
              <w:rPr>
                <w:rFonts w:hint="eastAsia" w:ascii="Times New Roman" w:hAnsi="Times New Roman" w:eastAsia="宋体" w:cs="Times New Roman"/>
                <w:sz w:val="24"/>
              </w:rPr>
              <w:t>日至4月</w:t>
            </w:r>
            <w:r>
              <w:rPr>
                <w:rFonts w:hint="eastAsia" w:ascii="Times New Roman" w:hAnsi="Times New Roman" w:cs="Times New Roman"/>
                <w:sz w:val="24"/>
                <w:lang w:val="en-US" w:eastAsia="zh-CN"/>
              </w:rPr>
              <w:t>30</w:t>
            </w:r>
            <w:r>
              <w:rPr>
                <w:rFonts w:hint="eastAsia" w:ascii="Times New Roman" w:hAnsi="Times New Roman" w:eastAsia="宋体" w:cs="Times New Roman"/>
                <w:sz w:val="24"/>
              </w:rPr>
              <w:t>日</w:t>
            </w:r>
          </w:p>
        </w:tc>
      </w:tr>
      <w:tr w14:paraId="0BE63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3C009A8">
            <w:pPr>
              <w:spacing w:before="156" w:beforeLines="50" w:after="156" w:afterLines="50"/>
              <w:jc w:val="center"/>
              <w:rPr>
                <w:rFonts w:ascii="Times New Roman" w:hAnsi="Times New Roman"/>
                <w:b/>
                <w:bCs/>
                <w:sz w:val="24"/>
              </w:rPr>
            </w:pPr>
            <w:r>
              <w:rPr>
                <w:rFonts w:ascii="Times New Roman" w:hAnsi="Times New Roman"/>
                <w:b/>
                <w:bCs/>
                <w:sz w:val="24"/>
              </w:rPr>
              <w:t>地点</w:t>
            </w:r>
          </w:p>
        </w:tc>
        <w:tc>
          <w:tcPr>
            <w:tcW w:w="6855" w:type="dxa"/>
            <w:tcBorders>
              <w:top w:val="single" w:color="auto" w:sz="4" w:space="0"/>
              <w:left w:val="single" w:color="auto" w:sz="4" w:space="0"/>
              <w:bottom w:val="single" w:color="auto" w:sz="4" w:space="0"/>
              <w:right w:val="single" w:color="auto" w:sz="12" w:space="0"/>
            </w:tcBorders>
            <w:vAlign w:val="center"/>
          </w:tcPr>
          <w:p w14:paraId="29DC1D8A">
            <w:pPr>
              <w:spacing w:before="156" w:beforeLines="50" w:after="156" w:afterLines="50"/>
              <w:rPr>
                <w:rFonts w:hint="default" w:ascii="Times New Roman" w:hAnsi="Times New Roman" w:eastAsia="宋体"/>
                <w:sz w:val="24"/>
                <w:lang w:val="en-US" w:eastAsia="zh-CN"/>
              </w:rPr>
            </w:pPr>
            <w:r>
              <w:rPr>
                <w:rFonts w:hint="eastAsia" w:ascii="Times New Roman" w:hAnsi="Times New Roman"/>
                <w:sz w:val="24"/>
                <w:lang w:val="en-US" w:eastAsia="zh-CN"/>
              </w:rPr>
              <w:t>线上/福建省泉州市泉港区兴通海运大厦和同花顺路演平台</w:t>
            </w:r>
          </w:p>
        </w:tc>
      </w:tr>
      <w:tr w14:paraId="00BA2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845FC8E">
            <w:pPr>
              <w:spacing w:before="156" w:beforeLines="50" w:after="156" w:afterLines="50"/>
              <w:jc w:val="center"/>
              <w:rPr>
                <w:rFonts w:ascii="Times New Roman" w:hAnsi="Times New Roman"/>
                <w:b/>
                <w:bCs/>
                <w:sz w:val="24"/>
              </w:rPr>
            </w:pPr>
            <w:r>
              <w:rPr>
                <w:rFonts w:ascii="Times New Roman" w:hAnsi="Times New Roman"/>
                <w:b/>
                <w:bCs/>
                <w:sz w:val="24"/>
              </w:rPr>
              <w:t>公司接待人员姓名</w:t>
            </w:r>
          </w:p>
        </w:tc>
        <w:tc>
          <w:tcPr>
            <w:tcW w:w="6855" w:type="dxa"/>
            <w:tcBorders>
              <w:top w:val="single" w:color="auto" w:sz="4" w:space="0"/>
              <w:left w:val="single" w:color="auto" w:sz="4" w:space="0"/>
              <w:bottom w:val="single" w:color="auto" w:sz="4" w:space="0"/>
              <w:right w:val="single" w:color="auto" w:sz="12" w:space="0"/>
            </w:tcBorders>
            <w:vAlign w:val="center"/>
          </w:tcPr>
          <w:p w14:paraId="2C2027D2">
            <w:pPr>
              <w:spacing w:before="156" w:beforeLines="50" w:after="156" w:afterLines="50"/>
              <w:rPr>
                <w:rFonts w:ascii="Times New Roman" w:hAnsi="Times New Roman" w:eastAsia="宋体" w:cs="Times New Roman"/>
                <w:sz w:val="24"/>
              </w:rPr>
            </w:pPr>
            <w:r>
              <w:rPr>
                <w:rFonts w:ascii="Times New Roman" w:hAnsi="Times New Roman" w:eastAsia="宋体" w:cs="Times New Roman"/>
                <w:sz w:val="24"/>
              </w:rPr>
              <w:t>副董事长/总经理陈其龙先生</w:t>
            </w:r>
          </w:p>
          <w:p w14:paraId="4DA8DA3C">
            <w:pPr>
              <w:spacing w:before="156" w:beforeLines="50" w:after="156" w:afterLines="50"/>
              <w:rPr>
                <w:rFonts w:ascii="Times New Roman" w:hAnsi="Times New Roman" w:eastAsia="宋体" w:cs="Times New Roman"/>
                <w:sz w:val="24"/>
              </w:rPr>
            </w:pPr>
            <w:r>
              <w:rPr>
                <w:rFonts w:ascii="Times New Roman" w:hAnsi="Times New Roman" w:eastAsia="宋体" w:cs="Times New Roman"/>
                <w:sz w:val="24"/>
              </w:rPr>
              <w:t>董事会秘书/财务负责人黄木生先生</w:t>
            </w:r>
          </w:p>
          <w:p w14:paraId="125A534C">
            <w:pPr>
              <w:spacing w:before="156" w:beforeLines="50" w:after="156" w:afterLines="50"/>
              <w:rPr>
                <w:rFonts w:ascii="Times New Roman" w:hAnsi="Times New Roman" w:eastAsia="宋体" w:cs="Times New Roman"/>
                <w:sz w:val="24"/>
              </w:rPr>
            </w:pPr>
            <w:r>
              <w:rPr>
                <w:rFonts w:hint="eastAsia" w:ascii="Times New Roman" w:hAnsi="Times New Roman" w:eastAsia="宋体" w:cs="Times New Roman"/>
                <w:sz w:val="24"/>
              </w:rPr>
              <w:t>独立董事程爵浩先生</w:t>
            </w:r>
          </w:p>
          <w:p w14:paraId="6D4C838B">
            <w:pPr>
              <w:spacing w:before="156" w:beforeLines="50" w:after="156" w:afterLines="50"/>
              <w:rPr>
                <w:rFonts w:ascii="Times New Roman" w:hAnsi="Times New Roman"/>
                <w:sz w:val="24"/>
              </w:rPr>
            </w:pPr>
            <w:r>
              <w:rPr>
                <w:rFonts w:hint="eastAsia" w:ascii="Times New Roman" w:hAnsi="Times New Roman" w:eastAsia="宋体" w:cs="Times New Roman"/>
                <w:sz w:val="24"/>
              </w:rPr>
              <w:t>证券事务代表柳思颖女士</w:t>
            </w:r>
          </w:p>
        </w:tc>
      </w:tr>
      <w:tr w14:paraId="18E25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C5B6A30">
            <w:pPr>
              <w:spacing w:before="156" w:beforeLines="50" w:after="156" w:afterLines="50"/>
              <w:jc w:val="center"/>
              <w:rPr>
                <w:rFonts w:ascii="Times New Roman" w:hAnsi="Times New Roman"/>
                <w:b/>
                <w:bCs/>
                <w:sz w:val="24"/>
              </w:rPr>
            </w:pPr>
            <w:r>
              <w:rPr>
                <w:rFonts w:ascii="Times New Roman" w:hAnsi="Times New Roman"/>
                <w:b/>
                <w:bCs/>
                <w:sz w:val="24"/>
              </w:rPr>
              <w:t>投资者关系活动主要内容介绍</w:t>
            </w:r>
          </w:p>
        </w:tc>
        <w:tc>
          <w:tcPr>
            <w:tcW w:w="6855" w:type="dxa"/>
            <w:tcBorders>
              <w:top w:val="single" w:color="auto" w:sz="4" w:space="0"/>
              <w:left w:val="single" w:color="auto" w:sz="4" w:space="0"/>
              <w:bottom w:val="single" w:color="auto" w:sz="4" w:space="0"/>
              <w:right w:val="single" w:color="auto" w:sz="12" w:space="0"/>
            </w:tcBorders>
            <w:vAlign w:val="center"/>
          </w:tcPr>
          <w:p w14:paraId="7950115E">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0" w:leftChars="0" w:firstLine="482" w:firstLineChars="20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公司2025年第一季度经营情况</w:t>
            </w:r>
          </w:p>
          <w:p w14:paraId="6E24FC9C">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2" w:firstLineChars="20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kern w:val="2"/>
                <w:sz w:val="24"/>
                <w:szCs w:val="24"/>
                <w:lang w:val="en-US" w:eastAsia="zh-CN" w:bidi="ar-SA"/>
              </w:rPr>
              <w:t>1、</w:t>
            </w:r>
            <w:r>
              <w:rPr>
                <w:rFonts w:hint="eastAsia" w:ascii="Times New Roman" w:hAnsi="Times New Roman" w:eastAsia="宋体" w:cs="Times New Roman"/>
                <w:b/>
                <w:bCs/>
                <w:sz w:val="24"/>
                <w:szCs w:val="24"/>
                <w:lang w:val="en-US" w:eastAsia="zh-CN"/>
              </w:rPr>
              <w:t>运力规模</w:t>
            </w:r>
          </w:p>
          <w:p w14:paraId="79E65BF0">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jc w:val="both"/>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截至2025年3月31日，公司在营的散装液体化学品船、成品油船、液化石油气船共计37艘，总运力达42.95万载重吨。其中，内贸船舶29艘，合计31.38万载重吨；外贸船舶8艘，合计11.57万载重吨。</w:t>
            </w:r>
          </w:p>
          <w:p w14:paraId="205A2831">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jc w:val="both"/>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截至目前，公司有12艘在建船舶，合计运力达23.50万载重吨，计划于2025年二季度至2027年上半年陆续投入运营。</w:t>
            </w:r>
          </w:p>
          <w:p w14:paraId="2EE5E1C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482" w:firstLineChars="20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kern w:val="2"/>
                <w:sz w:val="24"/>
                <w:szCs w:val="24"/>
                <w:lang w:val="en-US" w:eastAsia="zh-CN" w:bidi="ar-SA"/>
              </w:rPr>
              <w:t>2、</w:t>
            </w:r>
            <w:r>
              <w:rPr>
                <w:rFonts w:hint="eastAsia" w:ascii="Times New Roman" w:hAnsi="Times New Roman" w:eastAsia="宋体" w:cs="Times New Roman"/>
                <w:b/>
                <w:bCs/>
                <w:sz w:val="24"/>
                <w:szCs w:val="24"/>
                <w:lang w:val="en-US" w:eastAsia="zh-CN"/>
              </w:rPr>
              <w:t>主要经营数据</w:t>
            </w:r>
          </w:p>
          <w:p w14:paraId="42CFBDD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2025年第一季度</w:t>
            </w:r>
            <w:r>
              <w:rPr>
                <w:rFonts w:hint="default" w:ascii="Times New Roman" w:hAnsi="Times New Roman" w:eastAsia="宋体" w:cs="Times New Roman"/>
                <w:b w:val="0"/>
                <w:bCs w:val="0"/>
                <w:sz w:val="24"/>
                <w:szCs w:val="24"/>
                <w:lang w:val="en-US" w:eastAsia="zh-CN"/>
              </w:rPr>
              <w:t>，公司</w:t>
            </w:r>
            <w:r>
              <w:rPr>
                <w:rFonts w:hint="eastAsia" w:ascii="Times New Roman" w:hAnsi="Times New Roman" w:eastAsia="宋体" w:cs="Times New Roman"/>
                <w:b w:val="0"/>
                <w:bCs w:val="0"/>
                <w:sz w:val="24"/>
                <w:szCs w:val="24"/>
                <w:lang w:val="en-US" w:eastAsia="zh-CN"/>
              </w:rPr>
              <w:t>实现</w:t>
            </w:r>
            <w:r>
              <w:rPr>
                <w:rFonts w:hint="default" w:ascii="Times New Roman" w:hAnsi="Times New Roman" w:eastAsia="宋体" w:cs="Times New Roman"/>
                <w:b w:val="0"/>
                <w:bCs w:val="0"/>
                <w:sz w:val="24"/>
                <w:szCs w:val="24"/>
                <w:lang w:val="en-US" w:eastAsia="zh-CN"/>
              </w:rPr>
              <w:t>营业收入</w:t>
            </w:r>
            <w:r>
              <w:rPr>
                <w:rFonts w:hint="eastAsia" w:ascii="Times New Roman" w:hAnsi="Times New Roman" w:eastAsia="宋体" w:cs="Times New Roman"/>
                <w:b w:val="0"/>
                <w:bCs w:val="0"/>
                <w:sz w:val="24"/>
                <w:szCs w:val="24"/>
                <w:lang w:val="en-US" w:eastAsia="zh-CN"/>
              </w:rPr>
              <w:t>3.82</w:t>
            </w:r>
            <w:r>
              <w:rPr>
                <w:rFonts w:hint="default" w:ascii="Times New Roman" w:hAnsi="Times New Roman" w:eastAsia="宋体" w:cs="Times New Roman"/>
                <w:b w:val="0"/>
                <w:bCs w:val="0"/>
                <w:sz w:val="24"/>
                <w:szCs w:val="24"/>
                <w:lang w:val="en-US" w:eastAsia="zh-CN"/>
              </w:rPr>
              <w:t>亿元，归属于上市公司股东</w:t>
            </w:r>
            <w:r>
              <w:rPr>
                <w:rFonts w:hint="eastAsia" w:ascii="Times New Roman" w:hAnsi="Times New Roman" w:eastAsia="宋体" w:cs="Times New Roman"/>
                <w:b w:val="0"/>
                <w:bCs w:val="0"/>
                <w:sz w:val="24"/>
                <w:szCs w:val="24"/>
                <w:lang w:val="en-US" w:eastAsia="zh-CN"/>
              </w:rPr>
              <w:t>的</w:t>
            </w:r>
            <w:r>
              <w:rPr>
                <w:rFonts w:hint="default" w:ascii="Times New Roman" w:hAnsi="Times New Roman" w:eastAsia="宋体" w:cs="Times New Roman"/>
                <w:b w:val="0"/>
                <w:bCs w:val="0"/>
                <w:sz w:val="24"/>
                <w:szCs w:val="24"/>
                <w:lang w:val="en-US" w:eastAsia="zh-CN"/>
              </w:rPr>
              <w:t>净利润7,376.93</w:t>
            </w:r>
            <w:r>
              <w:rPr>
                <w:rFonts w:hint="eastAsia" w:ascii="Times New Roman" w:hAnsi="Times New Roman" w:eastAsia="宋体" w:cs="Times New Roman"/>
                <w:b w:val="0"/>
                <w:bCs w:val="0"/>
                <w:sz w:val="24"/>
                <w:szCs w:val="24"/>
                <w:lang w:val="en-US" w:eastAsia="zh-CN"/>
              </w:rPr>
              <w:t>万</w:t>
            </w:r>
            <w:r>
              <w:rPr>
                <w:rFonts w:hint="default" w:ascii="Times New Roman" w:hAnsi="Times New Roman" w:eastAsia="宋体" w:cs="Times New Roman"/>
                <w:b w:val="0"/>
                <w:bCs w:val="0"/>
                <w:sz w:val="24"/>
                <w:szCs w:val="24"/>
                <w:lang w:val="en-US" w:eastAsia="zh-CN"/>
              </w:rPr>
              <w:t>元</w:t>
            </w:r>
            <w:r>
              <w:rPr>
                <w:rFonts w:hint="eastAsia" w:ascii="Times New Roman" w:hAnsi="Times New Roman" w:eastAsia="宋体" w:cs="Times New Roman"/>
                <w:color w:val="auto"/>
                <w:sz w:val="24"/>
              </w:rPr>
              <w:t>。</w:t>
            </w:r>
          </w:p>
          <w:p w14:paraId="2500099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firstLine="482" w:firstLineChars="200"/>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（二）交流的主要问题及公司回复概要</w:t>
            </w:r>
          </w:p>
          <w:p w14:paraId="244E6E9E">
            <w:pPr>
              <w:keepNext w:val="0"/>
              <w:keepLines w:val="0"/>
              <w:pageBreakBefore w:val="0"/>
              <w:kinsoku/>
              <w:wordWrap/>
              <w:overflowPunct/>
              <w:topLinePunct w:val="0"/>
              <w:autoSpaceDE/>
              <w:autoSpaceDN/>
              <w:bidi w:val="0"/>
              <w:adjustRightInd/>
              <w:snapToGrid/>
              <w:spacing w:before="157" w:beforeLines="50" w:after="157" w:afterLines="50" w:line="360" w:lineRule="auto"/>
              <w:ind w:left="0" w:firstLine="482" w:firstLineChars="200"/>
              <w:textAlignment w:val="auto"/>
              <w:outlineLvl w:val="0"/>
              <w:rPr>
                <w:rFonts w:ascii="Times New Roman" w:hAnsi="Times New Roman" w:eastAsia="宋体" w:cs="Times New Roman"/>
                <w:b/>
                <w:bCs/>
                <w:sz w:val="24"/>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1</w:t>
            </w:r>
            <w:r>
              <w:rPr>
                <w:rFonts w:hint="eastAsia" w:ascii="Times New Roman" w:hAnsi="Times New Roman" w:eastAsia="宋体" w:cs="Times New Roman"/>
                <w:b/>
                <w:bCs/>
                <w:sz w:val="24"/>
              </w:rPr>
              <w:t>：</w:t>
            </w:r>
            <w:r>
              <w:rPr>
                <w:rFonts w:hint="eastAsia" w:ascii="Times New Roman" w:hAnsi="Times New Roman" w:eastAsia="宋体" w:cs="Times New Roman"/>
                <w:b/>
                <w:bCs/>
                <w:sz w:val="24"/>
                <w:lang w:val="en-US" w:eastAsia="zh-CN"/>
              </w:rPr>
              <w:t>公司</w:t>
            </w:r>
            <w:r>
              <w:rPr>
                <w:rFonts w:hint="eastAsia" w:ascii="Times New Roman" w:hAnsi="Times New Roman" w:eastAsia="宋体" w:cs="Times New Roman"/>
                <w:b/>
                <w:bCs/>
                <w:sz w:val="24"/>
              </w:rPr>
              <w:t>实际控制人IPO前取得的股份已于2</w:t>
            </w:r>
            <w:r>
              <w:rPr>
                <w:rFonts w:ascii="Times New Roman" w:hAnsi="Times New Roman" w:eastAsia="宋体" w:cs="Times New Roman"/>
                <w:b/>
                <w:bCs/>
                <w:sz w:val="24"/>
              </w:rPr>
              <w:t>025年</w:t>
            </w:r>
            <w:r>
              <w:rPr>
                <w:rFonts w:hint="eastAsia" w:ascii="Times New Roman" w:hAnsi="Times New Roman" w:eastAsia="宋体" w:cs="Times New Roman"/>
                <w:b/>
                <w:bCs/>
                <w:sz w:val="24"/>
              </w:rPr>
              <w:t>3月解禁，近期是否存在减持计划？</w:t>
            </w:r>
          </w:p>
          <w:p w14:paraId="5CD34CA2">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ascii="Times New Roman" w:hAnsi="Times New Roman" w:eastAsia="宋体" w:cs="Times New Roman"/>
                <w:bCs/>
                <w:sz w:val="24"/>
              </w:rPr>
            </w:pPr>
            <w:r>
              <w:rPr>
                <w:rFonts w:hint="eastAsia" w:ascii="Times New Roman" w:hAnsi="Times New Roman" w:eastAsia="宋体" w:cs="Times New Roman"/>
                <w:b/>
                <w:bCs/>
                <w:sz w:val="24"/>
              </w:rPr>
              <w:t>回复：</w:t>
            </w:r>
            <w:r>
              <w:rPr>
                <w:rFonts w:hint="eastAsia" w:ascii="Times New Roman" w:hAnsi="Times New Roman" w:eastAsia="宋体" w:cs="Times New Roman"/>
                <w:b w:val="0"/>
                <w:bCs w:val="0"/>
                <w:sz w:val="24"/>
                <w:lang w:val="en-US" w:eastAsia="zh-CN"/>
              </w:rPr>
              <w:t>公司</w:t>
            </w:r>
            <w:r>
              <w:rPr>
                <w:rFonts w:hint="eastAsia" w:ascii="Times New Roman" w:hAnsi="Times New Roman" w:eastAsia="宋体" w:cs="Times New Roman"/>
                <w:bCs w:val="0"/>
                <w:sz w:val="24"/>
              </w:rPr>
              <w:t>实</w:t>
            </w:r>
            <w:r>
              <w:rPr>
                <w:rFonts w:hint="eastAsia" w:ascii="Times New Roman" w:hAnsi="Times New Roman" w:eastAsia="宋体" w:cs="Times New Roman"/>
                <w:bCs/>
                <w:sz w:val="24"/>
              </w:rPr>
              <w:t>际控制人IPO前取得的股份已于2025年3月份解禁上市流通，但实际控制人之一陈其龙为公司向特定对象发行A股股票的认购对象之一，陈其龙及其一致行动人已共同出具《关于特定期间不减持公司股份的承诺》，承诺包括：“在公司本次向特定对象发行股票定价基准日前六个月至本次发行完成后六个月内，本人及本人控制的关联方（如有）不以任何形式减持兴通股份股票，同时也不存在任何减持兴通股份股票的计划”，具体可见公司于2023年8月2日披露的《兴通海运股份有限公司关于实际控制人承诺特定期间不减持公司股份的公告》（公告编号：2023-081）。</w:t>
            </w:r>
          </w:p>
          <w:p w14:paraId="7E5699DF">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imes New Roman" w:hAnsi="Times New Roman" w:eastAsia="宋体" w:cs="Times New Roman"/>
                <w:sz w:val="24"/>
              </w:rPr>
            </w:pPr>
            <w:r>
              <w:rPr>
                <w:rFonts w:ascii="Times New Roman" w:hAnsi="Times New Roman" w:eastAsia="宋体" w:cs="Times New Roman"/>
                <w:sz w:val="24"/>
              </w:rPr>
              <w:t>实际控制人短期内不存在减持计划，将</w:t>
            </w:r>
            <w:r>
              <w:rPr>
                <w:rFonts w:hint="eastAsia" w:ascii="Times New Roman" w:hAnsi="Times New Roman" w:eastAsia="宋体" w:cs="Times New Roman"/>
                <w:sz w:val="24"/>
              </w:rPr>
              <w:t>一如既往</w:t>
            </w:r>
            <w:r>
              <w:rPr>
                <w:rFonts w:ascii="Times New Roman" w:hAnsi="Times New Roman" w:eastAsia="宋体" w:cs="Times New Roman"/>
                <w:sz w:val="24"/>
              </w:rPr>
              <w:t>地支持公司做大做强，提高公司的核心竞争力，为海运强国建设贡献</w:t>
            </w:r>
            <w:r>
              <w:rPr>
                <w:rFonts w:hint="eastAsia" w:ascii="Times New Roman" w:hAnsi="Times New Roman" w:eastAsia="宋体" w:cs="Times New Roman"/>
                <w:sz w:val="24"/>
              </w:rPr>
              <w:t>力量。</w:t>
            </w:r>
          </w:p>
          <w:p w14:paraId="6B29466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firstLine="482" w:firstLineChars="200"/>
              <w:textAlignment w:val="auto"/>
              <w:outlineLvl w:val="0"/>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2</w:t>
            </w:r>
            <w:r>
              <w:rPr>
                <w:rFonts w:hint="eastAsia" w:ascii="Times New Roman" w:hAnsi="Times New Roman" w:eastAsia="宋体" w:cs="Times New Roman"/>
                <w:b/>
                <w:bCs/>
                <w:sz w:val="24"/>
              </w:rPr>
              <w:t>：</w:t>
            </w:r>
            <w:r>
              <w:rPr>
                <w:rFonts w:hint="eastAsia" w:ascii="Times New Roman" w:hAnsi="Times New Roman" w:eastAsia="宋体" w:cs="Times New Roman"/>
                <w:b/>
                <w:bCs/>
                <w:sz w:val="24"/>
                <w:lang w:val="en-US" w:eastAsia="zh-CN"/>
              </w:rPr>
              <w:t>公司未来资本开支情况？</w:t>
            </w:r>
          </w:p>
          <w:p w14:paraId="10A8ED05">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outlineLvl w:val="9"/>
              <w:rPr>
                <w:rFonts w:hint="eastAsia" w:ascii="Times New Roman" w:hAnsi="Times New Roman" w:eastAsia="宋体" w:cs="Times New Roman"/>
                <w:b/>
                <w:bCs/>
                <w:sz w:val="24"/>
              </w:rPr>
            </w:pPr>
            <w:r>
              <w:rPr>
                <w:rFonts w:hint="eastAsia" w:ascii="Times New Roman" w:hAnsi="Times New Roman" w:eastAsia="宋体" w:cs="Times New Roman"/>
                <w:b/>
                <w:bCs/>
                <w:sz w:val="24"/>
              </w:rPr>
              <w:t>回复：</w:t>
            </w:r>
            <w:r>
              <w:rPr>
                <w:rFonts w:hint="eastAsia" w:ascii="Times New Roman" w:hAnsi="Times New Roman" w:eastAsia="宋体" w:cs="Times New Roman"/>
                <w:b w:val="0"/>
                <w:bCs w:val="0"/>
                <w:sz w:val="24"/>
              </w:rPr>
              <w:t>公司未来资本开支主要聚焦于船舶运力提升，包括但不限于如下三个方面：</w:t>
            </w:r>
            <w:r>
              <w:rPr>
                <w:rFonts w:hint="eastAsia" w:ascii="Times New Roman" w:hAnsi="Times New Roman" w:eastAsia="宋体" w:cs="Times New Roman"/>
                <w:b w:val="0"/>
                <w:bCs w:val="0"/>
                <w:sz w:val="24"/>
                <w:lang w:eastAsia="zh-CN"/>
              </w:rPr>
              <w:t>（</w:t>
            </w:r>
            <w:r>
              <w:rPr>
                <w:rFonts w:hint="eastAsia" w:ascii="Times New Roman" w:hAnsi="Times New Roman" w:eastAsia="宋体" w:cs="Times New Roman"/>
                <w:b w:val="0"/>
                <w:bCs w:val="0"/>
                <w:sz w:val="24"/>
                <w:lang w:val="en-US" w:eastAsia="zh-CN"/>
              </w:rPr>
              <w:t>1</w:t>
            </w:r>
            <w:r>
              <w:rPr>
                <w:rFonts w:hint="eastAsia" w:ascii="Times New Roman" w:hAnsi="Times New Roman" w:eastAsia="宋体" w:cs="Times New Roman"/>
                <w:b w:val="0"/>
                <w:bCs w:val="0"/>
                <w:sz w:val="24"/>
                <w:lang w:eastAsia="zh-CN"/>
              </w:rPr>
              <w:t>）</w:t>
            </w:r>
            <w:r>
              <w:rPr>
                <w:rFonts w:hint="eastAsia" w:ascii="Times New Roman" w:hAnsi="Times New Roman" w:eastAsia="宋体" w:cs="Times New Roman"/>
                <w:b w:val="0"/>
                <w:bCs w:val="0"/>
                <w:sz w:val="24"/>
              </w:rPr>
              <w:t>船舶建造：根据船舶建造计划，公司2025年</w:t>
            </w:r>
            <w:r>
              <w:rPr>
                <w:rFonts w:hint="eastAsia" w:ascii="Times New Roman" w:hAnsi="Times New Roman" w:eastAsia="宋体" w:cs="Times New Roman"/>
                <w:b w:val="0"/>
                <w:bCs w:val="0"/>
                <w:sz w:val="24"/>
                <w:lang w:val="en-US" w:eastAsia="zh-CN"/>
              </w:rPr>
              <w:t>至</w:t>
            </w:r>
            <w:r>
              <w:rPr>
                <w:rFonts w:hint="eastAsia" w:ascii="Times New Roman" w:hAnsi="Times New Roman" w:eastAsia="宋体" w:cs="Times New Roman"/>
                <w:b w:val="0"/>
                <w:bCs w:val="0"/>
                <w:sz w:val="24"/>
              </w:rPr>
              <w:t>2027年将陆续投入12艘化学品</w:t>
            </w:r>
            <w:r>
              <w:rPr>
                <w:rFonts w:hint="eastAsia" w:ascii="Times New Roman" w:hAnsi="Times New Roman" w:eastAsia="宋体" w:cs="Times New Roman"/>
                <w:b w:val="0"/>
                <w:bCs w:val="0"/>
                <w:sz w:val="24"/>
                <w:lang w:val="en-US" w:eastAsia="zh-CN"/>
              </w:rPr>
              <w:t>船舶</w:t>
            </w:r>
            <w:r>
              <w:rPr>
                <w:rFonts w:hint="eastAsia" w:ascii="Times New Roman" w:hAnsi="Times New Roman" w:eastAsia="宋体" w:cs="Times New Roman"/>
                <w:b w:val="0"/>
                <w:bCs w:val="0"/>
                <w:sz w:val="24"/>
              </w:rPr>
              <w:t>，其中</w:t>
            </w:r>
            <w:r>
              <w:rPr>
                <w:rFonts w:hint="eastAsia" w:ascii="Times New Roman" w:hAnsi="Times New Roman" w:eastAsia="宋体" w:cs="Times New Roman"/>
                <w:b w:val="0"/>
                <w:bCs w:val="0"/>
                <w:sz w:val="24"/>
                <w:lang w:val="en-US" w:eastAsia="zh-CN"/>
              </w:rPr>
              <w:t>4艘</w:t>
            </w:r>
            <w:r>
              <w:rPr>
                <w:rFonts w:hint="eastAsia" w:ascii="Times New Roman" w:hAnsi="Times New Roman" w:eastAsia="宋体" w:cs="Times New Roman"/>
                <w:b w:val="0"/>
                <w:bCs w:val="0"/>
                <w:sz w:val="24"/>
              </w:rPr>
              <w:t>船舶</w:t>
            </w:r>
            <w:r>
              <w:rPr>
                <w:rFonts w:hint="eastAsia" w:ascii="Times New Roman" w:hAnsi="Times New Roman" w:eastAsia="宋体" w:cs="Times New Roman"/>
                <w:b w:val="0"/>
                <w:bCs w:val="0"/>
                <w:sz w:val="24"/>
                <w:lang w:val="en-US" w:eastAsia="zh-CN"/>
              </w:rPr>
              <w:t>计划</w:t>
            </w:r>
            <w:r>
              <w:rPr>
                <w:rFonts w:hint="eastAsia" w:ascii="Times New Roman" w:hAnsi="Times New Roman" w:eastAsia="宋体" w:cs="Times New Roman"/>
                <w:b w:val="0"/>
                <w:bCs w:val="0"/>
                <w:sz w:val="24"/>
              </w:rPr>
              <w:t>于2025年投入使用。</w:t>
            </w:r>
            <w:r>
              <w:rPr>
                <w:rFonts w:hint="eastAsia" w:ascii="Times New Roman" w:hAnsi="Times New Roman" w:eastAsia="宋体" w:cs="Times New Roman"/>
                <w:b w:val="0"/>
                <w:bCs w:val="0"/>
                <w:sz w:val="24"/>
                <w:lang w:eastAsia="zh-CN"/>
              </w:rPr>
              <w:t>（</w:t>
            </w:r>
            <w:r>
              <w:rPr>
                <w:rFonts w:hint="eastAsia" w:ascii="Times New Roman" w:hAnsi="Times New Roman" w:eastAsia="宋体" w:cs="Times New Roman"/>
                <w:b w:val="0"/>
                <w:bCs w:val="0"/>
                <w:sz w:val="24"/>
                <w:lang w:val="en-US" w:eastAsia="zh-CN"/>
              </w:rPr>
              <w:t>2</w:t>
            </w:r>
            <w:r>
              <w:rPr>
                <w:rFonts w:hint="eastAsia" w:ascii="Times New Roman" w:hAnsi="Times New Roman" w:eastAsia="宋体" w:cs="Times New Roman"/>
                <w:b w:val="0"/>
                <w:bCs w:val="0"/>
                <w:sz w:val="24"/>
                <w:lang w:eastAsia="zh-CN"/>
              </w:rPr>
              <w:t>）</w:t>
            </w:r>
            <w:r>
              <w:rPr>
                <w:rFonts w:hint="eastAsia" w:ascii="Times New Roman" w:hAnsi="Times New Roman" w:eastAsia="宋体" w:cs="Times New Roman"/>
                <w:b w:val="0"/>
                <w:bCs w:val="0"/>
                <w:sz w:val="24"/>
              </w:rPr>
              <w:t>内贸新增运力申请建造船舶：根据公司的战略规划，公司将不断做大做强国内沿海液货危险品运输，通过新增运力综合评审获取运力指标。预计公司通过新增运力综合评审获取船舶运力的确定性较高，届时</w:t>
            </w:r>
            <w:r>
              <w:rPr>
                <w:rFonts w:hint="eastAsia" w:ascii="Times New Roman" w:hAnsi="Times New Roman" w:eastAsia="宋体" w:cs="Times New Roman"/>
                <w:b w:val="0"/>
                <w:bCs w:val="0"/>
                <w:sz w:val="24"/>
                <w:lang w:val="en-US" w:eastAsia="zh-CN"/>
              </w:rPr>
              <w:t>公司</w:t>
            </w:r>
            <w:r>
              <w:rPr>
                <w:rFonts w:hint="eastAsia" w:ascii="Times New Roman" w:hAnsi="Times New Roman" w:eastAsia="宋体" w:cs="Times New Roman"/>
                <w:b w:val="0"/>
                <w:bCs w:val="0"/>
                <w:sz w:val="24"/>
              </w:rPr>
              <w:t>每年将</w:t>
            </w:r>
            <w:r>
              <w:rPr>
                <w:rFonts w:hint="eastAsia" w:ascii="Times New Roman" w:hAnsi="Times New Roman" w:eastAsia="宋体" w:cs="Times New Roman"/>
                <w:b w:val="0"/>
                <w:bCs w:val="0"/>
                <w:sz w:val="24"/>
                <w:lang w:val="en-US" w:eastAsia="zh-CN"/>
              </w:rPr>
              <w:t>至少</w:t>
            </w:r>
            <w:r>
              <w:rPr>
                <w:rFonts w:hint="eastAsia" w:ascii="Times New Roman" w:hAnsi="Times New Roman" w:eastAsia="宋体" w:cs="Times New Roman"/>
                <w:b w:val="0"/>
                <w:bCs w:val="0"/>
                <w:sz w:val="24"/>
              </w:rPr>
              <w:t>新增1艘内贸</w:t>
            </w:r>
            <w:r>
              <w:rPr>
                <w:rFonts w:hint="eastAsia" w:ascii="Times New Roman" w:hAnsi="Times New Roman" w:eastAsia="宋体" w:cs="Times New Roman"/>
                <w:b w:val="0"/>
                <w:bCs w:val="0"/>
                <w:sz w:val="24"/>
                <w:lang w:val="en-US" w:eastAsia="zh-CN"/>
              </w:rPr>
              <w:t>化学品</w:t>
            </w:r>
            <w:r>
              <w:rPr>
                <w:rFonts w:hint="eastAsia" w:ascii="Times New Roman" w:hAnsi="Times New Roman" w:eastAsia="宋体" w:cs="Times New Roman"/>
                <w:b w:val="0"/>
                <w:bCs w:val="0"/>
                <w:sz w:val="24"/>
              </w:rPr>
              <w:t>船舶</w:t>
            </w:r>
            <w:r>
              <w:rPr>
                <w:rFonts w:hint="eastAsia" w:ascii="Times New Roman" w:hAnsi="Times New Roman" w:eastAsia="宋体" w:cs="Times New Roman"/>
                <w:b w:val="0"/>
                <w:bCs w:val="0"/>
                <w:sz w:val="24"/>
                <w:lang w:eastAsia="zh-CN"/>
              </w:rPr>
              <w:t>（</w:t>
            </w:r>
            <w:r>
              <w:rPr>
                <w:rFonts w:hint="eastAsia" w:ascii="Times New Roman" w:hAnsi="Times New Roman" w:cs="Times New Roman"/>
                <w:i w:val="0"/>
                <w:iCs w:val="0"/>
                <w:caps w:val="0"/>
                <w:spacing w:val="0"/>
                <w:sz w:val="24"/>
                <w:szCs w:val="24"/>
                <w:shd w:val="clear"/>
                <w:lang w:val="en-US" w:eastAsia="zh-CN"/>
              </w:rPr>
              <w:t>具体运力释放以交通运输部公告为准</w:t>
            </w:r>
            <w:r>
              <w:rPr>
                <w:rFonts w:hint="eastAsia" w:ascii="Times New Roman" w:hAnsi="Times New Roman" w:eastAsia="宋体" w:cs="Times New Roman"/>
                <w:b w:val="0"/>
                <w:bCs w:val="0"/>
                <w:sz w:val="24"/>
                <w:lang w:eastAsia="zh-CN"/>
              </w:rPr>
              <w:t>）</w:t>
            </w:r>
            <w:r>
              <w:rPr>
                <w:rFonts w:hint="eastAsia" w:ascii="Times New Roman" w:hAnsi="Times New Roman" w:eastAsia="宋体" w:cs="Times New Roman"/>
                <w:b w:val="0"/>
                <w:bCs w:val="0"/>
                <w:sz w:val="24"/>
              </w:rPr>
              <w:t>。同时，公司将积极推动控股子公司</w:t>
            </w:r>
            <w:r>
              <w:rPr>
                <w:rFonts w:hint="eastAsia" w:ascii="Times New Roman" w:hAnsi="Times New Roman" w:eastAsia="宋体" w:cs="Times New Roman"/>
                <w:b w:val="0"/>
                <w:bCs w:val="0"/>
                <w:sz w:val="24"/>
                <w:lang w:val="en-US" w:eastAsia="zh-CN"/>
              </w:rPr>
              <w:t>上海兴通万邦航运有限责任公司</w:t>
            </w:r>
            <w:r>
              <w:rPr>
                <w:rFonts w:hint="eastAsia" w:ascii="Times New Roman" w:hAnsi="Times New Roman" w:eastAsia="宋体" w:cs="Times New Roman"/>
                <w:b w:val="0"/>
                <w:bCs w:val="0"/>
                <w:sz w:val="24"/>
              </w:rPr>
              <w:t>参与新增运力综合评审。</w:t>
            </w:r>
            <w:r>
              <w:rPr>
                <w:rFonts w:hint="eastAsia" w:ascii="Times New Roman" w:hAnsi="Times New Roman" w:eastAsia="宋体" w:cs="Times New Roman"/>
                <w:b w:val="0"/>
                <w:bCs w:val="0"/>
                <w:sz w:val="24"/>
                <w:lang w:eastAsia="zh-CN"/>
              </w:rPr>
              <w:t>（</w:t>
            </w:r>
            <w:r>
              <w:rPr>
                <w:rFonts w:hint="eastAsia" w:ascii="Times New Roman" w:hAnsi="Times New Roman" w:eastAsia="宋体" w:cs="Times New Roman"/>
                <w:b w:val="0"/>
                <w:bCs w:val="0"/>
                <w:sz w:val="24"/>
                <w:lang w:val="en-US" w:eastAsia="zh-CN"/>
              </w:rPr>
              <w:t>3</w:t>
            </w:r>
            <w:r>
              <w:rPr>
                <w:rFonts w:hint="eastAsia" w:ascii="Times New Roman" w:hAnsi="Times New Roman" w:eastAsia="宋体" w:cs="Times New Roman"/>
                <w:b w:val="0"/>
                <w:bCs w:val="0"/>
                <w:sz w:val="24"/>
                <w:lang w:eastAsia="zh-CN"/>
              </w:rPr>
              <w:t>）</w:t>
            </w:r>
            <w:r>
              <w:rPr>
                <w:rFonts w:hint="eastAsia" w:ascii="Times New Roman" w:hAnsi="Times New Roman" w:eastAsia="宋体" w:cs="Times New Roman"/>
                <w:b w:val="0"/>
                <w:bCs w:val="0"/>
                <w:sz w:val="24"/>
              </w:rPr>
              <w:t>船舶购买：公司将根据发展需要，通过购买船舶、并购等方式不断提高公司的化学品船运力规模，以满足客户的运输需求。</w:t>
            </w:r>
          </w:p>
          <w:p w14:paraId="15DD28A8">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outlineLvl w:val="0"/>
              <w:rPr>
                <w:rFonts w:ascii="Times New Roman" w:hAnsi="Times New Roman" w:eastAsia="宋体" w:cs="Times New Roman"/>
                <w:b/>
                <w:bCs/>
                <w:sz w:val="24"/>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3</w:t>
            </w:r>
            <w:r>
              <w:rPr>
                <w:rFonts w:hint="eastAsia" w:ascii="Times New Roman" w:hAnsi="Times New Roman" w:eastAsia="宋体" w:cs="Times New Roman"/>
                <w:b/>
                <w:bCs/>
                <w:sz w:val="24"/>
              </w:rPr>
              <w:t>：</w:t>
            </w:r>
            <w:r>
              <w:rPr>
                <w:rFonts w:hint="eastAsia" w:ascii="Times New Roman" w:hAnsi="Times New Roman" w:eastAsia="宋体" w:cs="Times New Roman"/>
                <w:b/>
                <w:bCs/>
                <w:sz w:val="24"/>
                <w:lang w:val="en-US" w:eastAsia="zh-CN"/>
              </w:rPr>
              <w:t>未来两三年，关于交通运输部运力释放预期以及公司内贸运力规划</w:t>
            </w:r>
            <w:r>
              <w:rPr>
                <w:rFonts w:hint="eastAsia" w:ascii="Times New Roman" w:hAnsi="Times New Roman" w:eastAsia="宋体" w:cs="Times New Roman"/>
                <w:b/>
                <w:bCs/>
                <w:sz w:val="24"/>
              </w:rPr>
              <w:t>？</w:t>
            </w:r>
          </w:p>
          <w:p w14:paraId="265AEBAC">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imes New Roman" w:hAnsi="Times New Roman" w:cs="Times New Roman"/>
                <w:i w:val="0"/>
                <w:iCs w:val="0"/>
                <w:caps w:val="0"/>
                <w:spacing w:val="0"/>
                <w:sz w:val="24"/>
                <w:szCs w:val="24"/>
                <w:shd w:val="clear"/>
                <w:lang w:val="en-US" w:eastAsia="zh-CN"/>
              </w:rPr>
            </w:pPr>
            <w:r>
              <w:rPr>
                <w:rFonts w:hint="eastAsia" w:ascii="Times New Roman" w:hAnsi="Times New Roman" w:eastAsia="宋体" w:cs="Times New Roman"/>
                <w:b/>
                <w:bCs/>
                <w:sz w:val="24"/>
              </w:rPr>
              <w:t>回复：</w:t>
            </w:r>
            <w:r>
              <w:rPr>
                <w:rFonts w:hint="eastAsia" w:ascii="Times New Roman" w:hAnsi="Times New Roman" w:eastAsia="宋体" w:cs="Times New Roman"/>
                <w:i w:val="0"/>
                <w:iCs w:val="0"/>
                <w:caps w:val="0"/>
                <w:spacing w:val="0"/>
                <w:sz w:val="24"/>
                <w:szCs w:val="24"/>
                <w:shd w:val="clear"/>
              </w:rPr>
              <w:t>为加强沿海省际散装液体危险货物船舶运输市场准入管理，促进水路运输安全</w:t>
            </w:r>
            <w:r>
              <w:rPr>
                <w:rFonts w:hint="eastAsia" w:ascii="Times New Roman" w:hAnsi="Times New Roman" w:eastAsia="宋体" w:cs="Times New Roman"/>
                <w:i w:val="0"/>
                <w:iCs w:val="0"/>
                <w:caps w:val="0"/>
                <w:spacing w:val="0"/>
                <w:sz w:val="24"/>
                <w:szCs w:val="24"/>
                <w:shd w:val="clear"/>
                <w:lang w:eastAsia="zh-CN"/>
              </w:rPr>
              <w:t>、</w:t>
            </w:r>
            <w:r>
              <w:rPr>
                <w:rFonts w:hint="eastAsia" w:ascii="Times New Roman" w:hAnsi="Times New Roman" w:eastAsia="宋体" w:cs="Times New Roman"/>
                <w:i w:val="0"/>
                <w:iCs w:val="0"/>
                <w:caps w:val="0"/>
                <w:spacing w:val="0"/>
                <w:sz w:val="24"/>
                <w:szCs w:val="24"/>
                <w:shd w:val="clear"/>
              </w:rPr>
              <w:t>绿色、健康</w:t>
            </w:r>
            <w:r>
              <w:rPr>
                <w:rFonts w:hint="eastAsia" w:ascii="Times New Roman" w:hAnsi="Times New Roman" w:eastAsia="宋体" w:cs="Times New Roman"/>
                <w:i w:val="0"/>
                <w:iCs w:val="0"/>
                <w:caps w:val="0"/>
                <w:spacing w:val="0"/>
                <w:sz w:val="24"/>
                <w:szCs w:val="24"/>
                <w:shd w:val="clear"/>
                <w:lang w:eastAsia="zh-CN"/>
              </w:rPr>
              <w:t>、</w:t>
            </w:r>
            <w:r>
              <w:rPr>
                <w:rFonts w:hint="eastAsia" w:ascii="Times New Roman" w:hAnsi="Times New Roman" w:eastAsia="宋体" w:cs="Times New Roman"/>
                <w:i w:val="0"/>
                <w:iCs w:val="0"/>
                <w:caps w:val="0"/>
                <w:spacing w:val="0"/>
                <w:sz w:val="24"/>
                <w:szCs w:val="24"/>
                <w:shd w:val="clear"/>
              </w:rPr>
              <w:t>有序发展</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2019年起，</w:t>
            </w:r>
            <w:r>
              <w:rPr>
                <w:rFonts w:hint="eastAsia" w:ascii="Times New Roman" w:hAnsi="Times New Roman" w:cs="Times New Roman"/>
                <w:sz w:val="24"/>
                <w:highlight w:val="none"/>
                <w:lang w:val="en-US" w:eastAsia="zh-CN"/>
              </w:rPr>
              <w:t>交通运输部根据</w:t>
            </w:r>
            <w:r>
              <w:rPr>
                <w:rFonts w:hint="eastAsia" w:ascii="Times New Roman" w:hAnsi="Times New Roman" w:eastAsia="宋体" w:cs="Times New Roman"/>
                <w:i w:val="0"/>
                <w:iCs w:val="0"/>
                <w:caps w:val="0"/>
                <w:spacing w:val="0"/>
                <w:sz w:val="24"/>
                <w:szCs w:val="24"/>
                <w:highlight w:val="none"/>
                <w:shd w:val="clear"/>
              </w:rPr>
              <w:t>沿海省际散装液体危险货物船舶运输市场供求状况</w:t>
            </w:r>
            <w:r>
              <w:rPr>
                <w:rFonts w:hint="eastAsia" w:ascii="Times New Roman" w:hAnsi="Times New Roman" w:cs="Times New Roman"/>
                <w:i w:val="0"/>
                <w:iCs w:val="0"/>
                <w:caps w:val="0"/>
                <w:spacing w:val="0"/>
                <w:sz w:val="24"/>
                <w:szCs w:val="24"/>
                <w:highlight w:val="none"/>
                <w:shd w:val="clear"/>
                <w:lang w:eastAsia="zh-CN"/>
              </w:rPr>
              <w:t>，</w:t>
            </w:r>
            <w:r>
              <w:rPr>
                <w:rFonts w:hint="eastAsia" w:ascii="Times New Roman" w:hAnsi="Times New Roman" w:cs="Times New Roman"/>
                <w:i w:val="0"/>
                <w:iCs w:val="0"/>
                <w:caps w:val="0"/>
                <w:spacing w:val="0"/>
                <w:sz w:val="24"/>
                <w:szCs w:val="24"/>
                <w:highlight w:val="none"/>
                <w:shd w:val="clear"/>
                <w:lang w:val="en-US" w:eastAsia="zh-CN"/>
              </w:rPr>
              <w:t>对</w:t>
            </w:r>
            <w:r>
              <w:rPr>
                <w:rFonts w:hint="eastAsia" w:ascii="Times New Roman" w:hAnsi="Times New Roman" w:eastAsia="宋体" w:cs="Times New Roman"/>
                <w:i w:val="0"/>
                <w:iCs w:val="0"/>
                <w:caps w:val="0"/>
                <w:spacing w:val="0"/>
                <w:sz w:val="24"/>
                <w:szCs w:val="24"/>
                <w:shd w:val="clear"/>
              </w:rPr>
              <w:t>新增沿海省际散装液体危险货物船舶运力</w:t>
            </w:r>
            <w:r>
              <w:rPr>
                <w:rFonts w:hint="eastAsia" w:ascii="Times New Roman" w:hAnsi="Times New Roman" w:cs="Times New Roman"/>
                <w:i w:val="0"/>
                <w:iCs w:val="0"/>
                <w:caps w:val="0"/>
                <w:spacing w:val="0"/>
                <w:sz w:val="24"/>
                <w:szCs w:val="24"/>
                <w:shd w:val="clear"/>
                <w:lang w:val="en-US" w:eastAsia="zh-CN"/>
              </w:rPr>
              <w:t>实施宏观调控政策，具体运力释放以交通运输部公告为准。目前，在中国炼化“减油增化”的发展趋势下，国内沿海多个炼化一体化项目正在建设，并将于未来1-2年陆续投产，内贸化学品运输需求呈增长趋势。</w:t>
            </w:r>
          </w:p>
          <w:p w14:paraId="16BD3211">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eastAsia="宋体" w:cs="Times New Roman"/>
                <w:i w:val="0"/>
                <w:iCs w:val="0"/>
                <w:caps w:val="0"/>
                <w:spacing w:val="0"/>
                <w:sz w:val="24"/>
                <w:szCs w:val="24"/>
                <w:shd w:val="clear"/>
                <w:lang w:val="en-US"/>
              </w:rPr>
            </w:pPr>
            <w:r>
              <w:rPr>
                <w:rFonts w:hint="eastAsia" w:ascii="Times New Roman" w:hAnsi="Times New Roman" w:eastAsia="宋体" w:cs="Times New Roman"/>
                <w:i w:val="0"/>
                <w:iCs w:val="0"/>
                <w:caps w:val="0"/>
                <w:spacing w:val="0"/>
                <w:sz w:val="24"/>
                <w:szCs w:val="24"/>
                <w:shd w:val="clear"/>
                <w:lang w:val="en-US" w:eastAsia="zh-CN"/>
              </w:rPr>
              <w:t>2019年至今，交通运输部共开展了7次沿海省际散装液体危险货物船舶新增运力综合评审，公司连续6年7次累计11个项目均以第一名的成绩获得新增运力。未来，公司将按照交通运输部新增运力申请政策，保持每年申请一艘或以上数量船舶运力，最终以交通运输部评审结果为准；同时，也会关注市场收并购机会，在合适的时机结合标的情况、资产价值等选择符合公司发展要求的船舶或船队标的进行收并购。</w:t>
            </w:r>
          </w:p>
          <w:p w14:paraId="3EEE49E1">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outlineLvl w:val="0"/>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4</w:t>
            </w:r>
            <w:r>
              <w:rPr>
                <w:rFonts w:hint="eastAsia" w:ascii="Times New Roman" w:hAnsi="Times New Roman" w:eastAsia="宋体" w:cs="Times New Roman"/>
                <w:b/>
                <w:bCs/>
                <w:sz w:val="24"/>
              </w:rPr>
              <w:t>：公司外贸业务发展如何，将来的规划发展重点在内贸还是外贸？</w:t>
            </w:r>
          </w:p>
          <w:p w14:paraId="0E7521A6">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imes New Roman" w:hAnsi="Times New Roman" w:eastAsia="宋体" w:cs="Times New Roman"/>
                <w:b/>
                <w:bCs/>
                <w:sz w:val="24"/>
              </w:rPr>
            </w:pPr>
            <w:r>
              <w:rPr>
                <w:rFonts w:hint="eastAsia" w:ascii="Times New Roman" w:hAnsi="Times New Roman" w:eastAsia="宋体" w:cs="Times New Roman"/>
                <w:b/>
                <w:bCs/>
                <w:sz w:val="24"/>
              </w:rPr>
              <w:t>回复：</w:t>
            </w:r>
            <w:r>
              <w:rPr>
                <w:rFonts w:hint="eastAsia" w:ascii="Times New Roman" w:hAnsi="Times New Roman" w:eastAsia="宋体" w:cs="Times New Roman"/>
                <w:b w:val="0"/>
                <w:bCs w:val="0"/>
                <w:sz w:val="24"/>
              </w:rPr>
              <w:t>近年来公司内外贸业务稳健发展，2024年公司外贸业务收入占比约40%。根据“1+2+1”战略发展规划，在内贸业务上，公司以做大做强国内沿海液货危险品运输为主线，未来将持续参加交通运输部的新增运力评审并寻求二级市场并购机会，不断提高国内市场占有率，巩固行业龙头地位。在外贸业务上，公司积极实施海外战略布局、开拓国际海运市场，持续打造一支有规模有影响力的一流航运船队。公司采取差异化竞争策略，船舶具有绿色低碳智能、船龄年轻化、不锈钢船舶占比大等优势，紧跟国家“一带一路”倡议步伐，紧盯市场变化，灵活调整运输路线，从而在未来全球化学品运输市场保持充分的竞争力，助力公司业绩稳步提升。</w:t>
            </w:r>
          </w:p>
          <w:p w14:paraId="2B05B68D">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outlineLvl w:val="0"/>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5</w:t>
            </w:r>
            <w:r>
              <w:rPr>
                <w:rFonts w:hint="eastAsia" w:ascii="Times New Roman" w:hAnsi="Times New Roman" w:eastAsia="宋体" w:cs="Times New Roman"/>
                <w:b/>
                <w:bCs/>
                <w:sz w:val="24"/>
              </w:rPr>
              <w:t>：</w:t>
            </w:r>
            <w:r>
              <w:rPr>
                <w:rFonts w:hint="eastAsia" w:ascii="Times New Roman" w:hAnsi="Times New Roman" w:eastAsia="宋体" w:cs="Times New Roman"/>
                <w:b/>
                <w:bCs/>
                <w:sz w:val="24"/>
                <w:lang w:val="en-US" w:eastAsia="zh-CN"/>
              </w:rPr>
              <w:t>2025年第一季度业绩情况以及波动的原因？</w:t>
            </w:r>
          </w:p>
          <w:p w14:paraId="7DFF3C0E">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imes New Roman" w:hAnsi="Times New Roman" w:eastAsia="宋体" w:cs="Times New Roman"/>
                <w:b w:val="0"/>
                <w:bCs w:val="0"/>
                <w:sz w:val="24"/>
                <w:lang w:bidi="ar"/>
              </w:rPr>
            </w:pPr>
            <w:r>
              <w:rPr>
                <w:rFonts w:hint="eastAsia" w:ascii="Times New Roman" w:hAnsi="Times New Roman" w:eastAsia="宋体" w:cs="Times New Roman"/>
                <w:b/>
                <w:bCs/>
                <w:sz w:val="24"/>
                <w:lang w:bidi="ar"/>
              </w:rPr>
              <w:t>回复：</w:t>
            </w:r>
            <w:r>
              <w:rPr>
                <w:rFonts w:hint="eastAsia" w:ascii="Times New Roman" w:hAnsi="Times New Roman" w:eastAsia="宋体" w:cs="Times New Roman"/>
                <w:b w:val="0"/>
                <w:bCs w:val="0"/>
                <w:sz w:val="24"/>
                <w:lang w:bidi="ar"/>
              </w:rPr>
              <w:t>2025年第一季度，公司实现营业收入3.82亿元，归属于上市公司股东的净利润为7,376.93万元，毛利率31.95%，整体经营稳定。</w:t>
            </w:r>
          </w:p>
          <w:p w14:paraId="40F1F2F4">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imes New Roman" w:hAnsi="Times New Roman" w:eastAsia="宋体" w:cs="Times New Roman"/>
                <w:b w:val="0"/>
                <w:bCs w:val="0"/>
                <w:sz w:val="24"/>
                <w:lang w:val="en-US" w:eastAsia="zh-CN" w:bidi="ar"/>
              </w:rPr>
            </w:pPr>
            <w:r>
              <w:rPr>
                <w:rFonts w:hint="eastAsia" w:ascii="Times New Roman" w:hAnsi="Times New Roman" w:eastAsia="宋体" w:cs="Times New Roman"/>
                <w:b w:val="0"/>
                <w:bCs w:val="0"/>
                <w:sz w:val="24"/>
                <w:lang w:val="en-US" w:eastAsia="zh-CN" w:bidi="ar"/>
              </w:rPr>
              <w:t>2025年第一季度业绩波动的主要原因：（1）</w:t>
            </w:r>
            <w:r>
              <w:rPr>
                <w:rFonts w:hint="eastAsia" w:ascii="Times New Roman" w:hAnsi="Times New Roman" w:eastAsia="宋体" w:cs="Times New Roman"/>
                <w:b w:val="0"/>
                <w:bCs w:val="0"/>
                <w:sz w:val="24"/>
                <w:lang w:bidi="ar"/>
              </w:rPr>
              <w:t>今年一季度部分港口受到大风天气影响，船舶的有效作业时间减少</w:t>
            </w:r>
            <w:r>
              <w:rPr>
                <w:rFonts w:hint="eastAsia" w:ascii="Times New Roman" w:hAnsi="Times New Roman" w:eastAsia="宋体" w:cs="Times New Roman"/>
                <w:b w:val="0"/>
                <w:bCs w:val="0"/>
                <w:sz w:val="24"/>
                <w:lang w:eastAsia="zh-CN" w:bidi="ar"/>
              </w:rPr>
              <w:t>；（</w:t>
            </w:r>
            <w:r>
              <w:rPr>
                <w:rFonts w:hint="eastAsia" w:ascii="Times New Roman" w:hAnsi="Times New Roman" w:eastAsia="宋体" w:cs="Times New Roman"/>
                <w:b w:val="0"/>
                <w:bCs w:val="0"/>
                <w:sz w:val="24"/>
                <w:lang w:val="en-US" w:eastAsia="zh-CN" w:bidi="ar"/>
              </w:rPr>
              <w:t>2</w:t>
            </w:r>
            <w:r>
              <w:rPr>
                <w:rFonts w:hint="eastAsia" w:ascii="Times New Roman" w:hAnsi="Times New Roman" w:eastAsia="宋体" w:cs="Times New Roman"/>
                <w:b w:val="0"/>
                <w:bCs w:val="0"/>
                <w:sz w:val="24"/>
                <w:lang w:eastAsia="zh-CN" w:bidi="ar"/>
              </w:rPr>
              <w:t>）</w:t>
            </w:r>
            <w:r>
              <w:rPr>
                <w:rFonts w:hint="eastAsia" w:ascii="Times New Roman" w:hAnsi="Times New Roman" w:eastAsia="宋体" w:cs="Times New Roman"/>
                <w:b w:val="0"/>
                <w:bCs w:val="0"/>
                <w:sz w:val="24"/>
                <w:lang w:bidi="ar"/>
              </w:rPr>
              <w:t>员工持股计划自2024年下半年开始摊销，影响部分利润</w:t>
            </w:r>
            <w:r>
              <w:rPr>
                <w:rFonts w:hint="eastAsia" w:ascii="Times New Roman" w:hAnsi="Times New Roman" w:eastAsia="宋体" w:cs="Times New Roman"/>
                <w:b w:val="0"/>
                <w:bCs w:val="0"/>
                <w:sz w:val="24"/>
                <w:lang w:eastAsia="zh-CN" w:bidi="ar"/>
              </w:rPr>
              <w:t>。</w:t>
            </w:r>
          </w:p>
          <w:p w14:paraId="593A3D1F">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outlineLvl w:val="0"/>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6</w:t>
            </w:r>
            <w:r>
              <w:rPr>
                <w:rFonts w:hint="eastAsia" w:ascii="Times New Roman" w:hAnsi="Times New Roman" w:eastAsia="宋体" w:cs="Times New Roman"/>
                <w:b/>
                <w:bCs/>
                <w:sz w:val="24"/>
              </w:rPr>
              <w:t>：</w:t>
            </w:r>
            <w:r>
              <w:rPr>
                <w:rFonts w:hint="eastAsia" w:ascii="Times New Roman" w:hAnsi="Times New Roman" w:eastAsia="宋体" w:cs="Times New Roman"/>
                <w:b/>
                <w:bCs/>
                <w:sz w:val="24"/>
                <w:lang w:val="en-US" w:eastAsia="zh-CN"/>
              </w:rPr>
              <w:t>关于本次定增缩募的主要考虑？缩募后对公司现金流及原项目的推进的影响？以及定增进展情况？</w:t>
            </w:r>
          </w:p>
          <w:p w14:paraId="19FE85CD">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imes New Roman" w:hAnsi="Times New Roman" w:cs="Times New Roman" w:eastAsiaTheme="minorEastAsia"/>
                <w:b w:val="0"/>
                <w:bCs w:val="0"/>
                <w:sz w:val="24"/>
                <w:lang w:val="en-US" w:eastAsia="zh-CN"/>
              </w:rPr>
            </w:pPr>
            <w:r>
              <w:rPr>
                <w:rFonts w:hint="eastAsia" w:ascii="Times New Roman" w:hAnsi="Times New Roman" w:eastAsia="宋体" w:cs="Times New Roman"/>
                <w:b/>
                <w:bCs/>
                <w:sz w:val="24"/>
              </w:rPr>
              <w:t>回复：</w:t>
            </w:r>
            <w:r>
              <w:rPr>
                <w:rFonts w:hint="eastAsia" w:ascii="Times New Roman" w:hAnsi="Times New Roman" w:eastAsia="宋体" w:cs="Times New Roman"/>
                <w:b w:val="0"/>
                <w:bCs w:val="0"/>
                <w:sz w:val="24"/>
                <w:lang w:val="en-US" w:eastAsia="zh-CN"/>
              </w:rPr>
              <w:t>公司</w:t>
            </w:r>
            <w:r>
              <w:rPr>
                <w:rFonts w:hint="eastAsia" w:ascii="Times New Roman" w:hAnsi="Times New Roman" w:eastAsia="宋体" w:cs="Times New Roman"/>
                <w:b w:val="0"/>
                <w:bCs w:val="0"/>
                <w:sz w:val="24"/>
              </w:rPr>
              <w:t>在充分考虑当前资本市场环境、募投项目资金需求，并兼顾新老股东利益的基础上，</w:t>
            </w:r>
            <w:r>
              <w:rPr>
                <w:rFonts w:hint="eastAsia" w:ascii="Times New Roman" w:hAnsi="Times New Roman" w:eastAsia="宋体" w:cs="Times New Roman"/>
                <w:b w:val="0"/>
                <w:bCs w:val="0"/>
                <w:sz w:val="24"/>
                <w:lang w:val="en-US" w:eastAsia="zh-CN"/>
              </w:rPr>
              <w:t>调整2023年度向特定对象发行A股股票发行数量上限，将原定“发行数量不超8,400万股（含本数）”，调整为“发行数量不超4,500万股（含本数）”，发行方案其他内容不做变更。具体可见公司于2025年4月22日披露的</w:t>
            </w:r>
            <w:r>
              <w:rPr>
                <w:rFonts w:hint="eastAsia" w:ascii="Times New Roman" w:hAnsi="Times New Roman" w:cs="Times New Roman"/>
                <w:sz w:val="24"/>
              </w:rPr>
              <w:t>《兴通海运股份有限公司关于调整2023年度向特定对象发行A股股票发行数量上限的</w:t>
            </w:r>
            <w:r>
              <w:rPr>
                <w:rFonts w:hint="eastAsia" w:ascii="Times New Roman" w:hAnsi="Times New Roman" w:cs="Times New Roman"/>
                <w:sz w:val="24"/>
                <w:lang w:val="en-US" w:eastAsia="zh-CN"/>
              </w:rPr>
              <w:t>公告</w:t>
            </w:r>
            <w:r>
              <w:rPr>
                <w:rFonts w:hint="eastAsia"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公告编号：2025-036</w:t>
            </w:r>
            <w:r>
              <w:rPr>
                <w:rFonts w:hint="eastAsia" w:ascii="Times New Roman" w:hAnsi="Times New Roman" w:cs="Times New Roman"/>
                <w:sz w:val="24"/>
                <w:lang w:eastAsia="zh-CN"/>
              </w:rPr>
              <w:t>）。</w:t>
            </w:r>
          </w:p>
          <w:p w14:paraId="0B3E4E3D">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rPr>
              <w:t>公司本次定增募投项目为购建4艘化学品船和2艘LPG船，</w:t>
            </w:r>
            <w:r>
              <w:rPr>
                <w:rFonts w:hint="eastAsia" w:ascii="Times New Roman" w:hAnsi="Times New Roman" w:eastAsia="宋体" w:cs="Times New Roman"/>
                <w:b w:val="0"/>
                <w:bCs w:val="0"/>
                <w:sz w:val="24"/>
                <w:lang w:val="en-US" w:eastAsia="zh-CN"/>
              </w:rPr>
              <w:t>目前已有4艘船舶投入运营，已</w:t>
            </w:r>
            <w:r>
              <w:rPr>
                <w:rFonts w:hint="eastAsia" w:ascii="Times New Roman" w:hAnsi="Times New Roman" w:eastAsia="宋体" w:cs="Times New Roman"/>
                <w:b w:val="0"/>
                <w:bCs w:val="0"/>
                <w:sz w:val="24"/>
              </w:rPr>
              <w:t>为公司带来收益和现金流</w:t>
            </w:r>
            <w:r>
              <w:rPr>
                <w:rFonts w:hint="eastAsia" w:ascii="Times New Roman" w:hAnsi="Times New Roman" w:eastAsia="宋体" w:cs="Times New Roman"/>
                <w:b w:val="0"/>
                <w:bCs w:val="0"/>
                <w:sz w:val="24"/>
                <w:lang w:eastAsia="zh-CN"/>
              </w:rPr>
              <w:t>；</w:t>
            </w:r>
            <w:r>
              <w:rPr>
                <w:rFonts w:hint="eastAsia" w:ascii="Times New Roman" w:hAnsi="Times New Roman" w:eastAsia="宋体" w:cs="Times New Roman"/>
                <w:b w:val="0"/>
                <w:bCs w:val="0"/>
                <w:sz w:val="24"/>
                <w:lang w:val="en-US" w:eastAsia="zh-CN"/>
              </w:rPr>
              <w:t>另外，</w:t>
            </w:r>
            <w:r>
              <w:rPr>
                <w:rFonts w:hint="eastAsia" w:ascii="Times New Roman" w:hAnsi="Times New Roman" w:eastAsia="宋体" w:cs="Times New Roman"/>
                <w:b w:val="0"/>
                <w:bCs w:val="0"/>
                <w:sz w:val="24"/>
              </w:rPr>
              <w:t>一艘2.5</w:t>
            </w:r>
            <w:r>
              <w:rPr>
                <w:rFonts w:hint="eastAsia" w:ascii="Times New Roman" w:hAnsi="Times New Roman" w:eastAsia="宋体" w:cs="Times New Roman"/>
                <w:b w:val="0"/>
                <w:bCs w:val="0"/>
                <w:sz w:val="24"/>
                <w:lang w:val="en-US" w:eastAsia="zh-CN"/>
              </w:rPr>
              <w:t>9</w:t>
            </w:r>
            <w:r>
              <w:rPr>
                <w:rFonts w:hint="eastAsia" w:ascii="Times New Roman" w:hAnsi="Times New Roman" w:eastAsia="宋体" w:cs="Times New Roman"/>
                <w:b w:val="0"/>
                <w:bCs w:val="0"/>
                <w:sz w:val="24"/>
              </w:rPr>
              <w:t>万载重吨甲醇双燃料不锈钢化学品正在建造中，</w:t>
            </w:r>
            <w:r>
              <w:rPr>
                <w:rFonts w:hint="eastAsia" w:ascii="Times New Roman" w:hAnsi="Times New Roman" w:eastAsia="宋体" w:cs="Times New Roman"/>
                <w:b w:val="0"/>
                <w:bCs w:val="0"/>
                <w:sz w:val="24"/>
                <w:lang w:val="en-US" w:eastAsia="zh-CN"/>
              </w:rPr>
              <w:t>计划今年9月份投入运营；</w:t>
            </w:r>
            <w:r>
              <w:rPr>
                <w:rFonts w:hint="eastAsia" w:ascii="Times New Roman" w:hAnsi="Times New Roman" w:eastAsia="宋体" w:cs="Times New Roman"/>
                <w:b w:val="0"/>
                <w:bCs w:val="0"/>
                <w:sz w:val="24"/>
              </w:rPr>
              <w:t>一艘</w:t>
            </w:r>
            <w:r>
              <w:rPr>
                <w:rFonts w:hint="eastAsia" w:ascii="Times New Roman" w:hAnsi="Times New Roman" w:eastAsia="宋体" w:cs="Times New Roman"/>
                <w:b w:val="0"/>
                <w:bCs w:val="0"/>
                <w:sz w:val="24"/>
                <w:lang w:val="en-US" w:eastAsia="zh-CN"/>
              </w:rPr>
              <w:t>内贸</w:t>
            </w:r>
            <w:r>
              <w:rPr>
                <w:rFonts w:hint="eastAsia" w:ascii="Times New Roman" w:hAnsi="Times New Roman" w:eastAsia="宋体" w:cs="Times New Roman"/>
                <w:b w:val="0"/>
                <w:bCs w:val="0"/>
                <w:sz w:val="24"/>
              </w:rPr>
              <w:t>3,700m³LPG</w:t>
            </w:r>
            <w:r>
              <w:rPr>
                <w:rFonts w:hint="eastAsia" w:ascii="Times New Roman" w:hAnsi="Times New Roman" w:cs="Times New Roman"/>
                <w:sz w:val="24"/>
                <w:lang w:val="en-US" w:bidi="zh-CN"/>
              </w:rPr>
              <w:t>船舶</w:t>
            </w:r>
            <w:r>
              <w:rPr>
                <w:rFonts w:hint="eastAsia" w:ascii="Times New Roman" w:hAnsi="Times New Roman" w:cs="Times New Roman"/>
                <w:sz w:val="24"/>
                <w:lang w:bidi="zh-CN"/>
              </w:rPr>
              <w:t>已取得</w:t>
            </w:r>
            <w:r>
              <w:rPr>
                <w:rFonts w:hint="eastAsia" w:ascii="Times New Roman" w:hAnsi="Times New Roman" w:cs="Times New Roman"/>
                <w:sz w:val="24"/>
                <w:lang w:val="en-US" w:bidi="zh-CN"/>
              </w:rPr>
              <w:t>相应</w:t>
            </w:r>
            <w:r>
              <w:rPr>
                <w:rFonts w:hint="eastAsia" w:ascii="Times New Roman" w:hAnsi="Times New Roman" w:cs="Times New Roman"/>
                <w:sz w:val="24"/>
                <w:lang w:bidi="zh-CN"/>
              </w:rPr>
              <w:t>运力指标，将根据市场需求情况适时启动建造</w:t>
            </w:r>
            <w:r>
              <w:rPr>
                <w:rFonts w:hint="eastAsia" w:ascii="Times New Roman" w:hAnsi="Times New Roman" w:eastAsia="宋体" w:cs="Times New Roman"/>
                <w:b w:val="0"/>
                <w:bCs w:val="0"/>
                <w:sz w:val="24"/>
                <w:lang w:eastAsia="zh-CN"/>
              </w:rPr>
              <w:t>，</w:t>
            </w:r>
            <w:r>
              <w:rPr>
                <w:rFonts w:hint="eastAsia" w:ascii="Times New Roman" w:hAnsi="Times New Roman" w:eastAsia="宋体" w:cs="Times New Roman"/>
                <w:b w:val="0"/>
                <w:bCs w:val="0"/>
                <w:sz w:val="24"/>
                <w:lang w:val="en-US" w:eastAsia="zh-CN"/>
              </w:rPr>
              <w:t>缩募后不会影响原项目的推进。</w:t>
            </w:r>
          </w:p>
          <w:p w14:paraId="22DF99E3">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imes New Roman" w:hAnsi="Times New Roman" w:eastAsia="宋体" w:cs="Times New Roman"/>
                <w:b w:val="0"/>
                <w:bCs w:val="0"/>
                <w:sz w:val="24"/>
              </w:rPr>
            </w:pPr>
            <w:r>
              <w:rPr>
                <w:rFonts w:hint="eastAsia" w:ascii="Times New Roman" w:hAnsi="Times New Roman" w:eastAsia="宋体" w:cs="Times New Roman"/>
                <w:b w:val="0"/>
                <w:bCs w:val="0"/>
                <w:sz w:val="24"/>
              </w:rPr>
              <w:t>公司本次向特定对象发行A股股票事项已于2024年6月17日获中国证券监督管理委员会同意注册批复，批复有效期12个月。公司将根据资本市场、定增投资者交流情况等，在批文有效期内择机启动发行。</w:t>
            </w:r>
          </w:p>
          <w:p w14:paraId="05F9D98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outlineLvl w:val="0"/>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7</w:t>
            </w:r>
            <w:r>
              <w:rPr>
                <w:rFonts w:hint="eastAsia" w:ascii="Times New Roman" w:hAnsi="Times New Roman" w:eastAsia="宋体" w:cs="Times New Roman"/>
                <w:b/>
                <w:bCs/>
                <w:sz w:val="24"/>
              </w:rPr>
              <w:t>：</w:t>
            </w:r>
            <w:r>
              <w:rPr>
                <w:rFonts w:hint="eastAsia" w:ascii="Times New Roman" w:hAnsi="Times New Roman" w:eastAsia="宋体" w:cs="Times New Roman"/>
                <w:b/>
                <w:bCs/>
                <w:sz w:val="24"/>
                <w:lang w:val="en-US" w:eastAsia="zh-CN"/>
              </w:rPr>
              <w:t>未来，公司的盈利增长点？</w:t>
            </w:r>
          </w:p>
          <w:p w14:paraId="40BBE9C4">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Times New Roman" w:hAnsi="Times New Roman" w:eastAsia="宋体" w:cs="Times New Roman"/>
                <w:b w:val="0"/>
                <w:bCs w:val="0"/>
                <w:sz w:val="24"/>
              </w:rPr>
            </w:pPr>
            <w:r>
              <w:rPr>
                <w:rFonts w:hint="eastAsia" w:ascii="Times New Roman" w:hAnsi="Times New Roman" w:eastAsia="宋体" w:cs="Times New Roman"/>
                <w:b/>
                <w:bCs/>
                <w:sz w:val="24"/>
              </w:rPr>
              <w:t>回复：</w:t>
            </w:r>
            <w:r>
              <w:rPr>
                <w:rFonts w:hint="eastAsia" w:ascii="Times New Roman" w:hAnsi="Times New Roman" w:eastAsia="宋体" w:cs="Times New Roman"/>
                <w:b w:val="0"/>
                <w:bCs w:val="0"/>
                <w:sz w:val="24"/>
              </w:rPr>
              <w:t>公司致力于成为“国际一流、国内领先的化工供应链综合服务商”，根据“1+2+1”战略发展规划，在主营业务上持续深耕，未来盈利增长点主要来自公司船舶运力的增长。内贸业务上，随着国家促进消费等刺激内需政策的深入和落地，下游炼厂开工率有望恢复和提高，加上新增炼厂的建设投产，运输量</w:t>
            </w:r>
            <w:r>
              <w:rPr>
                <w:rFonts w:hint="eastAsia" w:ascii="Times New Roman" w:hAnsi="Times New Roman" w:eastAsia="宋体" w:cs="Times New Roman"/>
                <w:b w:val="0"/>
                <w:bCs w:val="0"/>
                <w:sz w:val="24"/>
                <w:lang w:val="en-US" w:eastAsia="zh-CN"/>
              </w:rPr>
              <w:t>和运价有望提升</w:t>
            </w:r>
            <w:r>
              <w:rPr>
                <w:rFonts w:hint="eastAsia" w:ascii="Times New Roman" w:hAnsi="Times New Roman" w:eastAsia="宋体" w:cs="Times New Roman"/>
                <w:b w:val="0"/>
                <w:bCs w:val="0"/>
                <w:sz w:val="24"/>
              </w:rPr>
              <w:t>。公司将不断做大做强国内沿海液货危险品运输，通过新增运力综合评审和并购等方式不断扩大内贸化学品船运力，推动内贸业务持续稳定增长。外贸业务上，公司</w:t>
            </w:r>
            <w:r>
              <w:rPr>
                <w:rFonts w:hint="eastAsia" w:ascii="Times New Roman" w:hAnsi="Times New Roman" w:eastAsia="宋体" w:cs="Times New Roman"/>
                <w:b w:val="0"/>
                <w:bCs w:val="0"/>
                <w:sz w:val="24"/>
                <w:lang w:val="en-US" w:eastAsia="zh-CN"/>
              </w:rPr>
              <w:t>船舶</w:t>
            </w:r>
            <w:r>
              <w:rPr>
                <w:rFonts w:hint="eastAsia" w:ascii="Times New Roman" w:hAnsi="Times New Roman" w:eastAsia="宋体" w:cs="Times New Roman"/>
                <w:b w:val="0"/>
                <w:bCs w:val="0"/>
                <w:sz w:val="24"/>
              </w:rPr>
              <w:t>具有绿色低碳智能、船龄年轻化、不锈钢船舶占比大等</w:t>
            </w:r>
            <w:r>
              <w:rPr>
                <w:rFonts w:hint="eastAsia" w:ascii="Times New Roman" w:hAnsi="Times New Roman" w:eastAsia="宋体" w:cs="Times New Roman"/>
                <w:b w:val="0"/>
                <w:bCs w:val="0"/>
                <w:sz w:val="24"/>
                <w:lang w:val="en-US" w:eastAsia="zh-CN"/>
              </w:rPr>
              <w:t>差异化竞争</w:t>
            </w:r>
            <w:r>
              <w:rPr>
                <w:rFonts w:hint="eastAsia" w:ascii="Times New Roman" w:hAnsi="Times New Roman" w:eastAsia="宋体" w:cs="Times New Roman"/>
                <w:b w:val="0"/>
                <w:bCs w:val="0"/>
                <w:sz w:val="24"/>
              </w:rPr>
              <w:t>优势</w:t>
            </w:r>
            <w:r>
              <w:rPr>
                <w:rFonts w:hint="eastAsia" w:ascii="Times New Roman" w:hAnsi="Times New Roman" w:eastAsia="宋体" w:cs="Times New Roman"/>
                <w:b w:val="0"/>
                <w:bCs w:val="0"/>
                <w:sz w:val="24"/>
                <w:lang w:eastAsia="zh-CN"/>
              </w:rPr>
              <w:t>，</w:t>
            </w:r>
            <w:r>
              <w:rPr>
                <w:rFonts w:hint="eastAsia" w:ascii="Times New Roman" w:hAnsi="Times New Roman" w:eastAsia="宋体" w:cs="Times New Roman"/>
                <w:b w:val="0"/>
                <w:bCs w:val="0"/>
                <w:sz w:val="24"/>
              </w:rPr>
              <w:t>紧盯市场变化，灵活调整运输路线，通过船舶建造、船舶购买等方式不断扩大外贸化学品船运力，推动外贸业务实现稳步增长。</w:t>
            </w:r>
          </w:p>
          <w:p w14:paraId="1F15777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outlineLvl w:val="0"/>
              <w:rPr>
                <w:rFonts w:ascii="Times New Roman" w:hAnsi="Times New Roman" w:eastAsia="宋体" w:cs="Times New Roman"/>
                <w:b/>
                <w:bCs/>
                <w:sz w:val="24"/>
              </w:rPr>
            </w:pPr>
            <w:r>
              <w:rPr>
                <w:rFonts w:hint="eastAsia" w:ascii="Times New Roman" w:hAnsi="Times New Roman" w:eastAsia="宋体" w:cs="Times New Roman"/>
                <w:b/>
                <w:bCs/>
                <w:sz w:val="24"/>
              </w:rPr>
              <w:t>问题</w:t>
            </w:r>
            <w:r>
              <w:rPr>
                <w:rFonts w:hint="eastAsia" w:ascii="Times New Roman" w:hAnsi="Times New Roman" w:eastAsia="宋体" w:cs="Times New Roman"/>
                <w:b/>
                <w:bCs/>
                <w:sz w:val="24"/>
                <w:lang w:val="en-US" w:eastAsia="zh-CN"/>
              </w:rPr>
              <w:t>8</w:t>
            </w:r>
            <w:r>
              <w:rPr>
                <w:rFonts w:hint="eastAsia" w:ascii="Times New Roman" w:hAnsi="Times New Roman" w:eastAsia="宋体" w:cs="Times New Roman"/>
                <w:b/>
                <w:bCs/>
                <w:sz w:val="24"/>
              </w:rPr>
              <w:t>：和同行业相比公司的利润率在什么水平？</w:t>
            </w:r>
          </w:p>
          <w:p w14:paraId="611A67F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2" w:firstLineChars="200"/>
              <w:textAlignment w:val="auto"/>
              <w:rPr>
                <w:rFonts w:ascii="Times New Roman" w:hAnsi="Times New Roman"/>
                <w:b/>
                <w:bCs/>
                <w:sz w:val="24"/>
              </w:rPr>
            </w:pPr>
            <w:r>
              <w:rPr>
                <w:rFonts w:hint="eastAsia" w:ascii="Times New Roman" w:hAnsi="Times New Roman" w:eastAsia="宋体" w:cs="Times New Roman"/>
                <w:b/>
                <w:bCs/>
                <w:sz w:val="24"/>
              </w:rPr>
              <w:t>回复：</w:t>
            </w:r>
            <w:r>
              <w:rPr>
                <w:rFonts w:hint="eastAsia" w:ascii="Times New Roman" w:hAnsi="Times New Roman" w:eastAsia="宋体" w:cs="Times New Roman"/>
                <w:b w:val="0"/>
                <w:bCs w:val="0"/>
                <w:sz w:val="24"/>
              </w:rPr>
              <w:t>公司以“1+2+1”发展战略为指引，不断夯实内贸化学品运输龙头地位，同时稳步推进国际海运业务发展，有序扩大内外贸运力规模，提升船舶运营效率</w:t>
            </w:r>
            <w:r>
              <w:rPr>
                <w:rFonts w:hint="eastAsia" w:ascii="Times New Roman" w:hAnsi="Times New Roman" w:eastAsia="宋体" w:cs="Times New Roman"/>
                <w:b w:val="0"/>
                <w:bCs w:val="0"/>
                <w:sz w:val="24"/>
                <w:lang w:eastAsia="zh-CN"/>
              </w:rPr>
              <w:t>。</w:t>
            </w:r>
            <w:r>
              <w:rPr>
                <w:rFonts w:hint="eastAsia" w:ascii="Times New Roman" w:hAnsi="Times New Roman" w:eastAsia="宋体" w:cs="Times New Roman"/>
                <w:b w:val="0"/>
                <w:bCs w:val="0"/>
                <w:sz w:val="24"/>
                <w:lang w:val="en-US" w:eastAsia="zh-CN"/>
              </w:rPr>
              <w:t>2024年度，公司毛利率为36.00%，净利率为23.55%，</w:t>
            </w:r>
            <w:r>
              <w:rPr>
                <w:rFonts w:hint="eastAsia" w:ascii="Times New Roman" w:hAnsi="Times New Roman" w:eastAsia="宋体" w:cs="Times New Roman"/>
                <w:b w:val="0"/>
                <w:bCs w:val="0"/>
                <w:sz w:val="24"/>
              </w:rPr>
              <w:t>利润率整体维持在较好水平。</w:t>
            </w:r>
          </w:p>
        </w:tc>
      </w:tr>
      <w:tr w14:paraId="3D8B0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6B146945">
            <w:pPr>
              <w:spacing w:before="156" w:beforeLines="50" w:after="156" w:afterLines="50"/>
              <w:jc w:val="center"/>
              <w:rPr>
                <w:rFonts w:ascii="Times New Roman" w:hAnsi="Times New Roman"/>
                <w:b/>
                <w:bCs/>
                <w:sz w:val="24"/>
              </w:rPr>
            </w:pPr>
            <w:r>
              <w:rPr>
                <w:rFonts w:ascii="Times New Roman" w:hAnsi="Times New Roman"/>
                <w:b/>
                <w:bCs/>
                <w:sz w:val="24"/>
              </w:rPr>
              <w:t>附件清单（如有）</w:t>
            </w:r>
          </w:p>
        </w:tc>
        <w:tc>
          <w:tcPr>
            <w:tcW w:w="6855" w:type="dxa"/>
            <w:tcBorders>
              <w:top w:val="single" w:color="auto" w:sz="4" w:space="0"/>
              <w:left w:val="single" w:color="auto" w:sz="4" w:space="0"/>
              <w:bottom w:val="single" w:color="auto" w:sz="4" w:space="0"/>
              <w:right w:val="single" w:color="auto" w:sz="12" w:space="0"/>
            </w:tcBorders>
            <w:vAlign w:val="center"/>
          </w:tcPr>
          <w:p w14:paraId="484813FF">
            <w:pPr>
              <w:spacing w:before="156" w:beforeLines="50" w:after="156" w:afterLines="50"/>
              <w:rPr>
                <w:rFonts w:ascii="Times New Roman" w:hAnsi="Times New Roman"/>
                <w:sz w:val="24"/>
              </w:rPr>
            </w:pPr>
            <w:r>
              <w:rPr>
                <w:rFonts w:ascii="Times New Roman" w:hAnsi="Times New Roman"/>
                <w:sz w:val="24"/>
              </w:rPr>
              <w:t>无</w:t>
            </w:r>
          </w:p>
        </w:tc>
      </w:tr>
      <w:tr w14:paraId="072DC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17" w:type="dxa"/>
            <w:tcBorders>
              <w:top w:val="single" w:color="auto" w:sz="4" w:space="0"/>
              <w:left w:val="single" w:color="auto" w:sz="12" w:space="0"/>
              <w:bottom w:val="single" w:color="auto" w:sz="12" w:space="0"/>
              <w:right w:val="single" w:color="auto" w:sz="4" w:space="0"/>
            </w:tcBorders>
            <w:vAlign w:val="center"/>
          </w:tcPr>
          <w:p w14:paraId="0BF447D9">
            <w:pPr>
              <w:spacing w:before="156" w:beforeLines="50" w:after="156" w:afterLines="50"/>
              <w:jc w:val="center"/>
              <w:rPr>
                <w:rFonts w:ascii="Times New Roman" w:hAnsi="Times New Roman"/>
                <w:b/>
                <w:bCs/>
                <w:sz w:val="24"/>
              </w:rPr>
            </w:pPr>
            <w:r>
              <w:rPr>
                <w:rFonts w:ascii="Times New Roman" w:hAnsi="Times New Roman"/>
                <w:b/>
                <w:bCs/>
                <w:sz w:val="24"/>
              </w:rPr>
              <w:t>日期</w:t>
            </w:r>
          </w:p>
        </w:tc>
        <w:tc>
          <w:tcPr>
            <w:tcW w:w="6855" w:type="dxa"/>
            <w:tcBorders>
              <w:top w:val="single" w:color="auto" w:sz="4" w:space="0"/>
              <w:left w:val="single" w:color="auto" w:sz="4" w:space="0"/>
              <w:bottom w:val="single" w:color="auto" w:sz="12" w:space="0"/>
              <w:right w:val="single" w:color="auto" w:sz="12" w:space="0"/>
            </w:tcBorders>
            <w:vAlign w:val="center"/>
          </w:tcPr>
          <w:p w14:paraId="321DC691">
            <w:pPr>
              <w:spacing w:before="156" w:beforeLines="50" w:after="156" w:afterLines="50"/>
              <w:rPr>
                <w:rFonts w:ascii="Times New Roman" w:hAnsi="Times New Roman"/>
                <w:sz w:val="24"/>
              </w:rPr>
            </w:pPr>
            <w:r>
              <w:rPr>
                <w:rFonts w:ascii="Times New Roman" w:hAnsi="Times New Roman"/>
                <w:sz w:val="24"/>
              </w:rPr>
              <w:t>202</w:t>
            </w:r>
            <w:r>
              <w:rPr>
                <w:rFonts w:hint="eastAsia" w:ascii="Times New Roman" w:hAnsi="Times New Roman"/>
                <w:sz w:val="24"/>
                <w:lang w:val="en-US" w:eastAsia="zh-CN"/>
              </w:rPr>
              <w:t>5</w:t>
            </w:r>
            <w:r>
              <w:rPr>
                <w:rFonts w:ascii="Times New Roman" w:hAnsi="Times New Roman"/>
                <w:sz w:val="24"/>
              </w:rPr>
              <w:t>年</w:t>
            </w:r>
            <w:r>
              <w:rPr>
                <w:rFonts w:hint="eastAsia" w:ascii="Times New Roman" w:hAnsi="Times New Roman"/>
                <w:sz w:val="24"/>
                <w:lang w:val="en-US" w:eastAsia="zh-CN"/>
              </w:rPr>
              <w:t>4</w:t>
            </w:r>
            <w:r>
              <w:rPr>
                <w:rFonts w:ascii="Times New Roman" w:hAnsi="Times New Roman"/>
                <w:sz w:val="24"/>
              </w:rPr>
              <w:t>月</w:t>
            </w:r>
            <w:r>
              <w:rPr>
                <w:rFonts w:hint="eastAsia" w:ascii="Times New Roman" w:hAnsi="Times New Roman"/>
                <w:sz w:val="24"/>
                <w:lang w:val="en-US" w:eastAsia="zh-CN"/>
              </w:rPr>
              <w:t>30</w:t>
            </w:r>
            <w:r>
              <w:rPr>
                <w:rFonts w:ascii="Times New Roman" w:hAnsi="Times New Roman"/>
                <w:sz w:val="24"/>
              </w:rPr>
              <w:t>日</w:t>
            </w:r>
          </w:p>
        </w:tc>
      </w:tr>
    </w:tbl>
    <w:p w14:paraId="09B98289">
      <w:pPr>
        <w:widowControl/>
        <w:jc w:val="left"/>
        <w:rPr>
          <w:rFonts w:ascii="Times New Roman" w:hAnsi="Times New Roman"/>
        </w:rPr>
      </w:pPr>
    </w:p>
    <w:sectPr>
      <w:headerReference r:id="rId3" w:type="default"/>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59CA5">
    <w:pPr>
      <w:pStyle w:val="5"/>
      <w:jc w:val="both"/>
      <w:rPr>
        <w:rFonts w:ascii="楷体" w:hAnsi="楷体" w:eastAsia="楷体"/>
      </w:rPr>
    </w:pPr>
    <w:r>
      <w:rPr>
        <w:rFonts w:hint="eastAsia" w:ascii="楷体" w:hAnsi="楷体" w:eastAsia="楷体"/>
      </w:rPr>
      <w:t xml:space="preserve">兴通海运股份有限公司 </w:t>
    </w:r>
    <w:r>
      <w:rPr>
        <w:rFonts w:ascii="楷体" w:hAnsi="楷体" w:eastAsia="楷体"/>
      </w:rPr>
      <w:t xml:space="preserve">                                            </w:t>
    </w:r>
    <w:r>
      <w:rPr>
        <w:rFonts w:hint="eastAsia" w:ascii="楷体" w:hAnsi="楷体" w:eastAsia="楷体"/>
      </w:rPr>
      <w:t xml:space="preserve">       </w:t>
    </w:r>
    <w:r>
      <w:rPr>
        <w:rFonts w:ascii="楷体" w:hAnsi="楷体" w:eastAsia="楷体"/>
      </w:rPr>
      <w:t xml:space="preserve">   </w:t>
    </w:r>
    <w:r>
      <w:rPr>
        <w:rFonts w:hint="eastAsia" w:ascii="楷体" w:hAnsi="楷体" w:eastAsia="楷体"/>
      </w:rPr>
      <w:t>投资者关系活动记录表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AA275"/>
    <w:multiLevelType w:val="singleLevel"/>
    <w:tmpl w:val="187AA27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wYzU5ODBhY2VhYjU0NzM0NjA4YjRjMjNjZjU0MmUifQ=="/>
  </w:docVars>
  <w:rsids>
    <w:rsidRoot w:val="00172A27"/>
    <w:rsid w:val="00000D18"/>
    <w:rsid w:val="000076A8"/>
    <w:rsid w:val="00013B2C"/>
    <w:rsid w:val="000251BC"/>
    <w:rsid w:val="00031EDC"/>
    <w:rsid w:val="00032FBF"/>
    <w:rsid w:val="0004190F"/>
    <w:rsid w:val="0006665D"/>
    <w:rsid w:val="00073D83"/>
    <w:rsid w:val="000752AD"/>
    <w:rsid w:val="000B7145"/>
    <w:rsid w:val="000C0917"/>
    <w:rsid w:val="000D1EEA"/>
    <w:rsid w:val="000E0A29"/>
    <w:rsid w:val="000E4A02"/>
    <w:rsid w:val="000F7A15"/>
    <w:rsid w:val="00106CE5"/>
    <w:rsid w:val="00110AC1"/>
    <w:rsid w:val="00110FC0"/>
    <w:rsid w:val="00114B26"/>
    <w:rsid w:val="00121DE3"/>
    <w:rsid w:val="00127A0C"/>
    <w:rsid w:val="00135DE9"/>
    <w:rsid w:val="00136571"/>
    <w:rsid w:val="0014063C"/>
    <w:rsid w:val="001716C9"/>
    <w:rsid w:val="00172A27"/>
    <w:rsid w:val="001764CF"/>
    <w:rsid w:val="00180E8C"/>
    <w:rsid w:val="001C3E04"/>
    <w:rsid w:val="001C65A5"/>
    <w:rsid w:val="001D76A0"/>
    <w:rsid w:val="002051B0"/>
    <w:rsid w:val="0021568D"/>
    <w:rsid w:val="002421F3"/>
    <w:rsid w:val="0025795E"/>
    <w:rsid w:val="002A590A"/>
    <w:rsid w:val="002A5DDA"/>
    <w:rsid w:val="002B1EA1"/>
    <w:rsid w:val="002B2792"/>
    <w:rsid w:val="002B5738"/>
    <w:rsid w:val="002C7C5F"/>
    <w:rsid w:val="003046C0"/>
    <w:rsid w:val="003146EB"/>
    <w:rsid w:val="003168B2"/>
    <w:rsid w:val="00342805"/>
    <w:rsid w:val="00356C12"/>
    <w:rsid w:val="0036096D"/>
    <w:rsid w:val="003712F0"/>
    <w:rsid w:val="00372B7B"/>
    <w:rsid w:val="00382BB7"/>
    <w:rsid w:val="00385F42"/>
    <w:rsid w:val="00394720"/>
    <w:rsid w:val="003A22AA"/>
    <w:rsid w:val="003C56D1"/>
    <w:rsid w:val="003D2184"/>
    <w:rsid w:val="003E6473"/>
    <w:rsid w:val="003F6DC0"/>
    <w:rsid w:val="00402082"/>
    <w:rsid w:val="00415566"/>
    <w:rsid w:val="0042296F"/>
    <w:rsid w:val="00426B09"/>
    <w:rsid w:val="004413F5"/>
    <w:rsid w:val="00453D13"/>
    <w:rsid w:val="00456D35"/>
    <w:rsid w:val="00461E20"/>
    <w:rsid w:val="004646BB"/>
    <w:rsid w:val="00464AC6"/>
    <w:rsid w:val="00476C84"/>
    <w:rsid w:val="004853F9"/>
    <w:rsid w:val="0049067C"/>
    <w:rsid w:val="00496215"/>
    <w:rsid w:val="00496ED9"/>
    <w:rsid w:val="004A215B"/>
    <w:rsid w:val="004B35E2"/>
    <w:rsid w:val="004B42FE"/>
    <w:rsid w:val="004C7EAD"/>
    <w:rsid w:val="004D001F"/>
    <w:rsid w:val="004D45FF"/>
    <w:rsid w:val="004E3115"/>
    <w:rsid w:val="004F3029"/>
    <w:rsid w:val="0050067C"/>
    <w:rsid w:val="005026B6"/>
    <w:rsid w:val="00502E9C"/>
    <w:rsid w:val="00520FE3"/>
    <w:rsid w:val="0052527D"/>
    <w:rsid w:val="00527CF4"/>
    <w:rsid w:val="00532959"/>
    <w:rsid w:val="005515C2"/>
    <w:rsid w:val="00556BB3"/>
    <w:rsid w:val="0056159D"/>
    <w:rsid w:val="00563FA2"/>
    <w:rsid w:val="005703A5"/>
    <w:rsid w:val="005761E2"/>
    <w:rsid w:val="005858D9"/>
    <w:rsid w:val="0059023D"/>
    <w:rsid w:val="00593A35"/>
    <w:rsid w:val="005B02EB"/>
    <w:rsid w:val="005D4B0E"/>
    <w:rsid w:val="0060293E"/>
    <w:rsid w:val="00605E6F"/>
    <w:rsid w:val="00613EDC"/>
    <w:rsid w:val="0062262A"/>
    <w:rsid w:val="006264DF"/>
    <w:rsid w:val="00627ADB"/>
    <w:rsid w:val="00646058"/>
    <w:rsid w:val="00661F6B"/>
    <w:rsid w:val="00664FF6"/>
    <w:rsid w:val="006655B9"/>
    <w:rsid w:val="006672F6"/>
    <w:rsid w:val="006B22F5"/>
    <w:rsid w:val="006C7C57"/>
    <w:rsid w:val="006D2E8D"/>
    <w:rsid w:val="006D389E"/>
    <w:rsid w:val="00706B15"/>
    <w:rsid w:val="00711238"/>
    <w:rsid w:val="0071206F"/>
    <w:rsid w:val="00712771"/>
    <w:rsid w:val="00720F84"/>
    <w:rsid w:val="0073320D"/>
    <w:rsid w:val="00736A80"/>
    <w:rsid w:val="00742D08"/>
    <w:rsid w:val="007460EB"/>
    <w:rsid w:val="00746C2A"/>
    <w:rsid w:val="007713DA"/>
    <w:rsid w:val="00792EEF"/>
    <w:rsid w:val="007A4530"/>
    <w:rsid w:val="007A6F30"/>
    <w:rsid w:val="007A7D7C"/>
    <w:rsid w:val="007B371D"/>
    <w:rsid w:val="007B4CF9"/>
    <w:rsid w:val="007D738A"/>
    <w:rsid w:val="007F2858"/>
    <w:rsid w:val="007F717B"/>
    <w:rsid w:val="007F74C6"/>
    <w:rsid w:val="007F7552"/>
    <w:rsid w:val="00800D77"/>
    <w:rsid w:val="00804B8F"/>
    <w:rsid w:val="00804DE1"/>
    <w:rsid w:val="008057B4"/>
    <w:rsid w:val="008525B9"/>
    <w:rsid w:val="00854B7A"/>
    <w:rsid w:val="00870B23"/>
    <w:rsid w:val="00891E31"/>
    <w:rsid w:val="008A10B2"/>
    <w:rsid w:val="008B1C28"/>
    <w:rsid w:val="008C24CC"/>
    <w:rsid w:val="008C7E7C"/>
    <w:rsid w:val="008D1D7F"/>
    <w:rsid w:val="008F64E9"/>
    <w:rsid w:val="008F77EE"/>
    <w:rsid w:val="00904EA2"/>
    <w:rsid w:val="00940831"/>
    <w:rsid w:val="00950339"/>
    <w:rsid w:val="00960FAA"/>
    <w:rsid w:val="009626AA"/>
    <w:rsid w:val="0097726C"/>
    <w:rsid w:val="0098145D"/>
    <w:rsid w:val="009830FD"/>
    <w:rsid w:val="009918C4"/>
    <w:rsid w:val="009A084D"/>
    <w:rsid w:val="009B005C"/>
    <w:rsid w:val="009B0125"/>
    <w:rsid w:val="009B58AF"/>
    <w:rsid w:val="009C379C"/>
    <w:rsid w:val="009D40D8"/>
    <w:rsid w:val="009D718A"/>
    <w:rsid w:val="009E1B35"/>
    <w:rsid w:val="009E74AD"/>
    <w:rsid w:val="009F29D5"/>
    <w:rsid w:val="009F3F06"/>
    <w:rsid w:val="00A05634"/>
    <w:rsid w:val="00A127DE"/>
    <w:rsid w:val="00A24A6E"/>
    <w:rsid w:val="00A55870"/>
    <w:rsid w:val="00A62859"/>
    <w:rsid w:val="00A6428F"/>
    <w:rsid w:val="00A73B46"/>
    <w:rsid w:val="00A82D19"/>
    <w:rsid w:val="00A93B61"/>
    <w:rsid w:val="00A950CC"/>
    <w:rsid w:val="00A96029"/>
    <w:rsid w:val="00AA1054"/>
    <w:rsid w:val="00AB3F05"/>
    <w:rsid w:val="00AC1815"/>
    <w:rsid w:val="00AC36A7"/>
    <w:rsid w:val="00AD1BB4"/>
    <w:rsid w:val="00AE1D23"/>
    <w:rsid w:val="00AF121D"/>
    <w:rsid w:val="00B029F9"/>
    <w:rsid w:val="00B0524B"/>
    <w:rsid w:val="00B16C30"/>
    <w:rsid w:val="00B273B0"/>
    <w:rsid w:val="00B418A3"/>
    <w:rsid w:val="00B533A2"/>
    <w:rsid w:val="00B5658A"/>
    <w:rsid w:val="00B62C32"/>
    <w:rsid w:val="00B85A0D"/>
    <w:rsid w:val="00B90446"/>
    <w:rsid w:val="00BA14F2"/>
    <w:rsid w:val="00BA5BFE"/>
    <w:rsid w:val="00BB4944"/>
    <w:rsid w:val="00BD0C60"/>
    <w:rsid w:val="00BE2645"/>
    <w:rsid w:val="00BE67F0"/>
    <w:rsid w:val="00C00770"/>
    <w:rsid w:val="00C064EA"/>
    <w:rsid w:val="00C3372B"/>
    <w:rsid w:val="00C358B5"/>
    <w:rsid w:val="00C42CBD"/>
    <w:rsid w:val="00C4451C"/>
    <w:rsid w:val="00C51B18"/>
    <w:rsid w:val="00C5461F"/>
    <w:rsid w:val="00C57D81"/>
    <w:rsid w:val="00C61A3F"/>
    <w:rsid w:val="00C63FD3"/>
    <w:rsid w:val="00C70626"/>
    <w:rsid w:val="00C95434"/>
    <w:rsid w:val="00CA27D4"/>
    <w:rsid w:val="00CA2A45"/>
    <w:rsid w:val="00CA6F63"/>
    <w:rsid w:val="00CC62F4"/>
    <w:rsid w:val="00CC75B4"/>
    <w:rsid w:val="00CE3455"/>
    <w:rsid w:val="00CF0115"/>
    <w:rsid w:val="00CF0E73"/>
    <w:rsid w:val="00CF47E1"/>
    <w:rsid w:val="00CF6E94"/>
    <w:rsid w:val="00D0634E"/>
    <w:rsid w:val="00D1386F"/>
    <w:rsid w:val="00D156EC"/>
    <w:rsid w:val="00D320C3"/>
    <w:rsid w:val="00D83A19"/>
    <w:rsid w:val="00DA0D89"/>
    <w:rsid w:val="00DA3C8F"/>
    <w:rsid w:val="00DB35E3"/>
    <w:rsid w:val="00DC6FE4"/>
    <w:rsid w:val="00DD0014"/>
    <w:rsid w:val="00DD5690"/>
    <w:rsid w:val="00DE1B2B"/>
    <w:rsid w:val="00DE7187"/>
    <w:rsid w:val="00DF0E83"/>
    <w:rsid w:val="00DF2823"/>
    <w:rsid w:val="00DF3D1C"/>
    <w:rsid w:val="00E055F9"/>
    <w:rsid w:val="00E11158"/>
    <w:rsid w:val="00E23166"/>
    <w:rsid w:val="00E27593"/>
    <w:rsid w:val="00E33B82"/>
    <w:rsid w:val="00E37D7D"/>
    <w:rsid w:val="00E42839"/>
    <w:rsid w:val="00E43D1B"/>
    <w:rsid w:val="00E43E56"/>
    <w:rsid w:val="00E46E07"/>
    <w:rsid w:val="00E509DB"/>
    <w:rsid w:val="00E51087"/>
    <w:rsid w:val="00E751D8"/>
    <w:rsid w:val="00E90C93"/>
    <w:rsid w:val="00E91FB3"/>
    <w:rsid w:val="00E9483C"/>
    <w:rsid w:val="00E95915"/>
    <w:rsid w:val="00EA7263"/>
    <w:rsid w:val="00EB5181"/>
    <w:rsid w:val="00EC7D20"/>
    <w:rsid w:val="00EE0078"/>
    <w:rsid w:val="00EE1486"/>
    <w:rsid w:val="00EE5C90"/>
    <w:rsid w:val="00EE7267"/>
    <w:rsid w:val="00EF18FB"/>
    <w:rsid w:val="00F05D98"/>
    <w:rsid w:val="00F3084E"/>
    <w:rsid w:val="00F347DB"/>
    <w:rsid w:val="00F3591D"/>
    <w:rsid w:val="00F572D6"/>
    <w:rsid w:val="00F6067C"/>
    <w:rsid w:val="00F6299C"/>
    <w:rsid w:val="00F65DD0"/>
    <w:rsid w:val="00F67637"/>
    <w:rsid w:val="00F739E9"/>
    <w:rsid w:val="00F7709D"/>
    <w:rsid w:val="00F838D5"/>
    <w:rsid w:val="00FA5733"/>
    <w:rsid w:val="00FA5D36"/>
    <w:rsid w:val="00FB0456"/>
    <w:rsid w:val="00FB04BE"/>
    <w:rsid w:val="00FE2E5A"/>
    <w:rsid w:val="00FF5BE3"/>
    <w:rsid w:val="017B5D79"/>
    <w:rsid w:val="0183426C"/>
    <w:rsid w:val="01EE19B6"/>
    <w:rsid w:val="01EE5E5A"/>
    <w:rsid w:val="049523C1"/>
    <w:rsid w:val="04F97CCA"/>
    <w:rsid w:val="065555BF"/>
    <w:rsid w:val="070E2695"/>
    <w:rsid w:val="07F02019"/>
    <w:rsid w:val="0A14667A"/>
    <w:rsid w:val="0C300E1D"/>
    <w:rsid w:val="0E247E54"/>
    <w:rsid w:val="0E7A578B"/>
    <w:rsid w:val="109D6F02"/>
    <w:rsid w:val="119E71F5"/>
    <w:rsid w:val="11CB5DFD"/>
    <w:rsid w:val="11CE2C72"/>
    <w:rsid w:val="11F56D91"/>
    <w:rsid w:val="1206249F"/>
    <w:rsid w:val="156C1118"/>
    <w:rsid w:val="15E15640"/>
    <w:rsid w:val="16AE717B"/>
    <w:rsid w:val="17677CE7"/>
    <w:rsid w:val="17A07CDA"/>
    <w:rsid w:val="181E3EC5"/>
    <w:rsid w:val="19572ABE"/>
    <w:rsid w:val="1A2E46C4"/>
    <w:rsid w:val="1B33700C"/>
    <w:rsid w:val="1C764385"/>
    <w:rsid w:val="1CE5103E"/>
    <w:rsid w:val="1ED7674D"/>
    <w:rsid w:val="1F8D7C0B"/>
    <w:rsid w:val="20AF15DB"/>
    <w:rsid w:val="21E9493A"/>
    <w:rsid w:val="22251B98"/>
    <w:rsid w:val="223034CD"/>
    <w:rsid w:val="223C40BF"/>
    <w:rsid w:val="2262572B"/>
    <w:rsid w:val="22A7686E"/>
    <w:rsid w:val="235A2249"/>
    <w:rsid w:val="23DB3F63"/>
    <w:rsid w:val="23F93CED"/>
    <w:rsid w:val="24370A13"/>
    <w:rsid w:val="24465EFD"/>
    <w:rsid w:val="261F593F"/>
    <w:rsid w:val="264E35F1"/>
    <w:rsid w:val="27A137C5"/>
    <w:rsid w:val="27E7113F"/>
    <w:rsid w:val="28BA4CA4"/>
    <w:rsid w:val="28F17E5A"/>
    <w:rsid w:val="293746B6"/>
    <w:rsid w:val="29EA365B"/>
    <w:rsid w:val="2B3631F4"/>
    <w:rsid w:val="2C433892"/>
    <w:rsid w:val="2C946F5F"/>
    <w:rsid w:val="2D76092E"/>
    <w:rsid w:val="2D8C5D2A"/>
    <w:rsid w:val="2E2A24F3"/>
    <w:rsid w:val="2E4647A4"/>
    <w:rsid w:val="2E7712D2"/>
    <w:rsid w:val="2F2D7D98"/>
    <w:rsid w:val="2F98270C"/>
    <w:rsid w:val="2FE3015E"/>
    <w:rsid w:val="311862D7"/>
    <w:rsid w:val="328A7DFC"/>
    <w:rsid w:val="32BE4D76"/>
    <w:rsid w:val="32C81412"/>
    <w:rsid w:val="333C0424"/>
    <w:rsid w:val="33723946"/>
    <w:rsid w:val="343E41D6"/>
    <w:rsid w:val="34DB41A2"/>
    <w:rsid w:val="35A45FF2"/>
    <w:rsid w:val="35D501BC"/>
    <w:rsid w:val="35ED23EA"/>
    <w:rsid w:val="377C5B85"/>
    <w:rsid w:val="386D45D5"/>
    <w:rsid w:val="38EF7122"/>
    <w:rsid w:val="3A1054F9"/>
    <w:rsid w:val="3C990195"/>
    <w:rsid w:val="3CFC0724"/>
    <w:rsid w:val="3D725FAB"/>
    <w:rsid w:val="3F855194"/>
    <w:rsid w:val="40300E10"/>
    <w:rsid w:val="40A418D2"/>
    <w:rsid w:val="410114B3"/>
    <w:rsid w:val="41A373AE"/>
    <w:rsid w:val="41D1126B"/>
    <w:rsid w:val="41EA240C"/>
    <w:rsid w:val="41F1637D"/>
    <w:rsid w:val="434057B6"/>
    <w:rsid w:val="443E4C7C"/>
    <w:rsid w:val="448500D7"/>
    <w:rsid w:val="44C47D79"/>
    <w:rsid w:val="454300F1"/>
    <w:rsid w:val="460F5E9A"/>
    <w:rsid w:val="469836BD"/>
    <w:rsid w:val="47A81BD4"/>
    <w:rsid w:val="47E96367"/>
    <w:rsid w:val="48D53BBB"/>
    <w:rsid w:val="4A29327C"/>
    <w:rsid w:val="4B7C2CA2"/>
    <w:rsid w:val="4D61085B"/>
    <w:rsid w:val="4DC2676B"/>
    <w:rsid w:val="4DF47921"/>
    <w:rsid w:val="4ED46D2F"/>
    <w:rsid w:val="502E7353"/>
    <w:rsid w:val="51B34A16"/>
    <w:rsid w:val="529556D0"/>
    <w:rsid w:val="52F82D14"/>
    <w:rsid w:val="53B042EA"/>
    <w:rsid w:val="53B8703C"/>
    <w:rsid w:val="555F668F"/>
    <w:rsid w:val="576015AA"/>
    <w:rsid w:val="57F8248F"/>
    <w:rsid w:val="589E4491"/>
    <w:rsid w:val="595653E6"/>
    <w:rsid w:val="5A1465A0"/>
    <w:rsid w:val="5A61633E"/>
    <w:rsid w:val="5BE2009F"/>
    <w:rsid w:val="5CCB2E66"/>
    <w:rsid w:val="5D3729BA"/>
    <w:rsid w:val="5DD64418"/>
    <w:rsid w:val="5F1C2834"/>
    <w:rsid w:val="5F253E4C"/>
    <w:rsid w:val="5FCA3512"/>
    <w:rsid w:val="60181C81"/>
    <w:rsid w:val="601A5E43"/>
    <w:rsid w:val="60367BD9"/>
    <w:rsid w:val="604444D1"/>
    <w:rsid w:val="60EF1139"/>
    <w:rsid w:val="61F46C76"/>
    <w:rsid w:val="62CE052D"/>
    <w:rsid w:val="63DA2CBD"/>
    <w:rsid w:val="64421FF9"/>
    <w:rsid w:val="65BF7904"/>
    <w:rsid w:val="66BC2FDC"/>
    <w:rsid w:val="67744CBA"/>
    <w:rsid w:val="679019F7"/>
    <w:rsid w:val="67E26C44"/>
    <w:rsid w:val="67E5006B"/>
    <w:rsid w:val="67E759A9"/>
    <w:rsid w:val="68631113"/>
    <w:rsid w:val="6A3749C6"/>
    <w:rsid w:val="6A4C654C"/>
    <w:rsid w:val="6D16193B"/>
    <w:rsid w:val="712138AD"/>
    <w:rsid w:val="7143510B"/>
    <w:rsid w:val="71DF6F94"/>
    <w:rsid w:val="74B93FC4"/>
    <w:rsid w:val="759230CE"/>
    <w:rsid w:val="76353AB5"/>
    <w:rsid w:val="77170F04"/>
    <w:rsid w:val="77AE203F"/>
    <w:rsid w:val="77F558E4"/>
    <w:rsid w:val="77F9523C"/>
    <w:rsid w:val="79A35C54"/>
    <w:rsid w:val="7A530D70"/>
    <w:rsid w:val="7B452B70"/>
    <w:rsid w:val="7BA3070B"/>
    <w:rsid w:val="7D0D15B6"/>
    <w:rsid w:val="7DA80D81"/>
    <w:rsid w:val="7E6D5641"/>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semiHidden/>
    <w:unhideWhenUsed/>
    <w:qFormat/>
    <w:uiPriority w:val="0"/>
    <w:pPr>
      <w:jc w:val="left"/>
    </w:pPr>
  </w:style>
  <w:style w:type="paragraph" w:styleId="3">
    <w:name w:val="Balloon Text"/>
    <w:basedOn w:val="1"/>
    <w:link w:val="20"/>
    <w:autoRedefine/>
    <w:semiHidden/>
    <w:unhideWhenUsed/>
    <w:qFormat/>
    <w:uiPriority w:val="0"/>
    <w:rPr>
      <w:sz w:val="18"/>
      <w:szCs w:val="18"/>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autoRedefine/>
    <w:semiHidden/>
    <w:unhideWhenUsed/>
    <w:qFormat/>
    <w:uiPriority w:val="0"/>
    <w:rPr>
      <w:b/>
      <w:bCs/>
    </w:rPr>
  </w:style>
  <w:style w:type="table" w:styleId="8">
    <w:name w:val="Table Grid"/>
    <w:basedOn w:val="7"/>
    <w:autoRedefine/>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autoRedefine/>
    <w:semiHidden/>
    <w:unhideWhenUsed/>
    <w:qFormat/>
    <w:uiPriority w:val="0"/>
    <w:rPr>
      <w:sz w:val="21"/>
      <w:szCs w:val="21"/>
    </w:rPr>
  </w:style>
  <w:style w:type="paragraph" w:customStyle="1" w:styleId="11">
    <w:name w:val="Table Paragraph"/>
    <w:basedOn w:val="1"/>
    <w:autoRedefine/>
    <w:qFormat/>
    <w:uiPriority w:val="0"/>
    <w:pPr>
      <w:jc w:val="left"/>
    </w:pPr>
    <w:rPr>
      <w:kern w:val="0"/>
      <w:sz w:val="22"/>
      <w:szCs w:val="22"/>
    </w:rPr>
  </w:style>
  <w:style w:type="table" w:customStyle="1" w:styleId="12">
    <w:name w:val="Table Normal"/>
    <w:basedOn w:val="7"/>
    <w:autoRedefine/>
    <w:semiHidden/>
    <w:qFormat/>
    <w:uiPriority w:val="0"/>
    <w:tblPr>
      <w:tblCellMar>
        <w:top w:w="0" w:type="dxa"/>
        <w:left w:w="0" w:type="dxa"/>
        <w:bottom w:w="0" w:type="dxa"/>
        <w:right w:w="0" w:type="dxa"/>
      </w:tblCellMar>
    </w:tblPr>
  </w:style>
  <w:style w:type="character" w:customStyle="1" w:styleId="13">
    <w:name w:val="页眉 Char"/>
    <w:link w:val="5"/>
    <w:autoRedefine/>
    <w:qFormat/>
    <w:uiPriority w:val="0"/>
    <w:rPr>
      <w:rFonts w:cs="Times New Roman"/>
      <w:kern w:val="2"/>
      <w:sz w:val="18"/>
      <w:szCs w:val="18"/>
    </w:rPr>
  </w:style>
  <w:style w:type="character" w:customStyle="1" w:styleId="14">
    <w:name w:val="页脚 Char"/>
    <w:link w:val="4"/>
    <w:autoRedefine/>
    <w:qFormat/>
    <w:uiPriority w:val="0"/>
    <w:rPr>
      <w:rFonts w:cs="Times New Roman"/>
      <w:kern w:val="2"/>
      <w:sz w:val="18"/>
      <w:szCs w:val="18"/>
    </w:rPr>
  </w:style>
  <w:style w:type="paragraph" w:customStyle="1" w:styleId="15">
    <w:name w:val="列表段落1"/>
    <w:basedOn w:val="1"/>
    <w:autoRedefine/>
    <w:qFormat/>
    <w:uiPriority w:val="99"/>
    <w:pPr>
      <w:ind w:firstLine="420" w:firstLineChars="200"/>
    </w:pPr>
  </w:style>
  <w:style w:type="character" w:customStyle="1" w:styleId="16">
    <w:name w:val="oli-avatar-text"/>
    <w:basedOn w:val="9"/>
    <w:autoRedefine/>
    <w:qFormat/>
    <w:uiPriority w:val="0"/>
  </w:style>
  <w:style w:type="paragraph" w:styleId="17">
    <w:name w:val="List Paragraph"/>
    <w:basedOn w:val="1"/>
    <w:autoRedefine/>
    <w:qFormat/>
    <w:uiPriority w:val="99"/>
    <w:pPr>
      <w:ind w:firstLine="420" w:firstLineChars="200"/>
    </w:pPr>
  </w:style>
  <w:style w:type="character" w:customStyle="1" w:styleId="18">
    <w:name w:val="批注文字 Char"/>
    <w:basedOn w:val="9"/>
    <w:link w:val="2"/>
    <w:autoRedefine/>
    <w:semiHidden/>
    <w:qFormat/>
    <w:uiPriority w:val="0"/>
    <w:rPr>
      <w:rFonts w:cs="Times New Roman"/>
      <w:kern w:val="2"/>
      <w:sz w:val="21"/>
      <w:szCs w:val="24"/>
    </w:rPr>
  </w:style>
  <w:style w:type="character" w:customStyle="1" w:styleId="19">
    <w:name w:val="批注主题 Char"/>
    <w:basedOn w:val="18"/>
    <w:link w:val="6"/>
    <w:autoRedefine/>
    <w:semiHidden/>
    <w:qFormat/>
    <w:uiPriority w:val="0"/>
    <w:rPr>
      <w:rFonts w:cs="Times New Roman"/>
      <w:b/>
      <w:bCs/>
      <w:kern w:val="2"/>
      <w:sz w:val="21"/>
      <w:szCs w:val="24"/>
    </w:rPr>
  </w:style>
  <w:style w:type="character" w:customStyle="1" w:styleId="20">
    <w:name w:val="批注框文本 Char"/>
    <w:basedOn w:val="9"/>
    <w:link w:val="3"/>
    <w:autoRedefine/>
    <w:semiHidden/>
    <w:qFormat/>
    <w:uiPriority w:val="0"/>
    <w:rPr>
      <w:rFonts w:cs="Times New Roman"/>
      <w:kern w:val="2"/>
      <w:sz w:val="18"/>
      <w:szCs w:val="18"/>
    </w:rPr>
  </w:style>
  <w:style w:type="paragraph" w:customStyle="1" w:styleId="21">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修订1"/>
    <w:autoRedefine/>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6</Pages>
  <Words>3315</Words>
  <Characters>3524</Characters>
  <Lines>18</Lines>
  <Paragraphs>5</Paragraphs>
  <TotalTime>0</TotalTime>
  <ScaleCrop>false</ScaleCrop>
  <LinksUpToDate>false</LinksUpToDate>
  <CharactersWithSpaces>3597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2024-11-29T10:20:00Z</dcterms:created>
  <dc:creator>86186</dc:creator>
  <cp:lastModifiedBy>No、</cp:lastModifiedBy>
  <cp:lastPrinted>2022-03-16T07:42:00Z</cp:lastPrinted>
  <dcterms:modified xsi:type="dcterms:W3CDTF">2025-04-30T08:25:41Z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F549F0DC7F2B42429F9A3A13885BB1FA_13</vt:lpwstr>
  </property>
  <property fmtid="{D5CDD505-2E9C-101B-9397-08002B2CF9AE}" pid="4" name="KSOTemplateDocerSaveRecord">
    <vt:lpwstr>eyJoZGlkIjoiNTU0ZmIwYTQ3NzlmZGUxZmU3Zjk0M2IyZTNmM2IxNjAiLCJ1c2VySWQiOiIzMDI2MTkyOTMifQ==</vt:lpwstr>
  </property>
</Properties>
</file>