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证券代码：</w:t>
      </w:r>
      <w:r>
        <w:rPr>
          <w:rFonts w:ascii="Times New Roman" w:hAnsi="Times New Roman" w:eastAsia="宋体" w:cs="Times New Roman"/>
          <w:sz w:val="24"/>
          <w:szCs w:val="28"/>
        </w:rPr>
        <w:t xml:space="preserve">601126  </w:t>
      </w:r>
      <w:r>
        <w:rPr>
          <w:rFonts w:ascii="宋体" w:hAnsi="宋体" w:eastAsia="宋体"/>
          <w:sz w:val="24"/>
          <w:szCs w:val="28"/>
        </w:rPr>
        <w:t xml:space="preserve">                                 证券简称：</w:t>
      </w:r>
      <w:r>
        <w:rPr>
          <w:rFonts w:hint="eastAsia" w:ascii="宋体" w:hAnsi="宋体" w:eastAsia="宋体"/>
          <w:sz w:val="24"/>
          <w:szCs w:val="28"/>
        </w:rPr>
        <w:t>四方股份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北京四方继保自动化股份有限公司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投资者关系活动记录表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（2025年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月）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spacing w:before="156" w:beforeLines="50" w:after="156" w:afterLines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北京四方继保自动化股份有限公司</w:t>
      </w:r>
      <w:r>
        <w:rPr>
          <w:rFonts w:ascii="宋体" w:hAnsi="宋体" w:eastAsia="宋体"/>
          <w:sz w:val="24"/>
          <w:szCs w:val="24"/>
        </w:rPr>
        <w:t>于近期与投资</w:t>
      </w:r>
      <w:r>
        <w:rPr>
          <w:rFonts w:hint="eastAsia" w:ascii="宋体" w:hAnsi="宋体" w:eastAsia="宋体"/>
          <w:sz w:val="24"/>
          <w:szCs w:val="24"/>
        </w:rPr>
        <w:t>者、券商分析师等就公司生产经营情况进行交流，现将投资者关系活动的主要情况汇总发布如下：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投资者关系活动类别</w:t>
            </w:r>
          </w:p>
        </w:tc>
        <w:tc>
          <w:tcPr>
            <w:tcW w:w="6741" w:type="dxa"/>
            <w:vAlign w:val="center"/>
          </w:tcPr>
          <w:p>
            <w:pPr>
              <w:spacing w:before="156" w:beforeLines="50" w:after="156" w:afterLines="50" w:line="30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特定对象调研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分析师会议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sz w:val="24"/>
                <w:szCs w:val="24"/>
              </w:rPr>
              <w:t>媒体采访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√</w:t>
            </w:r>
            <w:r>
              <w:rPr>
                <w:rFonts w:ascii="宋体" w:hAnsi="宋体" w:eastAsia="宋体"/>
                <w:sz w:val="24"/>
                <w:szCs w:val="24"/>
              </w:rPr>
              <w:t>业绩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解读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会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新闻发布会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路演活动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sz w:val="24"/>
                <w:szCs w:val="24"/>
              </w:rPr>
              <w:t>现场参观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55" w:type="dxa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参与机构</w:t>
            </w:r>
          </w:p>
        </w:tc>
        <w:tc>
          <w:tcPr>
            <w:tcW w:w="6741" w:type="dxa"/>
            <w:vAlign w:val="center"/>
          </w:tcPr>
          <w:p>
            <w:pPr>
              <w:spacing w:before="156" w:beforeLines="50" w:after="156" w:afterLines="50" w:line="30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国寿养老、工银瑞信、新华资产、华夏基金、易方达、博时基金、朱雀基金</w:t>
            </w:r>
            <w:r>
              <w:rPr>
                <w:rFonts w:hint="default" w:ascii="宋体" w:hAnsi="宋体" w:eastAsia="宋体"/>
                <w:sz w:val="24"/>
                <w:szCs w:val="24"/>
                <w:lang w:eastAsia="zh-CN"/>
                <w:woUserID w:val="1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  <w:woUserID w:val="1"/>
              </w:rPr>
              <w:t>中信证券、中金公司、</w:t>
            </w:r>
            <w:r>
              <w:rPr>
                <w:rFonts w:hint="default" w:ascii="宋体" w:hAnsi="宋体" w:eastAsia="宋体"/>
                <w:sz w:val="24"/>
                <w:szCs w:val="24"/>
                <w:lang w:eastAsia="zh-CN"/>
                <w:woUserID w:val="1"/>
              </w:rPr>
              <w:t>东吴证券、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  <w:woUserID w:val="1"/>
              </w:rPr>
              <w:t>招商证券、国信证券、</w:t>
            </w:r>
            <w:r>
              <w:rPr>
                <w:rFonts w:hint="default" w:ascii="宋体" w:hAnsi="宋体" w:eastAsia="宋体"/>
                <w:sz w:val="24"/>
                <w:szCs w:val="24"/>
                <w:lang w:eastAsia="zh-CN"/>
                <w:woUserID w:val="1"/>
              </w:rPr>
              <w:t>中信建投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+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家机构</w:t>
            </w:r>
            <w:r>
              <w:rPr>
                <w:rFonts w:hint="default" w:ascii="宋体" w:hAnsi="宋体" w:eastAsia="宋体"/>
                <w:sz w:val="24"/>
                <w:szCs w:val="24"/>
                <w:woUserID w:val="1"/>
              </w:rPr>
              <w:t>/券商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地点</w:t>
            </w:r>
          </w:p>
        </w:tc>
        <w:tc>
          <w:tcPr>
            <w:tcW w:w="6741" w:type="dxa"/>
            <w:vAlign w:val="center"/>
          </w:tcPr>
          <w:p>
            <w:pPr>
              <w:spacing w:before="156" w:beforeLines="50" w:after="156" w:afterLines="50" w:line="30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公司会议室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、线上会议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上市公司</w:t>
            </w:r>
          </w:p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接待人员</w:t>
            </w:r>
          </w:p>
        </w:tc>
        <w:tc>
          <w:tcPr>
            <w:tcW w:w="6741" w:type="dxa"/>
            <w:vAlign w:val="center"/>
          </w:tcPr>
          <w:p>
            <w:pPr>
              <w:spacing w:before="156" w:beforeLines="50" w:after="156" w:afterLines="50" w:line="30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董事会秘书、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发电及用电业务总经理、</w:t>
            </w:r>
            <w:r>
              <w:rPr>
                <w:rFonts w:ascii="宋体" w:hAnsi="宋体" w:eastAsia="宋体"/>
                <w:sz w:val="24"/>
                <w:szCs w:val="24"/>
              </w:rPr>
              <w:t>证券事务代表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投资者关系活动主要内容介绍</w:t>
            </w:r>
          </w:p>
        </w:tc>
        <w:tc>
          <w:tcPr>
            <w:tcW w:w="6741" w:type="dxa"/>
            <w:vAlign w:val="center"/>
          </w:tcPr>
          <w:p>
            <w:pPr>
              <w:spacing w:before="156" w:beforeLines="50" w:after="156" w:afterLines="50" w:line="300" w:lineRule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 xml:space="preserve">Q1: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woUserID w:val="1"/>
              </w:rPr>
              <w:t>2025年新能源装机放缓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对公司业务影响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  <w:woUserID w:val="1"/>
              </w:rPr>
              <w:t>有多大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？</w:t>
            </w:r>
          </w:p>
          <w:p>
            <w:pPr>
              <w:spacing w:before="156" w:beforeLines="50" w:after="156" w:afterLines="50" w:line="30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：新能源业务是公司整体业务的重要组成部分，长期来看对公司业绩起到重要支撑作用。一方面，基于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双碳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背景下的新能源发展机遇，公司紧抓行业周期，积极开拓海内外市场；另一方面，在大型沙戈荒新能源基地和海上风电等细分领域，公司持续提升解决方案的竞争力，并加强产品创新与品类拓展。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目前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公司新能源业务以集中式项目为主，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影响相对较小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before="156" w:beforeLines="50" w:after="156" w:afterLines="50" w:line="30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在未来业务拓展与创新方面，公司将充分发挥自身优势，基于储能本体设备附加功能，为市场提供增值服务。随着电力市场交易机制的日趋完善，为实现电力交易内容与电站的高效匹配，需要打通新能源发电侧功率预测、新能源控制以及交易市场交易策略这三大核心功能模块。凭借深厚的技术积累与强大的研发能力，公司传统二次集成功能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woUserID w:val="1"/>
              </w:rPr>
              <w:t>可以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向电力交易领域延伸，提升传统设备的性能，并将升级成果与现有系统深度融合，广泛应用于储能、绿电工业负荷侧等涉及电力交易的场景，进一步挖掘市场潜力。</w:t>
            </w:r>
          </w:p>
          <w:p>
            <w:pPr>
              <w:spacing w:before="156" w:beforeLines="50" w:after="156" w:afterLines="50" w:line="30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before="156" w:beforeLines="50" w:after="156" w:afterLines="50" w:line="300" w:lineRule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 xml:space="preserve">Q2: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  <w:woUserID w:val="1"/>
              </w:rPr>
              <w:t>对各个业务板块是如何规划的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？</w:t>
            </w:r>
          </w:p>
          <w:p>
            <w:pPr>
              <w:spacing w:before="156" w:beforeLines="50" w:after="156" w:afterLines="50" w:line="30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：随着构建新型电力系统的稳步推进，以及数字化、大数据、人工智能技术与能源清洁高效开发利用技术的融合创新发展，公司将进一步聚焦战略规划。分领域来讲，1、深耕智能电网业务，开拓新的业务细分领域，提高产品和解决方案竞争力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  <w:woUserID w:val="1"/>
              </w:rPr>
              <w:t>积极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  <w:woUserID w:val="1"/>
              </w:rPr>
              <w:t>拓展行业用户及区域配电市场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  <w:woUserID w:val="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2、高质量发展新能源及储能业务，在大型沙戈荒新能源基地、分布式能源、海陆风电领域持续提升综合自动化、智能运维等整体解决方案竞争力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woUserID w:val="1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  <w:woUserID w:val="1"/>
              </w:rPr>
              <w:t>在火电、水电、核电领域形成协同优势，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  <w:woUserID w:val="1"/>
              </w:rPr>
              <w:t>持续提升传统能源市场占有率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  <w:woUserID w:val="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3、在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woUserID w:val="1"/>
              </w:rPr>
              <w:t>钢铁冶金、石油化工、智慧轨道交通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woUserID w:val="1"/>
              </w:rPr>
              <w:t>工业用电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行业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加强能效管理向绿色低碳转型，推进综合能源管理等技术和产品应用，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进一步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提升整体解决方案的竞争力。</w:t>
            </w:r>
          </w:p>
          <w:p>
            <w:pPr>
              <w:spacing w:before="156" w:beforeLines="50" w:after="156" w:afterLines="50" w:line="30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before="156" w:beforeLines="50" w:after="156" w:afterLines="50" w:line="300" w:lineRule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Q3: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  <w:woUserID w:val="1"/>
              </w:rPr>
              <w:t>2025 年一季度公司业绩表现亮眼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  <w:woUserID w:val="1"/>
              </w:rPr>
              <w:t>，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  <w:woUserID w:val="1"/>
              </w:rPr>
              <w:t>但出现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  <w:woUserID w:val="1"/>
              </w:rPr>
              <w:t>毛利率下降、净利率提升的情况，背后原因是什么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？</w:t>
            </w:r>
          </w:p>
          <w:p>
            <w:pPr>
              <w:spacing w:before="156" w:beforeLines="50" w:after="156" w:afterLines="50"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A：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2025年一季度，公司业绩呈现良好势头，各项指标表现出强劲的增长趋势。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  <w:woUserID w:val="1"/>
              </w:rPr>
              <w:t>一季度，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公司营业收入增速接近20%，利润同比增速达到33%，经营活动现金流同比翻了一倍多。公司在经营管理方面取得了显著成果，竞争力得到进一步提升。</w:t>
            </w:r>
          </w:p>
          <w:p>
            <w:pPr>
              <w:spacing w:before="156" w:beforeLines="50" w:after="156" w:afterLines="50"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  <w:woUserID w:val="1"/>
              </w:rPr>
              <w:t>因公司业务结构的变化，以及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  <w:woUserID w:val="1"/>
              </w:rPr>
              <w:t>市场竞争的加剧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  <w:woUserID w:val="1"/>
              </w:rPr>
              <w:t>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  <w:woUserID w:val="1"/>
              </w:rPr>
              <w:t>影响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  <w:woUserID w:val="1"/>
              </w:rPr>
              <w:t>因素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  <w:woUserID w:val="1"/>
              </w:rPr>
              <w:t>，使得毛利率出现了一定程度的波动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  <w:woUserID w:val="1"/>
              </w:rPr>
              <w:t>，基本符合公司的发展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  <w:woUserID w:val="1"/>
              </w:rPr>
              <w:t>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  <w:woUserID w:val="1"/>
              </w:rPr>
              <w:t>同时，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公司通过积极的降本增效措施和严格的期间费用控制，使盈利水平保持稳定。</w:t>
            </w:r>
          </w:p>
          <w:p>
            <w:pPr>
              <w:spacing w:before="156" w:beforeLines="50" w:after="156" w:afterLines="50" w:line="300" w:lineRule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spacing w:before="156" w:beforeLines="50" w:after="156" w:afterLines="50" w:line="300" w:lineRule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Q4: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公司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二季度交付节奏判断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？</w:t>
            </w:r>
          </w:p>
          <w:p>
            <w:pPr>
              <w:spacing w:before="156" w:beforeLines="50" w:after="156" w:afterLines="50" w:line="30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：公司在手订单充裕，经营状况良好，收入结构合理，为后续营收增长奠定了坚实基础。依托现有订单，公司生产计划有序推进，经营状况持续向好。通过精细化成本管控和期间费用优化，公司盈利水平保持稳定。</w:t>
            </w:r>
          </w:p>
          <w:p>
            <w:pPr>
              <w:spacing w:before="156" w:beforeLines="50" w:after="156" w:afterLines="50" w:line="300" w:lineRule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spacing w:before="156" w:beforeLines="50" w:after="156" w:afterLines="50" w:line="300" w:lineRule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Q5: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  <w:woUserID w:val="1"/>
              </w:rPr>
              <w:t>在“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  <w:woUserID w:val="1"/>
              </w:rPr>
              <w:t>十五五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  <w:woUserID w:val="1"/>
              </w:rPr>
              <w:t>”期间对公司的发展如何展望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？</w:t>
            </w:r>
          </w:p>
          <w:p>
            <w:pPr>
              <w:spacing w:before="156" w:beforeLines="50" w:after="156" w:afterLines="50" w:line="30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：近年来，随着能源变革进程显著提速，风电与光伏作为新增装机的主力军，已成为推动清洁能源转型的关键力量，由此带动新能源规模的快速增长。在新型电力系统构建的持续推进过程中，电网投资规模逐年稳步攀升，并始终保持高位运行状态。与此同时，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双碳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战略目标的引领下，电能替代也在加速向多领域渗透，为能源行业的发展注入强劲动能。</w:t>
            </w:r>
          </w:p>
          <w:p>
            <w:pPr>
              <w:spacing w:before="156" w:beforeLines="50" w:after="156" w:afterLines="50" w:line="30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公司所处的电力设备行业正处于高速发展阶段。公司始终将高质量可持续发展作为核心战略，在实现业务规模稳健扩张的同时，不断优化运营管理，提升盈利能力，实现了稳健增长。随着行业快速发展，市场竞争日益激烈。为此，公司积极应对，通过强化技术研发提升产品核心竞争力，加大市场开拓力度以扩大市场份额，优化内部管理体系以提高运营效率。展望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五五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，公司对电力设备行业的市场机遇与发展前景充满信心，将充分把握市场机遇，推动业务稳健发展。</w:t>
            </w:r>
          </w:p>
          <w:p>
            <w:pPr>
              <w:spacing w:before="156" w:beforeLines="50" w:after="156" w:afterLines="50" w:line="300" w:lineRule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spacing w:before="156" w:beforeLines="50" w:after="156" w:afterLines="50" w:line="300" w:lineRule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Q6: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请问在数据中心领域，公司目前取得了哪些具体进展？</w:t>
            </w:r>
          </w:p>
          <w:p>
            <w:pPr>
              <w:spacing w:before="156" w:beforeLines="50" w:after="156" w:afterLines="50" w:line="30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：在数据中心业务领域，公司凭借长期积累的技术优势与行业经验，持续为国内主流数据中心项目提供核心电信化设备，相关设备主要部署于变电站环节，为数据中心电力供应的稳定运行提供坚实保障。同时，公司为部分数据中心项目配备了先进的保护设备，并在新建项目中创新应用绿色算力及电算协同控制系统，助力数据中心实现高效节能与智能化管理。</w:t>
            </w:r>
          </w:p>
          <w:p>
            <w:pPr>
              <w:spacing w:before="156" w:beforeLines="50" w:after="156" w:afterLines="50" w:line="30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在技术研发与创新合作方面，公司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woUserID w:val="1"/>
              </w:rPr>
              <w:t>将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积极携手高校及科研机构，聚焦绿色技术在数据中心场景的仿真实验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woUserID w:val="1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woUserID w:val="1"/>
              </w:rPr>
              <w:t>推广应用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before="156" w:beforeLines="50" w:after="156" w:afterLines="50" w:line="300" w:lineRule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Q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关税对公司的影响？</w:t>
            </w:r>
          </w:p>
          <w:p>
            <w:pPr>
              <w:spacing w:before="156" w:beforeLines="50" w:after="156" w:afterLines="50" w:line="30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：目前公司国际业务体量较小，约占整体收入的3%左右。公司海外市场主要以“一带一路”沿线国家为主，并持续深耕东南亚、非洲等海外市场。从目前情况来看，关税因素对公司业务影响暂不显著。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before="156" w:beforeLines="50" w:after="156" w:afterLines="50" w:line="30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时间</w:t>
            </w:r>
          </w:p>
        </w:tc>
        <w:tc>
          <w:tcPr>
            <w:tcW w:w="6741" w:type="dxa"/>
            <w:vAlign w:val="center"/>
          </w:tcPr>
          <w:p>
            <w:pPr>
              <w:spacing w:before="156" w:beforeLines="50" w:after="156" w:afterLines="50" w:line="30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2025年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月1日——2025年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spacing w:before="156" w:beforeLines="50" w:after="156" w:afterLines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特此发布。敬请广大投资者注意投资风险，理性投资。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B1"/>
    <w:rsid w:val="00003A3E"/>
    <w:rsid w:val="00030D8E"/>
    <w:rsid w:val="0004504C"/>
    <w:rsid w:val="00073B14"/>
    <w:rsid w:val="000754C7"/>
    <w:rsid w:val="0008270A"/>
    <w:rsid w:val="000858FF"/>
    <w:rsid w:val="00092E1F"/>
    <w:rsid w:val="00094DAA"/>
    <w:rsid w:val="000A0B27"/>
    <w:rsid w:val="000A7E02"/>
    <w:rsid w:val="000B49BB"/>
    <w:rsid w:val="000C344A"/>
    <w:rsid w:val="000C5723"/>
    <w:rsid w:val="000E2A90"/>
    <w:rsid w:val="000E4F30"/>
    <w:rsid w:val="000F0516"/>
    <w:rsid w:val="000F1971"/>
    <w:rsid w:val="000F340B"/>
    <w:rsid w:val="000F3F8A"/>
    <w:rsid w:val="00105239"/>
    <w:rsid w:val="0011479E"/>
    <w:rsid w:val="0012401E"/>
    <w:rsid w:val="00150C02"/>
    <w:rsid w:val="001572B1"/>
    <w:rsid w:val="00161711"/>
    <w:rsid w:val="00162F87"/>
    <w:rsid w:val="00164332"/>
    <w:rsid w:val="00167C02"/>
    <w:rsid w:val="00170230"/>
    <w:rsid w:val="0017261E"/>
    <w:rsid w:val="00173A8B"/>
    <w:rsid w:val="001801D3"/>
    <w:rsid w:val="00181B5D"/>
    <w:rsid w:val="001851F9"/>
    <w:rsid w:val="00186E49"/>
    <w:rsid w:val="00192255"/>
    <w:rsid w:val="001A5771"/>
    <w:rsid w:val="001A62F9"/>
    <w:rsid w:val="001B589D"/>
    <w:rsid w:val="001B74B0"/>
    <w:rsid w:val="001C0B6C"/>
    <w:rsid w:val="001D1079"/>
    <w:rsid w:val="001D33DA"/>
    <w:rsid w:val="001D657B"/>
    <w:rsid w:val="001E217C"/>
    <w:rsid w:val="001E28B7"/>
    <w:rsid w:val="001F2F71"/>
    <w:rsid w:val="001F688E"/>
    <w:rsid w:val="00206A69"/>
    <w:rsid w:val="00210ACF"/>
    <w:rsid w:val="00210C33"/>
    <w:rsid w:val="00213DA1"/>
    <w:rsid w:val="00215A01"/>
    <w:rsid w:val="0021641F"/>
    <w:rsid w:val="00224D32"/>
    <w:rsid w:val="00225136"/>
    <w:rsid w:val="0022732E"/>
    <w:rsid w:val="002435FD"/>
    <w:rsid w:val="00250C47"/>
    <w:rsid w:val="00252AB7"/>
    <w:rsid w:val="00252C29"/>
    <w:rsid w:val="00254569"/>
    <w:rsid w:val="00256A9A"/>
    <w:rsid w:val="00265DD5"/>
    <w:rsid w:val="00282FB7"/>
    <w:rsid w:val="00290432"/>
    <w:rsid w:val="002963A0"/>
    <w:rsid w:val="002A436A"/>
    <w:rsid w:val="002A4375"/>
    <w:rsid w:val="002B0CCD"/>
    <w:rsid w:val="002B1550"/>
    <w:rsid w:val="002C5CC5"/>
    <w:rsid w:val="002C640A"/>
    <w:rsid w:val="002C7341"/>
    <w:rsid w:val="002D1EB5"/>
    <w:rsid w:val="002D3DBE"/>
    <w:rsid w:val="002D4490"/>
    <w:rsid w:val="002D4A05"/>
    <w:rsid w:val="002D5590"/>
    <w:rsid w:val="002D59B7"/>
    <w:rsid w:val="002D6B52"/>
    <w:rsid w:val="002D7201"/>
    <w:rsid w:val="002D7F4C"/>
    <w:rsid w:val="002E4751"/>
    <w:rsid w:val="003042E3"/>
    <w:rsid w:val="00307CB5"/>
    <w:rsid w:val="003144EE"/>
    <w:rsid w:val="00325176"/>
    <w:rsid w:val="00330698"/>
    <w:rsid w:val="00345C04"/>
    <w:rsid w:val="003478EC"/>
    <w:rsid w:val="003713BC"/>
    <w:rsid w:val="00383462"/>
    <w:rsid w:val="003871A9"/>
    <w:rsid w:val="00390403"/>
    <w:rsid w:val="00391BC1"/>
    <w:rsid w:val="003A0823"/>
    <w:rsid w:val="003A72C4"/>
    <w:rsid w:val="003A7C03"/>
    <w:rsid w:val="003B000A"/>
    <w:rsid w:val="003B098F"/>
    <w:rsid w:val="003B4456"/>
    <w:rsid w:val="003C1992"/>
    <w:rsid w:val="003C2D49"/>
    <w:rsid w:val="003C574F"/>
    <w:rsid w:val="003D3603"/>
    <w:rsid w:val="003D5F3C"/>
    <w:rsid w:val="003D6C9F"/>
    <w:rsid w:val="003E38FC"/>
    <w:rsid w:val="003E429A"/>
    <w:rsid w:val="003E5358"/>
    <w:rsid w:val="003E5B0D"/>
    <w:rsid w:val="003E5E1D"/>
    <w:rsid w:val="003F1E1E"/>
    <w:rsid w:val="003F7890"/>
    <w:rsid w:val="004006A3"/>
    <w:rsid w:val="00401AD3"/>
    <w:rsid w:val="00405B05"/>
    <w:rsid w:val="00406A4A"/>
    <w:rsid w:val="00412C70"/>
    <w:rsid w:val="004131B0"/>
    <w:rsid w:val="00422846"/>
    <w:rsid w:val="00436F5E"/>
    <w:rsid w:val="00470637"/>
    <w:rsid w:val="004735AA"/>
    <w:rsid w:val="0047685D"/>
    <w:rsid w:val="00477CEB"/>
    <w:rsid w:val="00481C00"/>
    <w:rsid w:val="00483C85"/>
    <w:rsid w:val="004972B2"/>
    <w:rsid w:val="004A4F63"/>
    <w:rsid w:val="004A5BFC"/>
    <w:rsid w:val="004A65E7"/>
    <w:rsid w:val="004C62BA"/>
    <w:rsid w:val="004C7D68"/>
    <w:rsid w:val="004E15F7"/>
    <w:rsid w:val="004E651F"/>
    <w:rsid w:val="004F2587"/>
    <w:rsid w:val="00500099"/>
    <w:rsid w:val="005018B8"/>
    <w:rsid w:val="00502CFB"/>
    <w:rsid w:val="005052CE"/>
    <w:rsid w:val="00506DB8"/>
    <w:rsid w:val="0052119A"/>
    <w:rsid w:val="00521FE9"/>
    <w:rsid w:val="00522C10"/>
    <w:rsid w:val="0053049B"/>
    <w:rsid w:val="0053276D"/>
    <w:rsid w:val="0054311A"/>
    <w:rsid w:val="00543B93"/>
    <w:rsid w:val="00544832"/>
    <w:rsid w:val="00550318"/>
    <w:rsid w:val="00563C64"/>
    <w:rsid w:val="00581DC0"/>
    <w:rsid w:val="00590932"/>
    <w:rsid w:val="00592C63"/>
    <w:rsid w:val="00594077"/>
    <w:rsid w:val="00597302"/>
    <w:rsid w:val="005A6927"/>
    <w:rsid w:val="005B3EEB"/>
    <w:rsid w:val="005B4CA9"/>
    <w:rsid w:val="005B7046"/>
    <w:rsid w:val="005C2B90"/>
    <w:rsid w:val="005C395F"/>
    <w:rsid w:val="005D1AE6"/>
    <w:rsid w:val="005D31F5"/>
    <w:rsid w:val="005E4598"/>
    <w:rsid w:val="005F3FB8"/>
    <w:rsid w:val="00601767"/>
    <w:rsid w:val="00610261"/>
    <w:rsid w:val="00610D5C"/>
    <w:rsid w:val="00612F3A"/>
    <w:rsid w:val="0061510E"/>
    <w:rsid w:val="00632FB1"/>
    <w:rsid w:val="006432C2"/>
    <w:rsid w:val="0064762F"/>
    <w:rsid w:val="00670D81"/>
    <w:rsid w:val="0068077C"/>
    <w:rsid w:val="0068212A"/>
    <w:rsid w:val="00686819"/>
    <w:rsid w:val="006A1FE1"/>
    <w:rsid w:val="006B030B"/>
    <w:rsid w:val="006B5E5C"/>
    <w:rsid w:val="006C752F"/>
    <w:rsid w:val="006D3564"/>
    <w:rsid w:val="006D7F0B"/>
    <w:rsid w:val="006E0C67"/>
    <w:rsid w:val="006E2F47"/>
    <w:rsid w:val="006F580F"/>
    <w:rsid w:val="0070391F"/>
    <w:rsid w:val="007048DC"/>
    <w:rsid w:val="00705CDD"/>
    <w:rsid w:val="00705FA8"/>
    <w:rsid w:val="0070685E"/>
    <w:rsid w:val="00711674"/>
    <w:rsid w:val="00716495"/>
    <w:rsid w:val="00720BFF"/>
    <w:rsid w:val="00733DD3"/>
    <w:rsid w:val="00737585"/>
    <w:rsid w:val="00744BC8"/>
    <w:rsid w:val="007450D1"/>
    <w:rsid w:val="00746B4F"/>
    <w:rsid w:val="00747117"/>
    <w:rsid w:val="00750B86"/>
    <w:rsid w:val="007542BA"/>
    <w:rsid w:val="00761151"/>
    <w:rsid w:val="00764B40"/>
    <w:rsid w:val="007701C6"/>
    <w:rsid w:val="00773F4C"/>
    <w:rsid w:val="007826FB"/>
    <w:rsid w:val="00784025"/>
    <w:rsid w:val="0079322F"/>
    <w:rsid w:val="00793795"/>
    <w:rsid w:val="00794348"/>
    <w:rsid w:val="00795E2E"/>
    <w:rsid w:val="00797FE5"/>
    <w:rsid w:val="007C453F"/>
    <w:rsid w:val="007C75E2"/>
    <w:rsid w:val="007D03A4"/>
    <w:rsid w:val="007D2E29"/>
    <w:rsid w:val="007E6B57"/>
    <w:rsid w:val="007F139C"/>
    <w:rsid w:val="007F2B99"/>
    <w:rsid w:val="00801FD8"/>
    <w:rsid w:val="0080541B"/>
    <w:rsid w:val="00806F6F"/>
    <w:rsid w:val="00814FDA"/>
    <w:rsid w:val="0081609F"/>
    <w:rsid w:val="008160BF"/>
    <w:rsid w:val="00821CBC"/>
    <w:rsid w:val="008404D7"/>
    <w:rsid w:val="00856D88"/>
    <w:rsid w:val="00867E65"/>
    <w:rsid w:val="00873614"/>
    <w:rsid w:val="00881E8C"/>
    <w:rsid w:val="00882E60"/>
    <w:rsid w:val="00887A4B"/>
    <w:rsid w:val="00894A83"/>
    <w:rsid w:val="00895254"/>
    <w:rsid w:val="008972E2"/>
    <w:rsid w:val="008973B5"/>
    <w:rsid w:val="008A5000"/>
    <w:rsid w:val="008A5480"/>
    <w:rsid w:val="008A5E76"/>
    <w:rsid w:val="008C79DE"/>
    <w:rsid w:val="008D2AAC"/>
    <w:rsid w:val="008D51F7"/>
    <w:rsid w:val="008E2738"/>
    <w:rsid w:val="008E6DBD"/>
    <w:rsid w:val="008E7B0E"/>
    <w:rsid w:val="00904D7A"/>
    <w:rsid w:val="00906AE3"/>
    <w:rsid w:val="009074DD"/>
    <w:rsid w:val="00915448"/>
    <w:rsid w:val="00917D4C"/>
    <w:rsid w:val="00920338"/>
    <w:rsid w:val="00924791"/>
    <w:rsid w:val="00944FF3"/>
    <w:rsid w:val="00955DB9"/>
    <w:rsid w:val="00961284"/>
    <w:rsid w:val="00964965"/>
    <w:rsid w:val="0097014F"/>
    <w:rsid w:val="0099536A"/>
    <w:rsid w:val="00995851"/>
    <w:rsid w:val="00995BB8"/>
    <w:rsid w:val="009A3819"/>
    <w:rsid w:val="009A446D"/>
    <w:rsid w:val="009A5236"/>
    <w:rsid w:val="009A53B4"/>
    <w:rsid w:val="009A5FE0"/>
    <w:rsid w:val="009A602A"/>
    <w:rsid w:val="009A7F7F"/>
    <w:rsid w:val="009B0CA8"/>
    <w:rsid w:val="009C2972"/>
    <w:rsid w:val="009C560E"/>
    <w:rsid w:val="009D2020"/>
    <w:rsid w:val="009D7E19"/>
    <w:rsid w:val="009E4899"/>
    <w:rsid w:val="009F4BF6"/>
    <w:rsid w:val="009F7638"/>
    <w:rsid w:val="00A00EFA"/>
    <w:rsid w:val="00A025C8"/>
    <w:rsid w:val="00A05FA4"/>
    <w:rsid w:val="00A06B97"/>
    <w:rsid w:val="00A13043"/>
    <w:rsid w:val="00A175BA"/>
    <w:rsid w:val="00A20863"/>
    <w:rsid w:val="00A209AA"/>
    <w:rsid w:val="00A20DE0"/>
    <w:rsid w:val="00A33BAF"/>
    <w:rsid w:val="00A36AE9"/>
    <w:rsid w:val="00A413BA"/>
    <w:rsid w:val="00A56163"/>
    <w:rsid w:val="00A62B5D"/>
    <w:rsid w:val="00A63871"/>
    <w:rsid w:val="00A82BBA"/>
    <w:rsid w:val="00A857FA"/>
    <w:rsid w:val="00A900F6"/>
    <w:rsid w:val="00A90A58"/>
    <w:rsid w:val="00AA0FC3"/>
    <w:rsid w:val="00AA30BB"/>
    <w:rsid w:val="00AA7F89"/>
    <w:rsid w:val="00AB0C39"/>
    <w:rsid w:val="00AB4DC0"/>
    <w:rsid w:val="00AC0C6F"/>
    <w:rsid w:val="00AC4159"/>
    <w:rsid w:val="00AC5E4E"/>
    <w:rsid w:val="00AC6111"/>
    <w:rsid w:val="00AE3E16"/>
    <w:rsid w:val="00AF23F6"/>
    <w:rsid w:val="00B015BA"/>
    <w:rsid w:val="00B12798"/>
    <w:rsid w:val="00B14E98"/>
    <w:rsid w:val="00B1604F"/>
    <w:rsid w:val="00B1690D"/>
    <w:rsid w:val="00B174DD"/>
    <w:rsid w:val="00B2544D"/>
    <w:rsid w:val="00B25643"/>
    <w:rsid w:val="00B30734"/>
    <w:rsid w:val="00B31F44"/>
    <w:rsid w:val="00B42564"/>
    <w:rsid w:val="00B44777"/>
    <w:rsid w:val="00B53F66"/>
    <w:rsid w:val="00B54444"/>
    <w:rsid w:val="00B54987"/>
    <w:rsid w:val="00B55413"/>
    <w:rsid w:val="00B56BD3"/>
    <w:rsid w:val="00B5747E"/>
    <w:rsid w:val="00B6324E"/>
    <w:rsid w:val="00B654DF"/>
    <w:rsid w:val="00B66386"/>
    <w:rsid w:val="00B66914"/>
    <w:rsid w:val="00B73C50"/>
    <w:rsid w:val="00B73E4C"/>
    <w:rsid w:val="00B74417"/>
    <w:rsid w:val="00B77978"/>
    <w:rsid w:val="00B8007B"/>
    <w:rsid w:val="00B84357"/>
    <w:rsid w:val="00B874F7"/>
    <w:rsid w:val="00B877C3"/>
    <w:rsid w:val="00B91FC1"/>
    <w:rsid w:val="00B95549"/>
    <w:rsid w:val="00BA64AF"/>
    <w:rsid w:val="00BD14B9"/>
    <w:rsid w:val="00BD2F25"/>
    <w:rsid w:val="00BE0B8B"/>
    <w:rsid w:val="00BE2622"/>
    <w:rsid w:val="00BF1F86"/>
    <w:rsid w:val="00C0077D"/>
    <w:rsid w:val="00C10139"/>
    <w:rsid w:val="00C11289"/>
    <w:rsid w:val="00C173E0"/>
    <w:rsid w:val="00C24390"/>
    <w:rsid w:val="00C31E80"/>
    <w:rsid w:val="00C33817"/>
    <w:rsid w:val="00C43F1C"/>
    <w:rsid w:val="00C43F58"/>
    <w:rsid w:val="00C705B1"/>
    <w:rsid w:val="00C70601"/>
    <w:rsid w:val="00C71E18"/>
    <w:rsid w:val="00C80465"/>
    <w:rsid w:val="00C8246A"/>
    <w:rsid w:val="00C95A0C"/>
    <w:rsid w:val="00CB69F1"/>
    <w:rsid w:val="00CB7389"/>
    <w:rsid w:val="00CC0F3A"/>
    <w:rsid w:val="00CC3088"/>
    <w:rsid w:val="00CC616A"/>
    <w:rsid w:val="00CC685E"/>
    <w:rsid w:val="00CD575E"/>
    <w:rsid w:val="00CD5DFE"/>
    <w:rsid w:val="00CD661E"/>
    <w:rsid w:val="00CE04F0"/>
    <w:rsid w:val="00CE2C0F"/>
    <w:rsid w:val="00CE34AD"/>
    <w:rsid w:val="00CF329A"/>
    <w:rsid w:val="00CF3A3A"/>
    <w:rsid w:val="00CF592E"/>
    <w:rsid w:val="00D048C2"/>
    <w:rsid w:val="00D05553"/>
    <w:rsid w:val="00D06460"/>
    <w:rsid w:val="00D06F7B"/>
    <w:rsid w:val="00D272B7"/>
    <w:rsid w:val="00D308CD"/>
    <w:rsid w:val="00D30C73"/>
    <w:rsid w:val="00D355A8"/>
    <w:rsid w:val="00D36D68"/>
    <w:rsid w:val="00D3763A"/>
    <w:rsid w:val="00D547B4"/>
    <w:rsid w:val="00D621C3"/>
    <w:rsid w:val="00D66BCF"/>
    <w:rsid w:val="00D74CBC"/>
    <w:rsid w:val="00D860EE"/>
    <w:rsid w:val="00DA4B0B"/>
    <w:rsid w:val="00DA6CF7"/>
    <w:rsid w:val="00DB0950"/>
    <w:rsid w:val="00DB6148"/>
    <w:rsid w:val="00DD0A0D"/>
    <w:rsid w:val="00DD3067"/>
    <w:rsid w:val="00DE49F7"/>
    <w:rsid w:val="00DE542F"/>
    <w:rsid w:val="00DE68D8"/>
    <w:rsid w:val="00DE7DE3"/>
    <w:rsid w:val="00DF04AE"/>
    <w:rsid w:val="00DF103E"/>
    <w:rsid w:val="00DF1640"/>
    <w:rsid w:val="00DF2DD2"/>
    <w:rsid w:val="00DF6944"/>
    <w:rsid w:val="00E00783"/>
    <w:rsid w:val="00E40424"/>
    <w:rsid w:val="00E43D20"/>
    <w:rsid w:val="00E470ED"/>
    <w:rsid w:val="00E56C5F"/>
    <w:rsid w:val="00E57EB9"/>
    <w:rsid w:val="00E711B5"/>
    <w:rsid w:val="00E7768A"/>
    <w:rsid w:val="00E825B8"/>
    <w:rsid w:val="00E903DE"/>
    <w:rsid w:val="00E9543C"/>
    <w:rsid w:val="00EA2E90"/>
    <w:rsid w:val="00EA3116"/>
    <w:rsid w:val="00EA4342"/>
    <w:rsid w:val="00EA5031"/>
    <w:rsid w:val="00EA7879"/>
    <w:rsid w:val="00EB5318"/>
    <w:rsid w:val="00EB536B"/>
    <w:rsid w:val="00ED27D4"/>
    <w:rsid w:val="00ED3800"/>
    <w:rsid w:val="00EE2058"/>
    <w:rsid w:val="00EE693B"/>
    <w:rsid w:val="00EF0D3F"/>
    <w:rsid w:val="00EF10F1"/>
    <w:rsid w:val="00EF21FE"/>
    <w:rsid w:val="00EF6BA0"/>
    <w:rsid w:val="00EF7EFB"/>
    <w:rsid w:val="00F017A3"/>
    <w:rsid w:val="00F047CE"/>
    <w:rsid w:val="00F13E15"/>
    <w:rsid w:val="00F23C67"/>
    <w:rsid w:val="00F2576F"/>
    <w:rsid w:val="00F26B12"/>
    <w:rsid w:val="00F31FEA"/>
    <w:rsid w:val="00F476E8"/>
    <w:rsid w:val="00F5713C"/>
    <w:rsid w:val="00F60647"/>
    <w:rsid w:val="00F704BF"/>
    <w:rsid w:val="00F713B1"/>
    <w:rsid w:val="00F71CD6"/>
    <w:rsid w:val="00F750BE"/>
    <w:rsid w:val="00F75388"/>
    <w:rsid w:val="00F80521"/>
    <w:rsid w:val="00F84D35"/>
    <w:rsid w:val="00F8633B"/>
    <w:rsid w:val="00F9266B"/>
    <w:rsid w:val="00F94756"/>
    <w:rsid w:val="00FA0894"/>
    <w:rsid w:val="00FA090B"/>
    <w:rsid w:val="00FA152D"/>
    <w:rsid w:val="00FA600B"/>
    <w:rsid w:val="00FA6733"/>
    <w:rsid w:val="00FC4BE5"/>
    <w:rsid w:val="00FC7FF4"/>
    <w:rsid w:val="00FD746D"/>
    <w:rsid w:val="00FE37E0"/>
    <w:rsid w:val="00FE5EAF"/>
    <w:rsid w:val="00FE76C8"/>
    <w:rsid w:val="00FE7EEE"/>
    <w:rsid w:val="00FF651C"/>
    <w:rsid w:val="0BFBFAAA"/>
    <w:rsid w:val="0CC51EAD"/>
    <w:rsid w:val="117E41D3"/>
    <w:rsid w:val="14A14FAE"/>
    <w:rsid w:val="16D36F75"/>
    <w:rsid w:val="1BB9498B"/>
    <w:rsid w:val="1DFB12EB"/>
    <w:rsid w:val="1FA92F69"/>
    <w:rsid w:val="2ABC4498"/>
    <w:rsid w:val="2B9238D6"/>
    <w:rsid w:val="31D070A7"/>
    <w:rsid w:val="34867D43"/>
    <w:rsid w:val="3D017677"/>
    <w:rsid w:val="3D9B33F2"/>
    <w:rsid w:val="3EED0D19"/>
    <w:rsid w:val="42695622"/>
    <w:rsid w:val="42D73111"/>
    <w:rsid w:val="4ADD35DB"/>
    <w:rsid w:val="4BED4C7B"/>
    <w:rsid w:val="4D2A29AE"/>
    <w:rsid w:val="4FE6773D"/>
    <w:rsid w:val="50391857"/>
    <w:rsid w:val="56FF174F"/>
    <w:rsid w:val="57883DC5"/>
    <w:rsid w:val="5DBD47E8"/>
    <w:rsid w:val="5FB711F3"/>
    <w:rsid w:val="61696FB2"/>
    <w:rsid w:val="62F12D86"/>
    <w:rsid w:val="63DD3261"/>
    <w:rsid w:val="66F703CC"/>
    <w:rsid w:val="6CFEC4DC"/>
    <w:rsid w:val="6EE7ADAF"/>
    <w:rsid w:val="6F2F2072"/>
    <w:rsid w:val="70E77AE2"/>
    <w:rsid w:val="72BF6E30"/>
    <w:rsid w:val="73BFEAD0"/>
    <w:rsid w:val="74546174"/>
    <w:rsid w:val="7479E77C"/>
    <w:rsid w:val="757C7081"/>
    <w:rsid w:val="76420A34"/>
    <w:rsid w:val="77D238E5"/>
    <w:rsid w:val="77EE41A8"/>
    <w:rsid w:val="77FFA9B4"/>
    <w:rsid w:val="7A6390F1"/>
    <w:rsid w:val="7B8228A1"/>
    <w:rsid w:val="7C2A605D"/>
    <w:rsid w:val="7F7211B1"/>
    <w:rsid w:val="7FDFEE12"/>
    <w:rsid w:val="7FFB2D61"/>
    <w:rsid w:val="9E5D5468"/>
    <w:rsid w:val="AFDB387C"/>
    <w:rsid w:val="BFFB478C"/>
    <w:rsid w:val="CFFA544B"/>
    <w:rsid w:val="D5CF1924"/>
    <w:rsid w:val="DAB79E35"/>
    <w:rsid w:val="DFB7F630"/>
    <w:rsid w:val="F9FBA920"/>
    <w:rsid w:val="FBAB11D8"/>
    <w:rsid w:val="FBB79D8F"/>
    <w:rsid w:val="FEB20FE4"/>
    <w:rsid w:val="FFBD98DC"/>
    <w:rsid w:val="FFD719EE"/>
    <w:rsid w:val="FFF93317"/>
    <w:rsid w:val="FFFEA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emailstyle15"/>
    <w:basedOn w:val="6"/>
    <w:qFormat/>
    <w:uiPriority w:val="0"/>
    <w:rPr>
      <w:rFonts w:hint="eastAsia" w:ascii="等线" w:hAnsi="等线" w:eastAsia="等线" w:cs="Times New Roman"/>
      <w:color w:val="auto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2166</Words>
  <Characters>2218</Characters>
  <Lines>11</Lines>
  <Paragraphs>3</Paragraphs>
  <TotalTime>0</TotalTime>
  <ScaleCrop>false</ScaleCrop>
  <LinksUpToDate>false</LinksUpToDate>
  <CharactersWithSpaces>2274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2024-03-31T02:13:00Z</dcterms:created>
  <dc:creator>秦誉文</dc:creator>
  <cp:lastModifiedBy>Yu Fan</cp:lastModifiedBy>
  <dcterms:modified xsi:type="dcterms:W3CDTF">2025-04-29T20:30:16Z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eyJoZGlkIjoiOWNhZjVkOGM4MzRkZDQ2Y2IyZjIyODljYjcyOGJhYjciLCJ1c2VySWQiOiIyNTYzMDc2NDQifQ==</vt:lpwstr>
  </property>
  <property fmtid="{D5CDD505-2E9C-101B-9397-08002B2CF9AE}" pid="4" name="ICV">
    <vt:lpwstr>B52BA013761B46F4BB585B9FE29F8397_12</vt:lpwstr>
  </property>
</Properties>
</file>