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EC385">
      <w:pPr>
        <w:keepNext/>
        <w:keepLines/>
        <w:spacing w:before="260" w:after="260" w:line="360" w:lineRule="auto"/>
        <w:jc w:val="center"/>
        <w:outlineLvl w:val="1"/>
        <w:rPr>
          <w:rFonts w:ascii="宋体" w:hAnsi="宋体" w:eastAsia="宋体" w:cs="Times New Roman"/>
          <w:b/>
          <w:bCs/>
          <w:iCs/>
          <w:color w:val="000000" w:themeColor="text1"/>
          <w:sz w:val="24"/>
          <w:szCs w:val="24"/>
          <w14:textFill>
            <w14:solidFill>
              <w14:schemeClr w14:val="tx1"/>
            </w14:solidFill>
          </w14:textFill>
        </w:rPr>
      </w:pPr>
      <w:r>
        <w:rPr>
          <w:rFonts w:hint="eastAsia" w:ascii="宋体" w:hAnsi="宋体" w:eastAsia="宋体" w:cs="Times New Roman"/>
          <w:b/>
          <w:bCs/>
          <w:iCs/>
          <w:color w:val="000000" w:themeColor="text1"/>
          <w:sz w:val="24"/>
          <w:szCs w:val="24"/>
          <w14:textFill>
            <w14:solidFill>
              <w14:schemeClr w14:val="tx1"/>
            </w14:solidFill>
          </w14:textFill>
        </w:rPr>
        <w:t>证券代码：605318                           证券简称：法狮龙</w:t>
      </w:r>
    </w:p>
    <w:p w14:paraId="7F13FA21">
      <w:pPr>
        <w:keepNext/>
        <w:keepLines/>
        <w:spacing w:before="260" w:after="260" w:line="360" w:lineRule="auto"/>
        <w:jc w:val="center"/>
        <w:outlineLvl w:val="1"/>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法狮龙家居建材股份有限公司投资者关系活动记录表</w:t>
      </w:r>
    </w:p>
    <w:p w14:paraId="1CB3EFCD">
      <w:pPr>
        <w:keepNext/>
        <w:keepLines/>
        <w:spacing w:before="260" w:after="260" w:line="360" w:lineRule="auto"/>
        <w:jc w:val="right"/>
        <w:outlineLvl w:val="1"/>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编号：2025-001</w:t>
      </w:r>
    </w:p>
    <w:tbl>
      <w:tblPr>
        <w:tblStyle w:val="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5935"/>
      </w:tblGrid>
      <w:tr w14:paraId="4D97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shd w:val="clear" w:color="auto" w:fill="auto"/>
          </w:tcPr>
          <w:p w14:paraId="3B6868F8">
            <w:pPr>
              <w:spacing w:line="360" w:lineRule="auto"/>
              <w:rPr>
                <w:rFonts w:ascii="宋体" w:hAnsi="宋体" w:eastAsia="宋体" w:cs="Times New Roman"/>
                <w:b/>
                <w:bCs/>
                <w:iCs/>
                <w:color w:val="000000" w:themeColor="text1"/>
                <w:sz w:val="24"/>
                <w:szCs w:val="24"/>
                <w14:textFill>
                  <w14:solidFill>
                    <w14:schemeClr w14:val="tx1"/>
                  </w14:solidFill>
                </w14:textFill>
              </w:rPr>
            </w:pPr>
            <w:r>
              <w:rPr>
                <w:rFonts w:hint="eastAsia" w:ascii="宋体" w:hAnsi="宋体" w:eastAsia="宋体" w:cs="Times New Roman"/>
                <w:b/>
                <w:bCs/>
                <w:iCs/>
                <w:color w:val="000000" w:themeColor="text1"/>
                <w:sz w:val="24"/>
                <w:szCs w:val="24"/>
                <w14:textFill>
                  <w14:solidFill>
                    <w14:schemeClr w14:val="tx1"/>
                  </w14:solidFill>
                </w14:textFill>
              </w:rPr>
              <w:t>投资者关系活动类别</w:t>
            </w:r>
          </w:p>
          <w:p w14:paraId="167AD2FB">
            <w:pPr>
              <w:spacing w:line="360" w:lineRule="auto"/>
              <w:rPr>
                <w:rFonts w:ascii="宋体" w:hAnsi="宋体" w:eastAsia="宋体" w:cs="Times New Roman"/>
                <w:b/>
                <w:bCs/>
                <w:iCs/>
                <w:color w:val="000000" w:themeColor="text1"/>
                <w:sz w:val="24"/>
                <w:szCs w:val="24"/>
                <w14:textFill>
                  <w14:solidFill>
                    <w14:schemeClr w14:val="tx1"/>
                  </w14:solidFill>
                </w14:textFill>
              </w:rPr>
            </w:pPr>
          </w:p>
        </w:tc>
        <w:tc>
          <w:tcPr>
            <w:tcW w:w="5935" w:type="dxa"/>
            <w:shd w:val="clear" w:color="auto" w:fill="auto"/>
          </w:tcPr>
          <w:p w14:paraId="7BBAB4EC">
            <w:pPr>
              <w:spacing w:line="360" w:lineRule="auto"/>
              <w:rPr>
                <w:rFonts w:ascii="宋体" w:hAnsi="宋体" w:eastAsia="宋体" w:cs="Times New Roman"/>
                <w:bCs/>
                <w:iCs/>
                <w:color w:val="000000" w:themeColor="text1"/>
                <w:sz w:val="24"/>
                <w:szCs w:val="24"/>
                <w14:textFill>
                  <w14:solidFill>
                    <w14:schemeClr w14:val="tx1"/>
                  </w14:solidFill>
                </w14:textFill>
              </w:rPr>
            </w:pPr>
            <w:r>
              <w:rPr>
                <w:rFonts w:hint="eastAsia" w:ascii="宋体" w:hAnsi="宋体" w:eastAsia="宋体" w:cs="Times New Roman"/>
                <w:bCs/>
                <w:iCs/>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 xml:space="preserve">特定对象调研        </w:t>
            </w:r>
            <w:r>
              <w:rPr>
                <w:rFonts w:hint="eastAsia" w:ascii="宋体" w:hAnsi="宋体" w:eastAsia="宋体" w:cs="Times New Roman"/>
                <w:bCs/>
                <w:iCs/>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分析师会议</w:t>
            </w:r>
          </w:p>
          <w:p w14:paraId="4EF5AC39">
            <w:pPr>
              <w:spacing w:line="360" w:lineRule="auto"/>
              <w:rPr>
                <w:rFonts w:ascii="宋体" w:hAnsi="宋体" w:eastAsia="宋体" w:cs="Times New Roman"/>
                <w:bCs/>
                <w:iCs/>
                <w:color w:val="000000" w:themeColor="text1"/>
                <w:sz w:val="24"/>
                <w:szCs w:val="24"/>
                <w14:textFill>
                  <w14:solidFill>
                    <w14:schemeClr w14:val="tx1"/>
                  </w14:solidFill>
                </w14:textFill>
              </w:rPr>
            </w:pPr>
            <w:r>
              <w:rPr>
                <w:rFonts w:hint="eastAsia" w:ascii="宋体" w:hAnsi="宋体" w:eastAsia="宋体" w:cs="Times New Roman"/>
                <w:bCs/>
                <w:iCs/>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 xml:space="preserve">媒体采访            </w:t>
            </w:r>
            <w:r>
              <w:rPr>
                <w:rFonts w:hint="eastAsia" w:ascii="宋体" w:hAnsi="宋体" w:eastAsia="宋体" w:cs="Times New Roman"/>
                <w:bCs/>
                <w:iCs/>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业绩说明会</w:t>
            </w:r>
          </w:p>
          <w:p w14:paraId="1FA68BE2">
            <w:pPr>
              <w:spacing w:line="360" w:lineRule="auto"/>
              <w:rPr>
                <w:rFonts w:ascii="宋体" w:hAnsi="宋体" w:eastAsia="宋体" w:cs="Times New Roman"/>
                <w:bCs/>
                <w:iCs/>
                <w:color w:val="000000" w:themeColor="text1"/>
                <w:sz w:val="24"/>
                <w:szCs w:val="24"/>
                <w14:textFill>
                  <w14:solidFill>
                    <w14:schemeClr w14:val="tx1"/>
                  </w14:solidFill>
                </w14:textFill>
              </w:rPr>
            </w:pPr>
            <w:r>
              <w:rPr>
                <w:rFonts w:hint="eastAsia" w:ascii="宋体" w:hAnsi="宋体" w:eastAsia="宋体" w:cs="Times New Roman"/>
                <w:bCs/>
                <w:iCs/>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 xml:space="preserve">新闻发布会          </w:t>
            </w:r>
            <w:r>
              <w:rPr>
                <w:rFonts w:hint="eastAsia" w:ascii="宋体" w:hAnsi="宋体" w:eastAsia="宋体" w:cs="Times New Roman"/>
                <w:bCs/>
                <w:iCs/>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路演活动</w:t>
            </w:r>
          </w:p>
          <w:p w14:paraId="5ED9AA88">
            <w:pPr>
              <w:tabs>
                <w:tab w:val="left" w:pos="2690"/>
                <w:tab w:val="center" w:pos="3199"/>
              </w:tabs>
              <w:spacing w:line="360" w:lineRule="auto"/>
              <w:rPr>
                <w:rFonts w:ascii="宋体" w:hAnsi="宋体" w:eastAsia="宋体" w:cs="Times New Roman"/>
                <w:bCs/>
                <w:iCs/>
                <w:color w:val="000000" w:themeColor="text1"/>
                <w:sz w:val="24"/>
                <w:szCs w:val="24"/>
                <w14:textFill>
                  <w14:solidFill>
                    <w14:schemeClr w14:val="tx1"/>
                  </w14:solidFill>
                </w14:textFill>
              </w:rPr>
            </w:pPr>
            <w:r>
              <w:rPr>
                <w:rFonts w:hint="eastAsia" w:ascii="宋体" w:hAnsi="宋体" w:eastAsia="宋体" w:cs="Times New Roman"/>
                <w:bCs/>
                <w:iCs/>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现场参观            □电话会议</w:t>
            </w:r>
          </w:p>
          <w:p w14:paraId="3CE92F4D">
            <w:pPr>
              <w:tabs>
                <w:tab w:val="center" w:pos="3199"/>
              </w:tabs>
              <w:spacing w:line="360" w:lineRule="auto"/>
              <w:rPr>
                <w:rFonts w:ascii="宋体" w:hAnsi="宋体" w:eastAsia="宋体" w:cs="Times New Roman"/>
                <w:bCs/>
                <w:iCs/>
                <w:color w:val="000000" w:themeColor="text1"/>
                <w:sz w:val="24"/>
                <w:szCs w:val="24"/>
                <w14:textFill>
                  <w14:solidFill>
                    <w14:schemeClr w14:val="tx1"/>
                  </w14:solidFill>
                </w14:textFill>
              </w:rPr>
            </w:pPr>
            <w:r>
              <w:rPr>
                <w:rFonts w:hint="eastAsia" w:ascii="宋体" w:hAnsi="宋体" w:eastAsia="宋体" w:cs="Times New Roman"/>
                <w:bCs/>
                <w:iCs/>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其他 （</w:t>
            </w:r>
            <w:r>
              <w:rPr>
                <w:rFonts w:hint="eastAsia" w:ascii="宋体" w:hAnsi="宋体" w:eastAsia="宋体" w:cs="Times New Roman"/>
                <w:color w:val="000000" w:themeColor="text1"/>
                <w:sz w:val="24"/>
                <w:szCs w:val="24"/>
                <w:u w:val="single"/>
                <w14:textFill>
                  <w14:solidFill>
                    <w14:schemeClr w14:val="tx1"/>
                  </w14:solidFill>
                </w14:textFill>
              </w:rPr>
              <w:t>请文字说明其他活动内容）</w:t>
            </w:r>
          </w:p>
        </w:tc>
      </w:tr>
      <w:tr w14:paraId="2E54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shd w:val="clear" w:color="auto" w:fill="auto"/>
          </w:tcPr>
          <w:p w14:paraId="17C2AB9D">
            <w:pPr>
              <w:spacing w:line="360" w:lineRule="auto"/>
              <w:rPr>
                <w:rFonts w:ascii="宋体" w:hAnsi="宋体" w:eastAsia="宋体" w:cs="Times New Roman"/>
                <w:b/>
                <w:bCs/>
                <w:iCs/>
                <w:color w:val="000000" w:themeColor="text1"/>
                <w:sz w:val="24"/>
                <w:szCs w:val="24"/>
                <w14:textFill>
                  <w14:solidFill>
                    <w14:schemeClr w14:val="tx1"/>
                  </w14:solidFill>
                </w14:textFill>
              </w:rPr>
            </w:pPr>
            <w:r>
              <w:rPr>
                <w:rFonts w:hint="eastAsia" w:ascii="宋体" w:hAnsi="宋体" w:eastAsia="宋体" w:cs="Times New Roman"/>
                <w:b/>
                <w:bCs/>
                <w:iCs/>
                <w:color w:val="000000" w:themeColor="text1"/>
                <w:sz w:val="24"/>
                <w:szCs w:val="24"/>
                <w14:textFill>
                  <w14:solidFill>
                    <w14:schemeClr w14:val="tx1"/>
                  </w14:solidFill>
                </w14:textFill>
              </w:rPr>
              <w:t>参与单位名称及人员姓名</w:t>
            </w:r>
          </w:p>
        </w:tc>
        <w:tc>
          <w:tcPr>
            <w:tcW w:w="5935" w:type="dxa"/>
            <w:shd w:val="clear" w:color="auto" w:fill="auto"/>
          </w:tcPr>
          <w:p w14:paraId="4BBDCBEF">
            <w:pPr>
              <w:pStyle w:val="6"/>
              <w:widowControl/>
              <w:spacing w:beforeAutospacing="0" w:afterAutospacing="0"/>
            </w:pPr>
            <w:r>
              <w:rPr>
                <w:rFonts w:ascii="宋体" w:hAnsi="宋体" w:eastAsia="宋体"/>
                <w:bCs/>
                <w:iCs/>
                <w:color w:val="000000" w:themeColor="text1"/>
                <w:szCs w:val="24"/>
                <w14:textFill>
                  <w14:solidFill>
                    <w14:schemeClr w14:val="tx1"/>
                  </w14:solidFill>
                </w14:textFill>
              </w:rPr>
              <w:t>通过网络互动参与公司</w:t>
            </w:r>
            <w:r>
              <w:t>2024年度暨2025年第一季度</w:t>
            </w:r>
          </w:p>
          <w:p w14:paraId="420E6F41">
            <w:pPr>
              <w:tabs>
                <w:tab w:val="center" w:pos="2798"/>
              </w:tabs>
              <w:spacing w:line="360" w:lineRule="auto"/>
              <w:rPr>
                <w:rFonts w:ascii="宋体" w:hAnsi="宋体" w:eastAsia="宋体" w:cs="Times New Roman"/>
                <w:bCs/>
                <w:iCs/>
                <w:color w:val="000000" w:themeColor="text1"/>
                <w:sz w:val="24"/>
                <w:szCs w:val="24"/>
                <w14:textFill>
                  <w14:solidFill>
                    <w14:schemeClr w14:val="tx1"/>
                  </w14:solidFill>
                </w14:textFill>
              </w:rPr>
            </w:pPr>
            <w:r>
              <w:rPr>
                <w:rFonts w:hint="eastAsia" w:ascii="宋体" w:hAnsi="宋体" w:eastAsia="宋体" w:cs="Times New Roman"/>
                <w:bCs/>
                <w:iCs/>
                <w:color w:val="000000" w:themeColor="text1"/>
                <w:sz w:val="24"/>
                <w:szCs w:val="24"/>
                <w14:textFill>
                  <w14:solidFill>
                    <w14:schemeClr w14:val="tx1"/>
                  </w14:solidFill>
                </w14:textFill>
              </w:rPr>
              <w:t>业绩说明会的投资者</w:t>
            </w:r>
          </w:p>
        </w:tc>
      </w:tr>
      <w:tr w14:paraId="1CE7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shd w:val="clear" w:color="auto" w:fill="auto"/>
          </w:tcPr>
          <w:p w14:paraId="1E7D51EA">
            <w:pPr>
              <w:spacing w:line="360" w:lineRule="auto"/>
              <w:rPr>
                <w:rFonts w:ascii="宋体" w:hAnsi="宋体" w:eastAsia="宋体" w:cs="Times New Roman"/>
                <w:b/>
                <w:bCs/>
                <w:iCs/>
                <w:color w:val="000000" w:themeColor="text1"/>
                <w:sz w:val="24"/>
                <w:szCs w:val="24"/>
                <w14:textFill>
                  <w14:solidFill>
                    <w14:schemeClr w14:val="tx1"/>
                  </w14:solidFill>
                </w14:textFill>
              </w:rPr>
            </w:pPr>
            <w:r>
              <w:rPr>
                <w:rFonts w:hint="eastAsia" w:ascii="宋体" w:hAnsi="宋体" w:eastAsia="宋体" w:cs="Times New Roman"/>
                <w:b/>
                <w:bCs/>
                <w:iCs/>
                <w:color w:val="000000" w:themeColor="text1"/>
                <w:sz w:val="24"/>
                <w:szCs w:val="24"/>
                <w14:textFill>
                  <w14:solidFill>
                    <w14:schemeClr w14:val="tx1"/>
                  </w14:solidFill>
                </w14:textFill>
              </w:rPr>
              <w:t>会议时间</w:t>
            </w:r>
          </w:p>
        </w:tc>
        <w:tc>
          <w:tcPr>
            <w:tcW w:w="5935" w:type="dxa"/>
            <w:shd w:val="clear" w:color="auto" w:fill="auto"/>
          </w:tcPr>
          <w:p w14:paraId="4CC27C1F">
            <w:pPr>
              <w:spacing w:line="360" w:lineRule="auto"/>
              <w:jc w:val="center"/>
              <w:rPr>
                <w:rFonts w:ascii="宋体" w:hAnsi="宋体" w:eastAsia="宋体" w:cs="Times New Roman"/>
                <w:bCs/>
                <w:iCs/>
                <w:color w:val="000000" w:themeColor="text1"/>
                <w:sz w:val="24"/>
                <w:szCs w:val="24"/>
                <w14:textFill>
                  <w14:solidFill>
                    <w14:schemeClr w14:val="tx1"/>
                  </w14:solidFill>
                </w14:textFill>
              </w:rPr>
            </w:pPr>
            <w:r>
              <w:rPr>
                <w:rFonts w:hint="eastAsia" w:ascii="宋体" w:hAnsi="宋体" w:eastAsia="宋体" w:cs="Times New Roman"/>
                <w:bCs/>
                <w:iCs/>
                <w:color w:val="000000" w:themeColor="text1"/>
                <w:sz w:val="24"/>
                <w:szCs w:val="24"/>
                <w14:textFill>
                  <w14:solidFill>
                    <w14:schemeClr w14:val="tx1"/>
                  </w14:solidFill>
                </w14:textFill>
              </w:rPr>
              <w:t>2025年5月6日13:00-14:00</w:t>
            </w:r>
          </w:p>
        </w:tc>
      </w:tr>
      <w:tr w14:paraId="1D12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shd w:val="clear" w:color="auto" w:fill="auto"/>
          </w:tcPr>
          <w:p w14:paraId="3F0A9B9E">
            <w:pPr>
              <w:spacing w:line="360" w:lineRule="auto"/>
              <w:rPr>
                <w:rFonts w:ascii="宋体" w:hAnsi="宋体" w:eastAsia="宋体" w:cs="Times New Roman"/>
                <w:b/>
                <w:bCs/>
                <w:iCs/>
                <w:color w:val="000000" w:themeColor="text1"/>
                <w:sz w:val="24"/>
                <w:szCs w:val="24"/>
                <w14:textFill>
                  <w14:solidFill>
                    <w14:schemeClr w14:val="tx1"/>
                  </w14:solidFill>
                </w14:textFill>
              </w:rPr>
            </w:pPr>
            <w:r>
              <w:rPr>
                <w:rFonts w:hint="eastAsia" w:ascii="宋体" w:hAnsi="宋体" w:eastAsia="宋体" w:cs="Times New Roman"/>
                <w:b/>
                <w:bCs/>
                <w:iCs/>
                <w:color w:val="000000" w:themeColor="text1"/>
                <w:sz w:val="24"/>
                <w:szCs w:val="24"/>
                <w14:textFill>
                  <w14:solidFill>
                    <w14:schemeClr w14:val="tx1"/>
                  </w14:solidFill>
                </w14:textFill>
              </w:rPr>
              <w:t>会议形式：</w:t>
            </w:r>
          </w:p>
        </w:tc>
        <w:tc>
          <w:tcPr>
            <w:tcW w:w="5935" w:type="dxa"/>
            <w:shd w:val="clear" w:color="auto" w:fill="auto"/>
          </w:tcPr>
          <w:p w14:paraId="244F072C">
            <w:pPr>
              <w:spacing w:line="360" w:lineRule="auto"/>
              <w:ind w:firstLine="1680" w:firstLineChars="700"/>
              <w:rPr>
                <w:rFonts w:ascii="宋体" w:hAnsi="宋体" w:eastAsia="宋体" w:cs="Times New Roman"/>
                <w:bCs/>
                <w:iCs/>
                <w:color w:val="000000" w:themeColor="text1"/>
                <w:sz w:val="24"/>
                <w:szCs w:val="24"/>
                <w14:textFill>
                  <w14:solidFill>
                    <w14:schemeClr w14:val="tx1"/>
                  </w14:solidFill>
                </w14:textFill>
              </w:rPr>
            </w:pPr>
            <w:r>
              <w:rPr>
                <w:rFonts w:hint="eastAsia" w:ascii="宋体" w:hAnsi="宋体" w:eastAsia="宋体" w:cs="Times New Roman"/>
                <w:bCs/>
                <w:iCs/>
                <w:color w:val="000000" w:themeColor="text1"/>
                <w:sz w:val="24"/>
                <w:szCs w:val="24"/>
                <w14:textFill>
                  <w14:solidFill>
                    <w14:schemeClr w14:val="tx1"/>
                  </w14:solidFill>
                </w14:textFill>
              </w:rPr>
              <w:t>网络文字互动</w:t>
            </w:r>
          </w:p>
        </w:tc>
      </w:tr>
      <w:tr w14:paraId="49D6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shd w:val="clear" w:color="auto" w:fill="auto"/>
          </w:tcPr>
          <w:p w14:paraId="6A63A551">
            <w:pPr>
              <w:spacing w:line="360" w:lineRule="auto"/>
              <w:rPr>
                <w:rFonts w:ascii="宋体" w:hAnsi="宋体" w:eastAsia="宋体" w:cs="Times New Roman"/>
                <w:b/>
                <w:bCs/>
                <w:iCs/>
                <w:color w:val="000000" w:themeColor="text1"/>
                <w:sz w:val="24"/>
                <w:szCs w:val="24"/>
                <w14:textFill>
                  <w14:solidFill>
                    <w14:schemeClr w14:val="tx1"/>
                  </w14:solidFill>
                </w14:textFill>
              </w:rPr>
            </w:pPr>
            <w:r>
              <w:rPr>
                <w:rFonts w:hint="eastAsia" w:ascii="宋体" w:hAnsi="宋体" w:eastAsia="宋体" w:cs="Times New Roman"/>
                <w:b/>
                <w:bCs/>
                <w:iCs/>
                <w:color w:val="000000" w:themeColor="text1"/>
                <w:sz w:val="24"/>
                <w:szCs w:val="24"/>
                <w14:textFill>
                  <w14:solidFill>
                    <w14:schemeClr w14:val="tx1"/>
                  </w14:solidFill>
                </w14:textFill>
              </w:rPr>
              <w:t>上市公司接待人员姓名</w:t>
            </w:r>
          </w:p>
        </w:tc>
        <w:tc>
          <w:tcPr>
            <w:tcW w:w="5935" w:type="dxa"/>
            <w:shd w:val="clear" w:color="auto" w:fill="auto"/>
          </w:tcPr>
          <w:p w14:paraId="5224E7D3">
            <w:pPr>
              <w:spacing w:line="360" w:lineRule="auto"/>
              <w:rPr>
                <w:rFonts w:ascii="宋体" w:hAnsi="宋体" w:eastAsia="宋体" w:cs="Times New Roman"/>
                <w:bCs/>
                <w:iCs/>
                <w:color w:val="000000" w:themeColor="text1"/>
                <w:sz w:val="24"/>
                <w:szCs w:val="24"/>
                <w14:textFill>
                  <w14:solidFill>
                    <w14:schemeClr w14:val="tx1"/>
                  </w14:solidFill>
                </w14:textFill>
              </w:rPr>
            </w:pPr>
            <w:r>
              <w:rPr>
                <w:rFonts w:hint="eastAsia" w:ascii="宋体" w:hAnsi="宋体" w:eastAsia="宋体" w:cs="Times New Roman"/>
                <w:bCs/>
                <w:iCs/>
                <w:color w:val="000000" w:themeColor="text1"/>
                <w:sz w:val="24"/>
                <w:szCs w:val="24"/>
                <w14:textFill>
                  <w14:solidFill>
                    <w14:schemeClr w14:val="tx1"/>
                  </w14:solidFill>
                </w14:textFill>
              </w:rPr>
              <w:t xml:space="preserve">董事长\总经理：沈正华       独立董事：朱利祥    </w:t>
            </w:r>
          </w:p>
          <w:p w14:paraId="67A1B5B8">
            <w:pPr>
              <w:spacing w:line="360" w:lineRule="auto"/>
              <w:rPr>
                <w:rFonts w:ascii="宋体" w:hAnsi="宋体" w:eastAsia="宋体" w:cs="Times New Roman"/>
                <w:bCs/>
                <w:iCs/>
                <w:color w:val="000000" w:themeColor="text1"/>
                <w:sz w:val="24"/>
                <w:szCs w:val="24"/>
                <w14:textFill>
                  <w14:solidFill>
                    <w14:schemeClr w14:val="tx1"/>
                  </w14:solidFill>
                </w14:textFill>
              </w:rPr>
            </w:pPr>
            <w:r>
              <w:rPr>
                <w:rFonts w:hint="eastAsia" w:ascii="宋体" w:hAnsi="宋体" w:eastAsia="宋体" w:cs="Times New Roman"/>
                <w:bCs/>
                <w:iCs/>
                <w:color w:val="000000" w:themeColor="text1"/>
                <w:sz w:val="24"/>
                <w:szCs w:val="24"/>
                <w14:textFill>
                  <w14:solidFill>
                    <w14:schemeClr w14:val="tx1"/>
                  </w14:solidFill>
                </w14:textFill>
              </w:rPr>
              <w:t>董事会秘书：蔡凌雲        财务负责人：徐沈丽</w:t>
            </w:r>
          </w:p>
        </w:tc>
      </w:tr>
      <w:tr w14:paraId="211C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905" w:type="dxa"/>
            <w:shd w:val="clear" w:color="auto" w:fill="auto"/>
            <w:vAlign w:val="center"/>
          </w:tcPr>
          <w:p w14:paraId="11B80135">
            <w:pPr>
              <w:spacing w:line="360" w:lineRule="auto"/>
              <w:rPr>
                <w:rFonts w:ascii="宋体" w:hAnsi="宋体" w:eastAsia="宋体" w:cs="Times New Roman"/>
                <w:b/>
                <w:bCs/>
                <w:iCs/>
                <w:color w:val="000000" w:themeColor="text1"/>
                <w:sz w:val="24"/>
                <w:szCs w:val="24"/>
                <w14:textFill>
                  <w14:solidFill>
                    <w14:schemeClr w14:val="tx1"/>
                  </w14:solidFill>
                </w14:textFill>
              </w:rPr>
            </w:pPr>
            <w:r>
              <w:rPr>
                <w:rFonts w:hint="eastAsia" w:ascii="宋体" w:hAnsi="宋体" w:eastAsia="宋体" w:cs="Times New Roman"/>
                <w:b/>
                <w:bCs/>
                <w:iCs/>
                <w:color w:val="000000" w:themeColor="text1"/>
                <w:sz w:val="24"/>
                <w:szCs w:val="24"/>
                <w14:textFill>
                  <w14:solidFill>
                    <w14:schemeClr w14:val="tx1"/>
                  </w14:solidFill>
                </w14:textFill>
              </w:rPr>
              <w:t>投资者关系活动主要内容介绍</w:t>
            </w:r>
          </w:p>
        </w:tc>
        <w:tc>
          <w:tcPr>
            <w:tcW w:w="5935" w:type="dxa"/>
            <w:shd w:val="clear" w:color="auto" w:fill="auto"/>
          </w:tcPr>
          <w:p w14:paraId="6840713E">
            <w:pPr>
              <w:pStyle w:val="6"/>
              <w:widowControl/>
              <w:spacing w:beforeAutospacing="0" w:afterAutospacing="0" w:line="360" w:lineRule="auto"/>
              <w:jc w:val="both"/>
              <w:rPr>
                <w:rFonts w:ascii="宋体" w:hAnsi="宋体" w:eastAsia="宋体" w:cs="宋体"/>
                <w:sz w:val="21"/>
                <w:szCs w:val="21"/>
              </w:rPr>
            </w:pPr>
            <w:r>
              <w:rPr>
                <w:rFonts w:hint="eastAsia" w:ascii="宋体" w:hAnsi="宋体" w:eastAsia="宋体" w:cs="宋体"/>
                <w:sz w:val="21"/>
                <w:szCs w:val="21"/>
              </w:rPr>
              <w:t>公司已于2025年4月28日发布公司</w:t>
            </w:r>
            <w:r>
              <w:rPr>
                <w:rFonts w:ascii="宋体" w:hAnsi="宋体" w:eastAsia="宋体" w:cs="宋体"/>
                <w:sz w:val="21"/>
                <w:szCs w:val="21"/>
              </w:rPr>
              <w:t>2024</w:t>
            </w:r>
            <w:r>
              <w:rPr>
                <w:rFonts w:hint="eastAsia" w:ascii="宋体" w:hAnsi="宋体" w:eastAsia="宋体" w:cs="宋体"/>
                <w:sz w:val="21"/>
                <w:szCs w:val="21"/>
              </w:rPr>
              <w:t>年</w:t>
            </w:r>
            <w:r>
              <w:rPr>
                <w:rFonts w:ascii="宋体" w:hAnsi="宋体" w:eastAsia="宋体" w:cs="宋体"/>
                <w:sz w:val="21"/>
                <w:szCs w:val="21"/>
              </w:rPr>
              <w:t>年度</w:t>
            </w:r>
            <w:r>
              <w:rPr>
                <w:rFonts w:hint="eastAsia" w:ascii="宋体" w:hAnsi="宋体" w:eastAsia="宋体" w:cs="宋体"/>
                <w:sz w:val="21"/>
                <w:szCs w:val="21"/>
              </w:rPr>
              <w:t>报告及</w:t>
            </w:r>
            <w:r>
              <w:rPr>
                <w:rFonts w:ascii="宋体" w:hAnsi="宋体" w:eastAsia="宋体" w:cs="宋体"/>
                <w:sz w:val="21"/>
                <w:szCs w:val="21"/>
              </w:rPr>
              <w:t>2025年第一季度</w:t>
            </w:r>
            <w:r>
              <w:rPr>
                <w:rFonts w:hint="eastAsia" w:ascii="宋体" w:hAnsi="宋体" w:eastAsia="宋体" w:cs="宋体"/>
                <w:sz w:val="21"/>
                <w:szCs w:val="21"/>
              </w:rPr>
              <w:t>报告，为便于广大投资者更全面深入地了解公司</w:t>
            </w:r>
            <w:r>
              <w:rPr>
                <w:rFonts w:ascii="宋体" w:hAnsi="宋体" w:eastAsia="宋体" w:cs="宋体"/>
                <w:sz w:val="21"/>
                <w:szCs w:val="21"/>
              </w:rPr>
              <w:t>2024年度</w:t>
            </w:r>
            <w:r>
              <w:rPr>
                <w:rFonts w:hint="eastAsia" w:ascii="宋体" w:hAnsi="宋体" w:eastAsia="宋体" w:cs="宋体"/>
                <w:sz w:val="21"/>
                <w:szCs w:val="21"/>
              </w:rPr>
              <w:t>及</w:t>
            </w:r>
            <w:r>
              <w:rPr>
                <w:rFonts w:ascii="宋体" w:hAnsi="宋体" w:eastAsia="宋体" w:cs="宋体"/>
                <w:sz w:val="21"/>
                <w:szCs w:val="21"/>
              </w:rPr>
              <w:t>2025年第一季度</w:t>
            </w:r>
            <w:r>
              <w:rPr>
                <w:rFonts w:hint="eastAsia" w:ascii="宋体" w:hAnsi="宋体" w:eastAsia="宋体" w:cs="宋体"/>
                <w:sz w:val="21"/>
                <w:szCs w:val="21"/>
              </w:rPr>
              <w:t>经营成果、财务状况，公司于2025年5月6日下午13:00-14:00举行业绩说明会，就投资者关心的问题进行交流。相关记录如下：</w:t>
            </w:r>
          </w:p>
          <w:p w14:paraId="33EF6A93">
            <w:pPr>
              <w:spacing w:line="360" w:lineRule="auto"/>
              <w:rPr>
                <w:rFonts w:ascii="宋体" w:hAnsi="宋体" w:eastAsia="宋体" w:cs="Helvetica"/>
                <w:b/>
                <w:kern w:val="0"/>
                <w:szCs w:val="21"/>
              </w:rPr>
            </w:pPr>
            <w:r>
              <w:rPr>
                <w:rFonts w:hint="eastAsia" w:ascii="宋体" w:hAnsi="宋体" w:eastAsia="宋体" w:cs="Times New Roman"/>
                <w:b/>
                <w:iCs/>
                <w:szCs w:val="21"/>
              </w:rPr>
              <w:t>Q:</w:t>
            </w:r>
            <w:r>
              <w:rPr>
                <w:rFonts w:hint="eastAsia" w:ascii="宋体" w:hAnsi="宋体" w:eastAsia="宋体" w:cs="Helvetica"/>
                <w:kern w:val="0"/>
                <w:szCs w:val="21"/>
              </w:rPr>
              <w:t xml:space="preserve"> 公司核心竞争力有哪些？ </w:t>
            </w:r>
          </w:p>
          <w:p w14:paraId="40CF2661">
            <w:pPr>
              <w:spacing w:line="360" w:lineRule="auto"/>
              <w:rPr>
                <w:rFonts w:ascii="宋体" w:hAnsi="宋体" w:eastAsia="宋体" w:cs="宋体"/>
                <w:b/>
                <w:kern w:val="0"/>
                <w:szCs w:val="21"/>
              </w:rPr>
            </w:pPr>
            <w:r>
              <w:rPr>
                <w:rFonts w:hint="eastAsia" w:ascii="宋体" w:hAnsi="宋体" w:eastAsia="宋体" w:cs="Helvetica"/>
                <w:b/>
                <w:kern w:val="0"/>
                <w:szCs w:val="21"/>
              </w:rPr>
              <w:t>A:</w:t>
            </w:r>
            <w:r>
              <w:rPr>
                <w:rFonts w:hint="eastAsia" w:ascii="宋体" w:hAnsi="宋体" w:eastAsia="宋体" w:cs="宋体"/>
                <w:kern w:val="0"/>
                <w:szCs w:val="21"/>
              </w:rPr>
              <w:t xml:space="preserve"> 尊敬的投资者您好，公司经过长期经营，业务模式和产品创新的不断升级，“FSILON 法狮龙”品牌已打造成为以零售业务基石，不断开拓商业公建业务及整装业务，突破出海业务的综合家居建材品牌。2024年以来品牌产品体系研发朝着装配式整体解决方案上升级迭代。品牌认知从传统建材企业，往装配式创新企业上的影响力不断提升。公司持续做好经销商网络深度建设与横向扩展，布局零售、工程等多渠道，继续通过产品细分、渠道细分、管理细分的方法，为客户提供全方位的服务做好布局。</w:t>
            </w:r>
          </w:p>
          <w:p w14:paraId="3A4C57E9">
            <w:pPr>
              <w:spacing w:line="360" w:lineRule="auto"/>
              <w:rPr>
                <w:rFonts w:ascii="宋体" w:hAnsi="宋体" w:eastAsia="宋体" w:cs="Helvetica"/>
                <w:b/>
                <w:kern w:val="0"/>
                <w:szCs w:val="21"/>
              </w:rPr>
            </w:pPr>
            <w:r>
              <w:rPr>
                <w:rFonts w:hint="eastAsia" w:ascii="宋体" w:hAnsi="宋体" w:eastAsia="宋体" w:cs="宋体"/>
                <w:b/>
                <w:kern w:val="0"/>
                <w:szCs w:val="21"/>
              </w:rPr>
              <w:t>Q:</w:t>
            </w:r>
            <w:r>
              <w:rPr>
                <w:rFonts w:hint="eastAsia" w:ascii="宋体" w:hAnsi="宋体" w:eastAsia="宋体" w:cs="Helvetica"/>
                <w:kern w:val="0"/>
                <w:szCs w:val="21"/>
              </w:rPr>
              <w:t xml:space="preserve"> 公司今年的增长点主要是哪些？ </w:t>
            </w:r>
          </w:p>
          <w:p w14:paraId="3DBC1E0D">
            <w:pPr>
              <w:spacing w:line="360" w:lineRule="auto"/>
              <w:rPr>
                <w:rFonts w:ascii="宋体" w:hAnsi="宋体" w:eastAsia="宋体" w:cs="宋体"/>
                <w:kern w:val="0"/>
                <w:szCs w:val="21"/>
              </w:rPr>
            </w:pPr>
            <w:r>
              <w:rPr>
                <w:rFonts w:hint="eastAsia" w:ascii="宋体" w:hAnsi="宋体" w:eastAsia="宋体" w:cs="Helvetica"/>
                <w:b/>
                <w:kern w:val="0"/>
                <w:szCs w:val="21"/>
              </w:rPr>
              <w:t>A:</w:t>
            </w:r>
            <w:r>
              <w:rPr>
                <w:rFonts w:hint="eastAsia" w:ascii="宋体" w:hAnsi="宋体" w:eastAsia="宋体" w:cs="宋体"/>
                <w:kern w:val="0"/>
                <w:szCs w:val="21"/>
              </w:rPr>
              <w:t xml:space="preserve"> 尊敬的投资者您好，2025年公司将会按照既定的战略发展目标，不断寻求产品创新与业务转型突破。对外在夯实原有业务体系的同时，积极布局、创新突破，推动公司向综合空间解决方案提供者的方向上不断寻求转型：TOC端以厨房空间、卫浴空间、阳台空间的整体换新方案为突破口，进行产品及模式创新；TOB端商业空间领域往一站式店装解决方案的方向上进行研究，在装配式产品及服务上不断探索；TOB端公建项目上，大力推进重点项目任务落实，做好央国企及头部企业的入围入库及项目储备；在出海业务上公司积极布局，做好产品、服务体系的搭建、人才引进，成为公司创新业务的重点培育渠道。</w:t>
            </w:r>
          </w:p>
          <w:p w14:paraId="779791BD">
            <w:pPr>
              <w:spacing w:line="360" w:lineRule="auto"/>
              <w:rPr>
                <w:rFonts w:ascii="宋体" w:hAnsi="宋体" w:eastAsia="宋体" w:cs="宋体"/>
                <w:b/>
                <w:kern w:val="0"/>
                <w:szCs w:val="21"/>
              </w:rPr>
            </w:pPr>
            <w:r>
              <w:rPr>
                <w:rFonts w:hint="eastAsia" w:ascii="宋体" w:hAnsi="宋体" w:eastAsia="宋体" w:cs="宋体"/>
                <w:kern w:val="0"/>
                <w:szCs w:val="21"/>
              </w:rPr>
              <w:t>对内持续夯实经营管理基础，进行组织活力创新，通过独立核算单元等模式进行降本增效，提升人效，全力以赴将宏观因素不利影响降到最低。同时公司通过内部培训、文化增加等方式，增强团队凝聚力，提升综合服务能力；保持公司内部各职能部门处于稳定、有序、高效的运转。</w:t>
            </w:r>
          </w:p>
          <w:p w14:paraId="3F61CE5F">
            <w:pPr>
              <w:spacing w:line="360" w:lineRule="auto"/>
              <w:rPr>
                <w:rFonts w:ascii="宋体" w:hAnsi="宋体" w:eastAsia="宋体" w:cs="Helvetica"/>
                <w:b/>
                <w:kern w:val="0"/>
                <w:szCs w:val="21"/>
              </w:rPr>
            </w:pPr>
            <w:r>
              <w:rPr>
                <w:rFonts w:hint="eastAsia" w:ascii="宋体" w:hAnsi="宋体" w:eastAsia="宋体" w:cs="宋体"/>
                <w:b/>
                <w:kern w:val="0"/>
                <w:szCs w:val="21"/>
              </w:rPr>
              <w:t>Q:</w:t>
            </w:r>
            <w:r>
              <w:rPr>
                <w:rFonts w:hint="eastAsia" w:ascii="宋体" w:hAnsi="宋体" w:eastAsia="宋体" w:cs="Helvetica"/>
                <w:kern w:val="0"/>
                <w:szCs w:val="21"/>
              </w:rPr>
              <w:t xml:space="preserve"> 公司未来发展趋势如何？ </w:t>
            </w:r>
          </w:p>
          <w:p w14:paraId="4577324D">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Helvetica"/>
                <w:b/>
                <w:kern w:val="0"/>
                <w:szCs w:val="21"/>
              </w:rPr>
              <w:t>A:</w:t>
            </w:r>
            <w:r>
              <w:rPr>
                <w:rFonts w:hint="eastAsia" w:ascii="宋体" w:hAnsi="宋体" w:eastAsia="宋体"/>
                <w:szCs w:val="21"/>
              </w:rPr>
              <w:t>尊敬的投资者您好,公司未来的发展将会围绕着产品从整装化朝着装配式整体解决方案上布局：以传统装配式顶墙优势，通过自身研发和供应链合作，继续夯实家装、商业工装、海外的装配式整装顶、墙、柜、门、地、标识广告产品的基础上，朝着装配式结构体系、隔墙体系、管线体系、产品功能体系等方面延伸。分别为家装、商业工装、海外等业务上除提供整装方案外，能够升级为提供空间场景化方案，更贴近客户对工期、性价比、效果等综合需求满足，以及积极向绿色、低碳、健康等社会需求上的满足。使公司在面对市场变化中有更好的抗周期和抗风险能力。</w:t>
            </w:r>
          </w:p>
        </w:tc>
      </w:tr>
      <w:tr w14:paraId="1BBD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shd w:val="clear" w:color="auto" w:fill="auto"/>
            <w:vAlign w:val="center"/>
          </w:tcPr>
          <w:p w14:paraId="18685508">
            <w:pPr>
              <w:spacing w:line="360" w:lineRule="auto"/>
              <w:rPr>
                <w:rFonts w:ascii="宋体" w:hAnsi="宋体" w:eastAsia="宋体" w:cs="Times New Roman"/>
                <w:b/>
                <w:bCs/>
                <w:iCs/>
                <w:color w:val="000000" w:themeColor="text1"/>
                <w:sz w:val="24"/>
                <w:szCs w:val="24"/>
                <w14:textFill>
                  <w14:solidFill>
                    <w14:schemeClr w14:val="tx1"/>
                  </w14:solidFill>
                </w14:textFill>
              </w:rPr>
            </w:pPr>
            <w:r>
              <w:rPr>
                <w:rFonts w:hint="eastAsia" w:ascii="宋体" w:hAnsi="宋体" w:eastAsia="宋体" w:cs="Times New Roman"/>
                <w:b/>
                <w:bCs/>
                <w:iCs/>
                <w:color w:val="000000" w:themeColor="text1"/>
                <w:sz w:val="24"/>
                <w:szCs w:val="24"/>
                <w14:textFill>
                  <w14:solidFill>
                    <w14:schemeClr w14:val="tx1"/>
                  </w14:solidFill>
                </w14:textFill>
              </w:rPr>
              <w:t>附件清单（如有）</w:t>
            </w:r>
          </w:p>
        </w:tc>
        <w:tc>
          <w:tcPr>
            <w:tcW w:w="5935" w:type="dxa"/>
            <w:shd w:val="clear" w:color="auto" w:fill="auto"/>
          </w:tcPr>
          <w:p w14:paraId="12C1BAA7">
            <w:pPr>
              <w:tabs>
                <w:tab w:val="left" w:pos="656"/>
              </w:tabs>
              <w:spacing w:line="360" w:lineRule="auto"/>
              <w:jc w:val="center"/>
              <w:rPr>
                <w:rFonts w:ascii="宋体" w:hAnsi="宋体" w:eastAsia="宋体" w:cs="Times New Roman"/>
                <w:bCs/>
                <w:iCs/>
                <w:color w:val="000000" w:themeColor="text1"/>
                <w:sz w:val="24"/>
                <w:szCs w:val="24"/>
                <w14:textFill>
                  <w14:solidFill>
                    <w14:schemeClr w14:val="tx1"/>
                  </w14:solidFill>
                </w14:textFill>
              </w:rPr>
            </w:pPr>
            <w:r>
              <w:rPr>
                <w:rFonts w:hint="eastAsia" w:ascii="宋体" w:hAnsi="宋体" w:eastAsia="宋体" w:cs="Times New Roman"/>
                <w:bCs/>
                <w:iCs/>
                <w:color w:val="000000" w:themeColor="text1"/>
                <w:sz w:val="24"/>
                <w:szCs w:val="24"/>
                <w14:textFill>
                  <w14:solidFill>
                    <w14:schemeClr w14:val="tx1"/>
                  </w14:solidFill>
                </w14:textFill>
              </w:rPr>
              <w:t>无</w:t>
            </w:r>
          </w:p>
        </w:tc>
      </w:tr>
      <w:tr w14:paraId="366A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shd w:val="clear" w:color="auto" w:fill="auto"/>
            <w:vAlign w:val="center"/>
          </w:tcPr>
          <w:p w14:paraId="4D48BBC5">
            <w:pPr>
              <w:spacing w:line="360" w:lineRule="auto"/>
              <w:rPr>
                <w:rFonts w:ascii="宋体" w:hAnsi="宋体" w:eastAsia="宋体" w:cs="Times New Roman"/>
                <w:b/>
                <w:bCs/>
                <w:iCs/>
                <w:color w:val="000000" w:themeColor="text1"/>
                <w:sz w:val="24"/>
                <w:szCs w:val="24"/>
                <w14:textFill>
                  <w14:solidFill>
                    <w14:schemeClr w14:val="tx1"/>
                  </w14:solidFill>
                </w14:textFill>
              </w:rPr>
            </w:pPr>
            <w:r>
              <w:rPr>
                <w:rFonts w:hint="eastAsia" w:ascii="宋体" w:hAnsi="宋体" w:eastAsia="宋体" w:cs="Times New Roman"/>
                <w:b/>
                <w:bCs/>
                <w:iCs/>
                <w:color w:val="000000" w:themeColor="text1"/>
                <w:sz w:val="24"/>
                <w:szCs w:val="24"/>
                <w14:textFill>
                  <w14:solidFill>
                    <w14:schemeClr w14:val="tx1"/>
                  </w14:solidFill>
                </w14:textFill>
              </w:rPr>
              <w:t>日期</w:t>
            </w:r>
          </w:p>
        </w:tc>
        <w:tc>
          <w:tcPr>
            <w:tcW w:w="5935" w:type="dxa"/>
            <w:shd w:val="clear" w:color="auto" w:fill="auto"/>
            <w:vAlign w:val="center"/>
          </w:tcPr>
          <w:p w14:paraId="74A94687">
            <w:pPr>
              <w:spacing w:line="360" w:lineRule="auto"/>
              <w:jc w:val="center"/>
              <w:rPr>
                <w:rFonts w:ascii="宋体" w:hAnsi="宋体" w:eastAsia="宋体" w:cs="Times New Roman"/>
                <w:iCs/>
                <w:color w:val="000000" w:themeColor="text1"/>
                <w:sz w:val="24"/>
                <w:szCs w:val="24"/>
                <w14:textFill>
                  <w14:solidFill>
                    <w14:schemeClr w14:val="tx1"/>
                  </w14:solidFill>
                </w14:textFill>
              </w:rPr>
            </w:pPr>
            <w:r>
              <w:rPr>
                <w:rFonts w:hint="eastAsia" w:ascii="宋体" w:hAnsi="宋体" w:eastAsia="宋体" w:cs="Times New Roman"/>
                <w:iCs/>
                <w:color w:val="000000" w:themeColor="text1"/>
                <w:sz w:val="24"/>
                <w:szCs w:val="24"/>
                <w14:textFill>
                  <w14:solidFill>
                    <w14:schemeClr w14:val="tx1"/>
                  </w14:solidFill>
                </w14:textFill>
              </w:rPr>
              <w:t>2025年5月6日</w:t>
            </w:r>
          </w:p>
        </w:tc>
      </w:tr>
    </w:tbl>
    <w:p w14:paraId="5CBA5319">
      <w:pPr>
        <w:keepNext/>
        <w:keepLines/>
        <w:spacing w:before="260" w:after="260" w:line="360" w:lineRule="auto"/>
        <w:outlineLvl w:val="1"/>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hN2JjMDU5ZjgzY2U3ZWRmZWQ5NzE0NjcyNDIwNTgifQ=="/>
  </w:docVars>
  <w:rsids>
    <w:rsidRoot w:val="00EE26CD"/>
    <w:rsid w:val="00003317"/>
    <w:rsid w:val="0000466C"/>
    <w:rsid w:val="00007952"/>
    <w:rsid w:val="00014EDC"/>
    <w:rsid w:val="00014F2A"/>
    <w:rsid w:val="00021F69"/>
    <w:rsid w:val="00023F7B"/>
    <w:rsid w:val="000269F1"/>
    <w:rsid w:val="00026CD7"/>
    <w:rsid w:val="00026E2B"/>
    <w:rsid w:val="000270E5"/>
    <w:rsid w:val="000275B8"/>
    <w:rsid w:val="000333DF"/>
    <w:rsid w:val="00042C46"/>
    <w:rsid w:val="000444E5"/>
    <w:rsid w:val="0005232E"/>
    <w:rsid w:val="000528A8"/>
    <w:rsid w:val="0005452E"/>
    <w:rsid w:val="00063DB5"/>
    <w:rsid w:val="0006434F"/>
    <w:rsid w:val="00070593"/>
    <w:rsid w:val="00070C3B"/>
    <w:rsid w:val="00071B11"/>
    <w:rsid w:val="00081B36"/>
    <w:rsid w:val="000828F8"/>
    <w:rsid w:val="00086C90"/>
    <w:rsid w:val="000A65EF"/>
    <w:rsid w:val="000B6FFD"/>
    <w:rsid w:val="000C2F52"/>
    <w:rsid w:val="000C654A"/>
    <w:rsid w:val="000F6BEB"/>
    <w:rsid w:val="00103C4E"/>
    <w:rsid w:val="00111EF4"/>
    <w:rsid w:val="00113C72"/>
    <w:rsid w:val="00114CEA"/>
    <w:rsid w:val="001221B8"/>
    <w:rsid w:val="001304EB"/>
    <w:rsid w:val="001334C1"/>
    <w:rsid w:val="00136BC5"/>
    <w:rsid w:val="00143A57"/>
    <w:rsid w:val="00151B55"/>
    <w:rsid w:val="001672FF"/>
    <w:rsid w:val="001819EF"/>
    <w:rsid w:val="001826D8"/>
    <w:rsid w:val="00186DBB"/>
    <w:rsid w:val="00186E2B"/>
    <w:rsid w:val="001965A6"/>
    <w:rsid w:val="001A125C"/>
    <w:rsid w:val="001A1980"/>
    <w:rsid w:val="001B00D8"/>
    <w:rsid w:val="001B011E"/>
    <w:rsid w:val="001B36A7"/>
    <w:rsid w:val="001B508F"/>
    <w:rsid w:val="001B7B58"/>
    <w:rsid w:val="001C7C07"/>
    <w:rsid w:val="001D5222"/>
    <w:rsid w:val="001D7A5D"/>
    <w:rsid w:val="001E2BC5"/>
    <w:rsid w:val="001E5D4F"/>
    <w:rsid w:val="001E5E64"/>
    <w:rsid w:val="001E7F7C"/>
    <w:rsid w:val="001F2572"/>
    <w:rsid w:val="001F5B62"/>
    <w:rsid w:val="002118DC"/>
    <w:rsid w:val="00214C8F"/>
    <w:rsid w:val="0021573F"/>
    <w:rsid w:val="002278FB"/>
    <w:rsid w:val="00232813"/>
    <w:rsid w:val="00234237"/>
    <w:rsid w:val="00234D03"/>
    <w:rsid w:val="00241CC0"/>
    <w:rsid w:val="00251EF8"/>
    <w:rsid w:val="002525E9"/>
    <w:rsid w:val="0025271B"/>
    <w:rsid w:val="00255B4A"/>
    <w:rsid w:val="00256250"/>
    <w:rsid w:val="002650F9"/>
    <w:rsid w:val="00267056"/>
    <w:rsid w:val="002739C7"/>
    <w:rsid w:val="00273BE7"/>
    <w:rsid w:val="00273D9E"/>
    <w:rsid w:val="0028148B"/>
    <w:rsid w:val="00286F7B"/>
    <w:rsid w:val="0029285E"/>
    <w:rsid w:val="00293FBB"/>
    <w:rsid w:val="00295236"/>
    <w:rsid w:val="002A15B6"/>
    <w:rsid w:val="002B0AD4"/>
    <w:rsid w:val="002B75F5"/>
    <w:rsid w:val="002C1C3B"/>
    <w:rsid w:val="002C23DD"/>
    <w:rsid w:val="002C3AD1"/>
    <w:rsid w:val="002C699A"/>
    <w:rsid w:val="002D15D1"/>
    <w:rsid w:val="002D3753"/>
    <w:rsid w:val="002F1B04"/>
    <w:rsid w:val="002F4C46"/>
    <w:rsid w:val="002F6EAD"/>
    <w:rsid w:val="00307607"/>
    <w:rsid w:val="00307EC1"/>
    <w:rsid w:val="0031032E"/>
    <w:rsid w:val="003131C3"/>
    <w:rsid w:val="00313476"/>
    <w:rsid w:val="0031371B"/>
    <w:rsid w:val="00320D9D"/>
    <w:rsid w:val="00320EA7"/>
    <w:rsid w:val="003233A9"/>
    <w:rsid w:val="00327CE4"/>
    <w:rsid w:val="00336191"/>
    <w:rsid w:val="00340A0E"/>
    <w:rsid w:val="003413FD"/>
    <w:rsid w:val="003508D5"/>
    <w:rsid w:val="003524BC"/>
    <w:rsid w:val="003538F4"/>
    <w:rsid w:val="0035572A"/>
    <w:rsid w:val="00362CD0"/>
    <w:rsid w:val="00363384"/>
    <w:rsid w:val="0037038A"/>
    <w:rsid w:val="00371167"/>
    <w:rsid w:val="003722F1"/>
    <w:rsid w:val="0037245D"/>
    <w:rsid w:val="00376EB2"/>
    <w:rsid w:val="0038034C"/>
    <w:rsid w:val="00386F86"/>
    <w:rsid w:val="00397642"/>
    <w:rsid w:val="003A0D1C"/>
    <w:rsid w:val="003A2EB2"/>
    <w:rsid w:val="003B13A4"/>
    <w:rsid w:val="003C0892"/>
    <w:rsid w:val="003C3B7B"/>
    <w:rsid w:val="003C4909"/>
    <w:rsid w:val="003C6CD1"/>
    <w:rsid w:val="003D2A88"/>
    <w:rsid w:val="003D2F73"/>
    <w:rsid w:val="003D40E0"/>
    <w:rsid w:val="003F2A5A"/>
    <w:rsid w:val="003F6293"/>
    <w:rsid w:val="003F6D0B"/>
    <w:rsid w:val="003F7012"/>
    <w:rsid w:val="00400B90"/>
    <w:rsid w:val="0040142B"/>
    <w:rsid w:val="00404723"/>
    <w:rsid w:val="004106EC"/>
    <w:rsid w:val="004109EA"/>
    <w:rsid w:val="00410BCD"/>
    <w:rsid w:val="00411262"/>
    <w:rsid w:val="0041503C"/>
    <w:rsid w:val="00415FC4"/>
    <w:rsid w:val="00420071"/>
    <w:rsid w:val="0042182D"/>
    <w:rsid w:val="00425BB1"/>
    <w:rsid w:val="00432964"/>
    <w:rsid w:val="00433835"/>
    <w:rsid w:val="00467B9C"/>
    <w:rsid w:val="00470346"/>
    <w:rsid w:val="00472F77"/>
    <w:rsid w:val="00473F91"/>
    <w:rsid w:val="00482D5D"/>
    <w:rsid w:val="004859A7"/>
    <w:rsid w:val="00495655"/>
    <w:rsid w:val="004A58CB"/>
    <w:rsid w:val="004B500C"/>
    <w:rsid w:val="004C3E41"/>
    <w:rsid w:val="004C60B2"/>
    <w:rsid w:val="004C688F"/>
    <w:rsid w:val="004C6956"/>
    <w:rsid w:val="004D4156"/>
    <w:rsid w:val="004D614E"/>
    <w:rsid w:val="004E25DD"/>
    <w:rsid w:val="004E4CBB"/>
    <w:rsid w:val="004F5C3F"/>
    <w:rsid w:val="0050011F"/>
    <w:rsid w:val="00504DF9"/>
    <w:rsid w:val="00507071"/>
    <w:rsid w:val="00510286"/>
    <w:rsid w:val="00524D04"/>
    <w:rsid w:val="00534D66"/>
    <w:rsid w:val="0054404C"/>
    <w:rsid w:val="00572A6D"/>
    <w:rsid w:val="00575045"/>
    <w:rsid w:val="00582D78"/>
    <w:rsid w:val="00584526"/>
    <w:rsid w:val="00584D8F"/>
    <w:rsid w:val="00587DAB"/>
    <w:rsid w:val="00590DC4"/>
    <w:rsid w:val="005917EA"/>
    <w:rsid w:val="005953E9"/>
    <w:rsid w:val="005A0CBE"/>
    <w:rsid w:val="005A17E4"/>
    <w:rsid w:val="005A1CF7"/>
    <w:rsid w:val="005A3CFE"/>
    <w:rsid w:val="005A4D77"/>
    <w:rsid w:val="005B17EF"/>
    <w:rsid w:val="005B3D04"/>
    <w:rsid w:val="005B628F"/>
    <w:rsid w:val="005C19C5"/>
    <w:rsid w:val="005C6678"/>
    <w:rsid w:val="005D087C"/>
    <w:rsid w:val="005D20DD"/>
    <w:rsid w:val="005E4F20"/>
    <w:rsid w:val="005E5F7A"/>
    <w:rsid w:val="005F2C62"/>
    <w:rsid w:val="005F367F"/>
    <w:rsid w:val="005F7318"/>
    <w:rsid w:val="00605119"/>
    <w:rsid w:val="00606A42"/>
    <w:rsid w:val="006166C0"/>
    <w:rsid w:val="00623855"/>
    <w:rsid w:val="00626FB3"/>
    <w:rsid w:val="0063129A"/>
    <w:rsid w:val="006323B5"/>
    <w:rsid w:val="00642382"/>
    <w:rsid w:val="006427EB"/>
    <w:rsid w:val="00643F90"/>
    <w:rsid w:val="0064637F"/>
    <w:rsid w:val="00653A71"/>
    <w:rsid w:val="00655835"/>
    <w:rsid w:val="00667FB5"/>
    <w:rsid w:val="00672C00"/>
    <w:rsid w:val="00686E4C"/>
    <w:rsid w:val="0069619A"/>
    <w:rsid w:val="006A2E11"/>
    <w:rsid w:val="006A3184"/>
    <w:rsid w:val="006E3B82"/>
    <w:rsid w:val="006E7372"/>
    <w:rsid w:val="006F01C6"/>
    <w:rsid w:val="006F32A2"/>
    <w:rsid w:val="006F438E"/>
    <w:rsid w:val="00701E34"/>
    <w:rsid w:val="007118F2"/>
    <w:rsid w:val="00713A75"/>
    <w:rsid w:val="007178C6"/>
    <w:rsid w:val="00733488"/>
    <w:rsid w:val="00735F4D"/>
    <w:rsid w:val="00745C07"/>
    <w:rsid w:val="00746249"/>
    <w:rsid w:val="00751592"/>
    <w:rsid w:val="00756A97"/>
    <w:rsid w:val="00757362"/>
    <w:rsid w:val="0076183F"/>
    <w:rsid w:val="00770B3F"/>
    <w:rsid w:val="00770F24"/>
    <w:rsid w:val="00771A91"/>
    <w:rsid w:val="00773213"/>
    <w:rsid w:val="007804BF"/>
    <w:rsid w:val="00785284"/>
    <w:rsid w:val="0079430A"/>
    <w:rsid w:val="00794C8B"/>
    <w:rsid w:val="00795940"/>
    <w:rsid w:val="007A4905"/>
    <w:rsid w:val="007B196F"/>
    <w:rsid w:val="007B7BE5"/>
    <w:rsid w:val="007C39F3"/>
    <w:rsid w:val="007C7447"/>
    <w:rsid w:val="007C7D09"/>
    <w:rsid w:val="007E1F58"/>
    <w:rsid w:val="007F2176"/>
    <w:rsid w:val="00806573"/>
    <w:rsid w:val="00814484"/>
    <w:rsid w:val="008160A1"/>
    <w:rsid w:val="00816CED"/>
    <w:rsid w:val="00821685"/>
    <w:rsid w:val="0082317A"/>
    <w:rsid w:val="00827C6C"/>
    <w:rsid w:val="00836E8C"/>
    <w:rsid w:val="008453D5"/>
    <w:rsid w:val="00857E84"/>
    <w:rsid w:val="00865948"/>
    <w:rsid w:val="00873293"/>
    <w:rsid w:val="00875E95"/>
    <w:rsid w:val="008914C8"/>
    <w:rsid w:val="00894406"/>
    <w:rsid w:val="008A120E"/>
    <w:rsid w:val="008B4886"/>
    <w:rsid w:val="008C04C9"/>
    <w:rsid w:val="008C4D32"/>
    <w:rsid w:val="008C6B72"/>
    <w:rsid w:val="008C7588"/>
    <w:rsid w:val="008D0271"/>
    <w:rsid w:val="008D2B96"/>
    <w:rsid w:val="008D3726"/>
    <w:rsid w:val="008E245B"/>
    <w:rsid w:val="008F5F3A"/>
    <w:rsid w:val="00900BAF"/>
    <w:rsid w:val="009108F5"/>
    <w:rsid w:val="0091400E"/>
    <w:rsid w:val="009157EF"/>
    <w:rsid w:val="009224F5"/>
    <w:rsid w:val="00924412"/>
    <w:rsid w:val="0092574C"/>
    <w:rsid w:val="009329B6"/>
    <w:rsid w:val="00941808"/>
    <w:rsid w:val="00942951"/>
    <w:rsid w:val="009457DF"/>
    <w:rsid w:val="0095035C"/>
    <w:rsid w:val="009553B1"/>
    <w:rsid w:val="0096018C"/>
    <w:rsid w:val="00966C22"/>
    <w:rsid w:val="009678BF"/>
    <w:rsid w:val="009776A7"/>
    <w:rsid w:val="00980694"/>
    <w:rsid w:val="00980F51"/>
    <w:rsid w:val="009868C0"/>
    <w:rsid w:val="00991961"/>
    <w:rsid w:val="00992A38"/>
    <w:rsid w:val="009C06A4"/>
    <w:rsid w:val="009C63B1"/>
    <w:rsid w:val="009E0B46"/>
    <w:rsid w:val="009E3D68"/>
    <w:rsid w:val="009F331B"/>
    <w:rsid w:val="00A03AA1"/>
    <w:rsid w:val="00A04996"/>
    <w:rsid w:val="00A05042"/>
    <w:rsid w:val="00A10F5B"/>
    <w:rsid w:val="00A16EEA"/>
    <w:rsid w:val="00A16F6F"/>
    <w:rsid w:val="00A31B20"/>
    <w:rsid w:val="00A32B73"/>
    <w:rsid w:val="00A32ED1"/>
    <w:rsid w:val="00A33481"/>
    <w:rsid w:val="00A37775"/>
    <w:rsid w:val="00A40825"/>
    <w:rsid w:val="00A41A06"/>
    <w:rsid w:val="00A56101"/>
    <w:rsid w:val="00A57863"/>
    <w:rsid w:val="00A6487E"/>
    <w:rsid w:val="00A70EC0"/>
    <w:rsid w:val="00A71BFD"/>
    <w:rsid w:val="00A76F0C"/>
    <w:rsid w:val="00A878CB"/>
    <w:rsid w:val="00A927B4"/>
    <w:rsid w:val="00A97143"/>
    <w:rsid w:val="00A97D76"/>
    <w:rsid w:val="00AA5E76"/>
    <w:rsid w:val="00AB03BB"/>
    <w:rsid w:val="00AB45D6"/>
    <w:rsid w:val="00AC22CF"/>
    <w:rsid w:val="00AD237A"/>
    <w:rsid w:val="00AD28BB"/>
    <w:rsid w:val="00AD445E"/>
    <w:rsid w:val="00AD4B08"/>
    <w:rsid w:val="00AD7561"/>
    <w:rsid w:val="00AE00B6"/>
    <w:rsid w:val="00AE3EE3"/>
    <w:rsid w:val="00AF6EE4"/>
    <w:rsid w:val="00B07508"/>
    <w:rsid w:val="00B12278"/>
    <w:rsid w:val="00B27C19"/>
    <w:rsid w:val="00B342C5"/>
    <w:rsid w:val="00B36A53"/>
    <w:rsid w:val="00B37787"/>
    <w:rsid w:val="00B4298C"/>
    <w:rsid w:val="00B446BA"/>
    <w:rsid w:val="00B47853"/>
    <w:rsid w:val="00B52BAB"/>
    <w:rsid w:val="00B57667"/>
    <w:rsid w:val="00B577E9"/>
    <w:rsid w:val="00B61BCB"/>
    <w:rsid w:val="00B67838"/>
    <w:rsid w:val="00B70645"/>
    <w:rsid w:val="00B73AED"/>
    <w:rsid w:val="00B84DF3"/>
    <w:rsid w:val="00B855F5"/>
    <w:rsid w:val="00B8596B"/>
    <w:rsid w:val="00B86C5E"/>
    <w:rsid w:val="00B87C18"/>
    <w:rsid w:val="00B922C8"/>
    <w:rsid w:val="00B948F2"/>
    <w:rsid w:val="00B95F5D"/>
    <w:rsid w:val="00BA5CF6"/>
    <w:rsid w:val="00BB20B3"/>
    <w:rsid w:val="00BB3386"/>
    <w:rsid w:val="00BC7804"/>
    <w:rsid w:val="00BE0789"/>
    <w:rsid w:val="00BE20BB"/>
    <w:rsid w:val="00BE277C"/>
    <w:rsid w:val="00BE54C4"/>
    <w:rsid w:val="00BE5D9C"/>
    <w:rsid w:val="00BF1133"/>
    <w:rsid w:val="00C001F3"/>
    <w:rsid w:val="00C104B8"/>
    <w:rsid w:val="00C1636B"/>
    <w:rsid w:val="00C207C2"/>
    <w:rsid w:val="00C32714"/>
    <w:rsid w:val="00C37AAB"/>
    <w:rsid w:val="00C40B1A"/>
    <w:rsid w:val="00C42788"/>
    <w:rsid w:val="00C47614"/>
    <w:rsid w:val="00C5254A"/>
    <w:rsid w:val="00C52F40"/>
    <w:rsid w:val="00C531CC"/>
    <w:rsid w:val="00C55E93"/>
    <w:rsid w:val="00C56171"/>
    <w:rsid w:val="00C66117"/>
    <w:rsid w:val="00C70DF2"/>
    <w:rsid w:val="00C7174C"/>
    <w:rsid w:val="00C860DF"/>
    <w:rsid w:val="00C86520"/>
    <w:rsid w:val="00C91519"/>
    <w:rsid w:val="00C9168C"/>
    <w:rsid w:val="00C91FD9"/>
    <w:rsid w:val="00C951AA"/>
    <w:rsid w:val="00CC092E"/>
    <w:rsid w:val="00CC4FD6"/>
    <w:rsid w:val="00CC6538"/>
    <w:rsid w:val="00CC78CC"/>
    <w:rsid w:val="00CD419D"/>
    <w:rsid w:val="00CD65D6"/>
    <w:rsid w:val="00CD66E0"/>
    <w:rsid w:val="00CE6D72"/>
    <w:rsid w:val="00CF6F6C"/>
    <w:rsid w:val="00D00ECB"/>
    <w:rsid w:val="00D100A7"/>
    <w:rsid w:val="00D12BD7"/>
    <w:rsid w:val="00D13CFA"/>
    <w:rsid w:val="00D170E1"/>
    <w:rsid w:val="00D208A4"/>
    <w:rsid w:val="00D327C1"/>
    <w:rsid w:val="00D34586"/>
    <w:rsid w:val="00D37CB6"/>
    <w:rsid w:val="00D40C13"/>
    <w:rsid w:val="00D41E36"/>
    <w:rsid w:val="00D5622E"/>
    <w:rsid w:val="00D7427C"/>
    <w:rsid w:val="00D76F2A"/>
    <w:rsid w:val="00D84DF8"/>
    <w:rsid w:val="00D93D53"/>
    <w:rsid w:val="00D96FB9"/>
    <w:rsid w:val="00DA1218"/>
    <w:rsid w:val="00DA4962"/>
    <w:rsid w:val="00DA5894"/>
    <w:rsid w:val="00DB1D3C"/>
    <w:rsid w:val="00DD2242"/>
    <w:rsid w:val="00DD27C7"/>
    <w:rsid w:val="00DE31A5"/>
    <w:rsid w:val="00DE7F6D"/>
    <w:rsid w:val="00E0172D"/>
    <w:rsid w:val="00E07C47"/>
    <w:rsid w:val="00E24E41"/>
    <w:rsid w:val="00E25290"/>
    <w:rsid w:val="00E32A31"/>
    <w:rsid w:val="00E53347"/>
    <w:rsid w:val="00E53783"/>
    <w:rsid w:val="00E61A61"/>
    <w:rsid w:val="00E64488"/>
    <w:rsid w:val="00E668C5"/>
    <w:rsid w:val="00E711BE"/>
    <w:rsid w:val="00E803AB"/>
    <w:rsid w:val="00E92E52"/>
    <w:rsid w:val="00E93DA5"/>
    <w:rsid w:val="00EA3651"/>
    <w:rsid w:val="00EA5CFB"/>
    <w:rsid w:val="00EA6288"/>
    <w:rsid w:val="00EC10E4"/>
    <w:rsid w:val="00EC1ED4"/>
    <w:rsid w:val="00EC28FD"/>
    <w:rsid w:val="00ED3AB2"/>
    <w:rsid w:val="00ED53EA"/>
    <w:rsid w:val="00EE02A6"/>
    <w:rsid w:val="00EE16DD"/>
    <w:rsid w:val="00EE26CD"/>
    <w:rsid w:val="00EE7C85"/>
    <w:rsid w:val="00EF344A"/>
    <w:rsid w:val="00F0195D"/>
    <w:rsid w:val="00F06B8F"/>
    <w:rsid w:val="00F1256C"/>
    <w:rsid w:val="00F142F3"/>
    <w:rsid w:val="00F32FC6"/>
    <w:rsid w:val="00F42E00"/>
    <w:rsid w:val="00F50F83"/>
    <w:rsid w:val="00F51380"/>
    <w:rsid w:val="00F5385A"/>
    <w:rsid w:val="00F60682"/>
    <w:rsid w:val="00F6394E"/>
    <w:rsid w:val="00F66E15"/>
    <w:rsid w:val="00F744EC"/>
    <w:rsid w:val="00F74675"/>
    <w:rsid w:val="00F870FA"/>
    <w:rsid w:val="00F87C66"/>
    <w:rsid w:val="00F93AD8"/>
    <w:rsid w:val="00F9738B"/>
    <w:rsid w:val="00FA56AE"/>
    <w:rsid w:val="00FB28D9"/>
    <w:rsid w:val="00FB28F5"/>
    <w:rsid w:val="00FB4A0F"/>
    <w:rsid w:val="00FC12C0"/>
    <w:rsid w:val="00FC19DF"/>
    <w:rsid w:val="00FC2937"/>
    <w:rsid w:val="00FC55FE"/>
    <w:rsid w:val="00FD225E"/>
    <w:rsid w:val="00FE33A1"/>
    <w:rsid w:val="00FE6D51"/>
    <w:rsid w:val="00FE6ED9"/>
    <w:rsid w:val="00FF291F"/>
    <w:rsid w:val="00FF4F78"/>
    <w:rsid w:val="15152076"/>
    <w:rsid w:val="1AAB672D"/>
    <w:rsid w:val="1B100667"/>
    <w:rsid w:val="1ECC5B89"/>
    <w:rsid w:val="246B6286"/>
    <w:rsid w:val="260B6249"/>
    <w:rsid w:val="301C1075"/>
    <w:rsid w:val="30465FB1"/>
    <w:rsid w:val="3112695C"/>
    <w:rsid w:val="32242D99"/>
    <w:rsid w:val="34D81FF6"/>
    <w:rsid w:val="38A3458E"/>
    <w:rsid w:val="38D10011"/>
    <w:rsid w:val="3C3B26B6"/>
    <w:rsid w:val="3E037C4A"/>
    <w:rsid w:val="41214CBE"/>
    <w:rsid w:val="467F0394"/>
    <w:rsid w:val="47A434A2"/>
    <w:rsid w:val="4A560B98"/>
    <w:rsid w:val="4CF7225E"/>
    <w:rsid w:val="56D8047F"/>
    <w:rsid w:val="58D00699"/>
    <w:rsid w:val="685428D3"/>
    <w:rsid w:val="6ACC2E43"/>
    <w:rsid w:val="6DC63494"/>
    <w:rsid w:val="71C1419B"/>
    <w:rsid w:val="728F7BF8"/>
    <w:rsid w:val="7D9832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jc w:val="left"/>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Autospacing="1" w:afterAutospacing="1"/>
      <w:jc w:val="left"/>
    </w:pPr>
    <w:rPr>
      <w:rFonts w:cs="Times New Roman"/>
      <w:kern w:val="0"/>
      <w:sz w:val="24"/>
    </w:rPr>
  </w:style>
  <w:style w:type="paragraph" w:styleId="7">
    <w:name w:val="annotation subject"/>
    <w:basedOn w:val="2"/>
    <w:next w:val="2"/>
    <w:link w:val="16"/>
    <w:autoRedefine/>
    <w:semiHidden/>
    <w:unhideWhenUsed/>
    <w:qFormat/>
    <w:uiPriority w:val="99"/>
    <w:rPr>
      <w:b/>
      <w:bCs/>
    </w:rPr>
  </w:style>
  <w:style w:type="table" w:styleId="9">
    <w:name w:val="Table Grid"/>
    <w:basedOn w:val="8"/>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annotation reference"/>
    <w:basedOn w:val="10"/>
    <w:autoRedefine/>
    <w:semiHidden/>
    <w:unhideWhenUsed/>
    <w:qFormat/>
    <w:uiPriority w:val="99"/>
    <w:rPr>
      <w:sz w:val="21"/>
      <w:szCs w:val="21"/>
    </w:rPr>
  </w:style>
  <w:style w:type="character" w:customStyle="1" w:styleId="12">
    <w:name w:val="页眉 字符"/>
    <w:basedOn w:val="10"/>
    <w:link w:val="5"/>
    <w:autoRedefine/>
    <w:qFormat/>
    <w:uiPriority w:val="99"/>
    <w:rPr>
      <w:kern w:val="2"/>
      <w:sz w:val="18"/>
      <w:szCs w:val="18"/>
    </w:rPr>
  </w:style>
  <w:style w:type="character" w:customStyle="1" w:styleId="13">
    <w:name w:val="页脚 字符"/>
    <w:basedOn w:val="10"/>
    <w:link w:val="4"/>
    <w:autoRedefine/>
    <w:qFormat/>
    <w:uiPriority w:val="99"/>
    <w:rPr>
      <w:kern w:val="2"/>
      <w:sz w:val="18"/>
      <w:szCs w:val="18"/>
    </w:rPr>
  </w:style>
  <w:style w:type="paragraph" w:styleId="14">
    <w:name w:val="List Paragraph"/>
    <w:basedOn w:val="1"/>
    <w:autoRedefine/>
    <w:qFormat/>
    <w:uiPriority w:val="99"/>
    <w:pPr>
      <w:ind w:firstLine="420" w:firstLineChars="200"/>
    </w:pPr>
  </w:style>
  <w:style w:type="character" w:customStyle="1" w:styleId="15">
    <w:name w:val="批注文字 字符"/>
    <w:basedOn w:val="10"/>
    <w:link w:val="2"/>
    <w:autoRedefine/>
    <w:semiHidden/>
    <w:qFormat/>
    <w:uiPriority w:val="99"/>
    <w:rPr>
      <w:kern w:val="2"/>
      <w:sz w:val="21"/>
      <w:szCs w:val="22"/>
    </w:rPr>
  </w:style>
  <w:style w:type="character" w:customStyle="1" w:styleId="16">
    <w:name w:val="批注主题 字符"/>
    <w:basedOn w:val="15"/>
    <w:link w:val="7"/>
    <w:semiHidden/>
    <w:qFormat/>
    <w:uiPriority w:val="99"/>
    <w:rPr>
      <w:b/>
      <w:bCs/>
      <w:kern w:val="2"/>
      <w:sz w:val="21"/>
      <w:szCs w:val="22"/>
    </w:rPr>
  </w:style>
  <w:style w:type="character" w:customStyle="1" w:styleId="17">
    <w:name w:val="批注框文本 字符"/>
    <w:basedOn w:val="10"/>
    <w:link w:val="3"/>
    <w:autoRedefine/>
    <w:semiHidden/>
    <w:qFormat/>
    <w:uiPriority w:val="99"/>
    <w:rPr>
      <w:kern w:val="2"/>
      <w:sz w:val="18"/>
      <w:szCs w:val="18"/>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3"/>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1260</Words>
  <Characters>1346</Characters>
  <Lines>10</Lines>
  <Paragraphs>2</Paragraphs>
  <TotalTime>31</TotalTime>
  <ScaleCrop>false</ScaleCrop>
  <LinksUpToDate>false</LinksUpToDate>
  <CharactersWithSpaces>1444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2025-05-06T06:18:00Z</dcterms:created>
  <dc:creator>Li Xiang</dc:creator>
  <cp:lastModifiedBy>卫</cp:lastModifiedBy>
  <cp:lastPrinted>2025-05-06T06:14:00Z</cp:lastPrinted>
  <dcterms:modified xsi:type="dcterms:W3CDTF">2025-05-06T08:25:38Z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1096E20DC62441EC8B512947ECDA9DA6_13</vt:lpwstr>
  </property>
  <property fmtid="{D5CDD505-2E9C-101B-9397-08002B2CF9AE}" pid="4" name="KSOTemplateDocerSaveRecord">
    <vt:lpwstr>eyJoZGlkIjoiMzIyYjY5ZDVkZWNiOTgxYTE1MDY1ODk5ZjQ1OWFkYzQiLCJ1c2VySWQiOiI1MjUwNzk3MjgifQ==</vt:lpwstr>
  </property>
</Properties>
</file>