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A6312" w14:textId="77777777" w:rsidR="000B574B" w:rsidRDefault="00791748">
      <w:pPr>
        <w:widowControl/>
        <w:jc w:val="center"/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  <w:t>孚能科技（赣州）股份有限公司</w:t>
      </w:r>
    </w:p>
    <w:p w14:paraId="1547840E" w14:textId="77777777" w:rsidR="000B574B" w:rsidRDefault="00791748">
      <w:pPr>
        <w:jc w:val="center"/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kern w:val="0"/>
          <w:sz w:val="44"/>
          <w:szCs w:val="44"/>
        </w:rPr>
        <w:t>投资者关系活动记录表</w:t>
      </w:r>
    </w:p>
    <w:p w14:paraId="73A1D0BE" w14:textId="77777777" w:rsidR="000B574B" w:rsidRDefault="00791748"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（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月）</w:t>
      </w:r>
    </w:p>
    <w:p w14:paraId="21D20A0D" w14:textId="77777777" w:rsidR="000B574B" w:rsidRDefault="00791748">
      <w:pPr>
        <w:widowControl/>
        <w:spacing w:afterLines="50" w:after="156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股票简称：孚能科技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股票代码：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688567</w:t>
      </w:r>
    </w:p>
    <w:tbl>
      <w:tblPr>
        <w:tblStyle w:val="a9"/>
        <w:tblW w:w="9076" w:type="dxa"/>
        <w:jc w:val="center"/>
        <w:tblLook w:val="04A0" w:firstRow="1" w:lastRow="0" w:firstColumn="1" w:lastColumn="0" w:noHBand="0" w:noVBand="1"/>
      </w:tblPr>
      <w:tblGrid>
        <w:gridCol w:w="1696"/>
        <w:gridCol w:w="7380"/>
      </w:tblGrid>
      <w:tr w:rsidR="000B574B" w14:paraId="42460E84" w14:textId="77777777">
        <w:trPr>
          <w:trHeight w:val="6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6679" w14:textId="77777777" w:rsidR="000B574B" w:rsidRDefault="00791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9F4" w14:textId="77777777" w:rsidR="000B574B" w:rsidRDefault="0079174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特定对象调研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分析师会议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媒体采访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业绩说明会</w:t>
            </w:r>
          </w:p>
          <w:p w14:paraId="6A1EFFBE" w14:textId="77777777" w:rsidR="000B574B" w:rsidRDefault="00791748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新闻发布会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路演活动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现场参观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0B574B" w14:paraId="07D9C3A1" w14:textId="77777777">
        <w:trPr>
          <w:trHeight w:val="3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669" w14:textId="77777777" w:rsidR="000B574B" w:rsidRDefault="00791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66B" w14:textId="77777777" w:rsidR="000B574B" w:rsidRDefault="00791748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机构约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人（名单后附）</w:t>
            </w:r>
          </w:p>
        </w:tc>
      </w:tr>
      <w:tr w:rsidR="000B574B" w14:paraId="702DF788" w14:textId="77777777">
        <w:trPr>
          <w:trHeight w:val="3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B99" w14:textId="77777777" w:rsidR="000B574B" w:rsidRDefault="00791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AB1" w14:textId="77777777" w:rsidR="000B574B" w:rsidRDefault="00791748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</w:p>
        </w:tc>
      </w:tr>
      <w:tr w:rsidR="000B574B" w14:paraId="1D6764A5" w14:textId="77777777">
        <w:trPr>
          <w:trHeight w:val="3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1771" w14:textId="77777777" w:rsidR="000B574B" w:rsidRDefault="00791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076B" w14:textId="77777777" w:rsidR="000B574B" w:rsidRDefault="007917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电话会议</w:t>
            </w:r>
          </w:p>
        </w:tc>
      </w:tr>
      <w:tr w:rsidR="000B574B" w14:paraId="1A0C8ED2" w14:textId="77777777">
        <w:trPr>
          <w:trHeight w:val="3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071" w14:textId="77777777" w:rsidR="000B574B" w:rsidRDefault="00791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公司接待人员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EA3" w14:textId="3EF57FCE" w:rsidR="000B574B" w:rsidRDefault="0076018B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公司管理层</w:t>
            </w:r>
          </w:p>
        </w:tc>
      </w:tr>
      <w:tr w:rsidR="000B574B" w14:paraId="1B2359A0" w14:textId="77777777">
        <w:trPr>
          <w:trHeight w:val="18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CC54" w14:textId="77777777" w:rsidR="000B574B" w:rsidRDefault="00791748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41E" w14:textId="094EB50C" w:rsidR="000B574B" w:rsidRDefault="00791748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年全年实现营收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亿元，同比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下降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28.94%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，主要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上游原材料碳酸锂价格同比下降较多，公司产品价格相应调整，以及公司战略倾斜海外客户使得销量有所下降。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年一季度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营业收入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亿元，同比下降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20.48%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年公司净利润亏损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亿元，亏损同比收窄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亿元，</w:t>
            </w:r>
            <w:r w:rsidR="00A62E37">
              <w:rPr>
                <w:rFonts w:ascii="Times New Roman" w:hAnsi="Times New Roman" w:cs="Times New Roman" w:hint="eastAsia"/>
                <w:sz w:val="24"/>
                <w:szCs w:val="24"/>
              </w:rPr>
              <w:t>亏损同比收窄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82.22%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年一季度公司净利润亏损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亿元，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亏损同比收窄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亿元，</w:t>
            </w:r>
            <w:r w:rsidR="00A62E37">
              <w:rPr>
                <w:rFonts w:ascii="Times New Roman" w:hAnsi="Times New Roman" w:cs="Times New Roman"/>
                <w:sz w:val="24"/>
                <w:szCs w:val="24"/>
              </w:rPr>
              <w:t>亏损同比收窄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29.82%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年一季度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，公司营业收入下降，但亏损大幅收窄的原因包括：毛利率提升、期间费用下降、资产减值减少、投资损失减少。</w:t>
            </w:r>
          </w:p>
          <w:p w14:paraId="350B225E" w14:textId="595BCAFB" w:rsidR="000B574B" w:rsidRDefault="00791748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在销售毛利率方面，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年综合毛利率为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11.32%</w:t>
            </w:r>
            <w:r w:rsidR="005E5DDA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同比增加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个百分点。根据企业会计准则，从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年度开始，公司将质保金从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销售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费用调整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到营业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成本，若剔除该因素影响，公司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年实际综合毛利率为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，同比大幅提升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个百分点。其中第四季度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全年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质保金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集中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调整影响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单季度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综合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毛利率为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，剔除该因素影响后实际毛利率为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，环比保持稳步提升的态势。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季度公司综合毛利率为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11.96%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，考虑到质保金会计调整因素，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年一季度实际毛利率超过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14.16%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，同比提高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2.27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个百分点，主要受益于公司海外客户收入占比提高，叠加公司降本增效成果显现。</w:t>
            </w:r>
          </w:p>
          <w:p w14:paraId="07323277" w14:textId="77777777" w:rsidR="000B574B" w:rsidRDefault="00791748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年通过优化成本控制措施和提升经营效率，加强了应收账款和存货管理，期末存货余额为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亿元，同比减少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24.48%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，叠加客户回款情况改善，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期末应收账款余额为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27.03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亿元，同比减少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26.23%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使得经营性现金流净额约为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亿元，同比增加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36.86%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年期末资产负债率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62.84%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较去年期末降低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个百分点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14:paraId="7F558BD9" w14:textId="77777777" w:rsidR="000B574B" w:rsidRDefault="00791748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综合来看，公司于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季度持续推进战略客户落地，内部实施降本增效措施，在新产品方面推广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超级大软包电池，销售质量有所提高，整体经营情况得到改善。</w:t>
            </w:r>
          </w:p>
          <w:p w14:paraId="10FF5789" w14:textId="4049680F" w:rsidR="000B574B" w:rsidRDefault="00791748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从市场情况来看，根据中国汽车动力电池产业创新联盟，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年公司在国内动力电池出口量上排名第三，连续多年位居国内软包电池出货量第一、全球前三。在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新产品方面，公司获得广汽、吉利、江铃、一汽、三一等多家客户定点，并与一汽、三一、江铃客户在固态电池方面达成深度合作，目前部分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产品车型已进入量产阶段。在低空经济业务方面，公司获得了国内头部飞行汽车公司高压动力电池定点，并与吉利沃飞在飞行动力领域开展战略合作；人形机器人业务方面，公司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与多家国内头部人形机器人公司对接相关需求，目前进展顺利，预计近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期</w:t>
            </w:r>
            <w:r w:rsidR="00815763">
              <w:rPr>
                <w:rFonts w:ascii="Times New Roman" w:hAnsi="Times New Roman" w:cs="Times New Roman" w:hint="eastAsia"/>
                <w:sz w:val="24"/>
                <w:szCs w:val="24"/>
              </w:rPr>
              <w:t>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进入送样阶段。报告期内，公司已获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eVTOL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、海外换电、两轮车等多个定点项目，在稳固既有客户新项目的基础上，在重卡、新兴市场、低空经济、人形机器人等多个领域取得了新突破。</w:t>
            </w:r>
          </w:p>
          <w:p w14:paraId="2D63F53C" w14:textId="59FEF191" w:rsidR="000B574B" w:rsidRDefault="00791748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产能建设方面，公司新增产能包括赣州新能源基地一期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15GWh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广州基地一期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15GWh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，均为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产线，目前两个基地</w:t>
            </w:r>
            <w:r w:rsidR="00A40F11">
              <w:rPr>
                <w:rFonts w:ascii="Times New Roman" w:hAnsi="Times New Roman" w:cs="Times New Roman" w:hint="eastAsia"/>
                <w:sz w:val="24"/>
                <w:szCs w:val="24"/>
              </w:rPr>
              <w:t>均已有部分产线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投产，处于产能爬坡阶段，产能利用率与产品良率均呈现稳步爬升状态。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工厂作为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最新一代超级工厂，通过极致的设计降本，以及高度兼容的柔性自动化产线，有望凭借强大的产品竞争力，进一步打开市场空间。</w:t>
            </w:r>
          </w:p>
          <w:p w14:paraId="195DEEB6" w14:textId="24862929" w:rsidR="000B574B" w:rsidRDefault="00791748">
            <w:pPr>
              <w:pStyle w:val="ab"/>
              <w:adjustRightInd w:val="0"/>
              <w:snapToGrid w:val="0"/>
              <w:spacing w:line="60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技术研发方面，公司同步推进半固态、全固态、磷酸铁锂、高压快充、三元高镍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硅碳、三元中镍高电压、钠离子电池</w:t>
            </w:r>
            <w:r w:rsidR="00815763">
              <w:rPr>
                <w:rFonts w:ascii="Times New Roman" w:hAnsi="Times New Roman" w:cs="Times New Roman" w:hint="eastAsia"/>
                <w:sz w:val="24"/>
                <w:szCs w:val="24"/>
              </w:rPr>
              <w:t>等</w:t>
            </w:r>
            <w:r w:rsidR="00A40F11">
              <w:rPr>
                <w:rFonts w:ascii="Times New Roman" w:hAnsi="Times New Roman" w:cs="Times New Roman" w:hint="eastAsia"/>
                <w:sz w:val="24"/>
                <w:szCs w:val="24"/>
              </w:rPr>
              <w:t>多个</w:t>
            </w:r>
            <w:r w:rsidR="00815763">
              <w:rPr>
                <w:rFonts w:ascii="Times New Roman" w:hAnsi="Times New Roman" w:cs="Times New Roman" w:hint="eastAsia"/>
                <w:sz w:val="24"/>
                <w:szCs w:val="24"/>
              </w:rPr>
              <w:t>技术</w:t>
            </w:r>
            <w:r w:rsidR="00A40F11">
              <w:rPr>
                <w:rFonts w:ascii="Times New Roman" w:hAnsi="Times New Roman" w:cs="Times New Roman" w:hint="eastAsia"/>
                <w:sz w:val="24"/>
                <w:szCs w:val="24"/>
              </w:rPr>
              <w:t>体系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的研发。目前能量密度高达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330Wh/kg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的第二代半固态电池将于今年量产，能量密度高达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400Wh/kg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的第三代半固态电池已进入产业化阶段；全固态电池同步布局硫化物、聚合物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氧化物复合体系等多种技术路线，能量密度可达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400-500Wh/kg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。在快充方面，公司产品均可搭配高电压快充技术满足客户需求，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产品可实现全体系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快充。</w:t>
            </w:r>
          </w:p>
          <w:p w14:paraId="7E2DFEB0" w14:textId="77777777" w:rsidR="000B574B" w:rsidRDefault="00791748">
            <w:pPr>
              <w:pStyle w:val="ab"/>
              <w:adjustRightInd w:val="0"/>
              <w:snapToGrid w:val="0"/>
              <w:spacing w:line="600" w:lineRule="exact"/>
              <w:ind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投资者问答</w:t>
            </w:r>
          </w:p>
          <w:p w14:paraId="5E12A84C" w14:textId="77777777" w:rsidR="000B574B" w:rsidRDefault="00791748">
            <w:pPr>
              <w:pStyle w:val="ab"/>
              <w:adjustRightInd w:val="0"/>
              <w:snapToGrid w:val="0"/>
              <w:spacing w:line="600" w:lineRule="exact"/>
              <w:ind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hint="eastAsia"/>
                <w:b/>
                <w:sz w:val="24"/>
                <w:szCs w:val="24"/>
              </w:rPr>
              <w:t>目前公司产能情况如何，如何展望公司盈利趋势？</w:t>
            </w:r>
          </w:p>
          <w:p w14:paraId="6FCA29FA" w14:textId="4F396976" w:rsidR="000B574B" w:rsidRDefault="00791748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答：公司赣州新能源和广州基地设计产能各为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15GW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，目前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已有部分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产线投产，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其余部分预计在今年下半年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陆续投产和爬坡。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在盈利情况方面，公司今年上半年新增产能处于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产能爬坡和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良品率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提升阶段，下半年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随着产能利用率达到较高水平，预计将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较大比例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摊薄单位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制造费用，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进一步提升盈利水平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。从明年开始，随着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新基地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产能利用率进一步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提高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规模效应增强，公司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先进产能的极致降本效果将进一步显现，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毛利率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水平有望显著提升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</w:t>
            </w:r>
          </w:p>
          <w:p w14:paraId="66DE5274" w14:textId="77777777" w:rsidR="000B574B" w:rsidRDefault="00791748">
            <w:pPr>
              <w:adjustRightInd w:val="0"/>
              <w:snapToGrid w:val="0"/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如何展望公司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年度出货情况？</w:t>
            </w:r>
          </w:p>
          <w:p w14:paraId="3B698CFB" w14:textId="77777777" w:rsidR="000B574B" w:rsidRDefault="00791748">
            <w:pPr>
              <w:adjustRightInd w:val="0"/>
              <w:snapToGrid w:val="0"/>
              <w:spacing w:line="600" w:lineRule="exact"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答：随着公司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产品的产能释放与项目定点批量交付，预计公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lastRenderedPageBreak/>
              <w:t>司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年出货规模将呈现同比较大幅度增长。出货节奏方面，考虑到公司目前赣州新能源、广州基地处于快速爬产阶段，预计下半年出货量较上半年将实现进一步增长。市场分布方面，随着国内客户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产品定点的批量交付，预计国内市场出货占比或将提升，海外客户中土耳其客户提货需求同比增幅较大。</w:t>
            </w:r>
          </w:p>
          <w:p w14:paraId="412871F5" w14:textId="49E5C96F" w:rsidR="000B574B" w:rsidRDefault="00791748">
            <w:pPr>
              <w:adjustRightInd w:val="0"/>
              <w:snapToGrid w:val="0"/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如何展望今年动力电池价格，以及</w:t>
            </w:r>
            <w:r w:rsidR="008C408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磷酸铁锂产品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订单增多是否会影响公司整体均价和毛利率？</w:t>
            </w:r>
          </w:p>
          <w:p w14:paraId="0730669B" w14:textId="57C779D7" w:rsidR="000B574B" w:rsidRDefault="00791748">
            <w:pPr>
              <w:adjustRightInd w:val="0"/>
              <w:snapToGrid w:val="0"/>
              <w:spacing w:line="600" w:lineRule="exact"/>
              <w:ind w:firstLineChars="200" w:firstLine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答：动力电池价格方面，上游碳酸锂价格已呈现企稳态势，预计下游电池降价空间不大。公司去年出货中大部分为三元产品，随着今年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产能放量，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磷酸铁锂产品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占比将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较快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上升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因此，</w:t>
            </w:r>
            <w:r w:rsidR="0076018B">
              <w:rPr>
                <w:rFonts w:ascii="Times New Roman" w:hAnsi="Times New Roman" w:cs="Times New Roman" w:hint="eastAsia"/>
                <w:sz w:val="24"/>
                <w:szCs w:val="24"/>
              </w:rPr>
              <w:t>基于产品结构变化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预计今年</w:t>
            </w:r>
            <w:r w:rsidR="008C4089">
              <w:rPr>
                <w:rFonts w:ascii="Times New Roman" w:hAnsi="Times New Roman" w:cs="Times New Roman" w:hint="eastAsia"/>
                <w:sz w:val="24"/>
                <w:szCs w:val="24"/>
              </w:rPr>
              <w:t>公司产品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整体平均单价会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有小幅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下降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。成本方面，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大软包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产品可实现极致设计降本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同时随着规模效应提升，公司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制造降本、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管理降本、供应链降本等多维度降本措施深化，预计公司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毛利率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仍将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维持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较高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水平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6994527C" w14:textId="77777777" w:rsidR="000B574B" w:rsidRDefault="00791748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如何看待美国加征关税对公司及海外市场需求的影响？</w:t>
            </w:r>
          </w:p>
          <w:p w14:paraId="19452DBB" w14:textId="38889A73" w:rsidR="000B574B" w:rsidRDefault="00791748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年一季度美国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出口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收入占比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小，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约为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，预计美国关税变化对公司影响较小。在应对措施方面，一方面，公司在海外拥有产能基地，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可直接出货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供应海外市场；另一方面，公司大部分客户采用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模式定价，公司不承担关税费用；对于非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客户，公司积极协商，</w:t>
            </w:r>
            <w:r w:rsidR="00963F43">
              <w:rPr>
                <w:rFonts w:ascii="Times New Roman" w:hAnsi="Times New Roman" w:cs="Times New Roman" w:hint="eastAsia"/>
                <w:sz w:val="24"/>
                <w:szCs w:val="24"/>
              </w:rPr>
              <w:t>与客户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共同承担额外关税费用。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欧洲市场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方面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虽然部分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欧洲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市场对电动车增速预期有所调整，但公司认为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整体市场需求仍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较为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乐观，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公司已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几家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欧洲头部汽车制造商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深度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对接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方案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目前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进展顺利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，有望取得更多标志性项目定点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14:paraId="395B6F8B" w14:textId="77777777" w:rsidR="000B574B" w:rsidRDefault="00791748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如何看待电池新国标对于公司与行业的影响？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0065B0" w14:textId="41467A3C" w:rsidR="000B574B" w:rsidRDefault="00791748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答：公司全体系产品可满足热失控后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小时不起火、不爆炸，已提前超额满足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版新国标要求。在竞争格局方面，新国标实施对行业供给侧改革有重要意义，目前只有少数头部电池厂能达到这一标准，这有助于行业尾部产能加速出清，对公司而言是重要市场机遇。在产品趋势方面，公司看到下游客户对半固态电池的接受程度不断提高，新国标应用背景下安全性要求提升，将催化半固态电池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进一步商业</w:t>
            </w:r>
            <w:r w:rsidR="00C13DCF">
              <w:rPr>
                <w:rFonts w:ascii="Times New Roman" w:hAnsi="Times New Roman" w:cs="Times New Roman" w:hint="eastAsia"/>
                <w:sz w:val="24"/>
                <w:szCs w:val="24"/>
              </w:rPr>
              <w:t>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应用。</w:t>
            </w:r>
          </w:p>
          <w:p w14:paraId="782BA5DD" w14:textId="0951059F" w:rsidR="00F95425" w:rsidRDefault="00F95425" w:rsidP="00F95425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公司半固态电池的商业化进展和出货规模如何？</w:t>
            </w:r>
          </w:p>
          <w:p w14:paraId="3D870F7D" w14:textId="77777777" w:rsidR="00F95425" w:rsidRDefault="00F95425" w:rsidP="00F95425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答：目前半固态电池主要应用于高端车型、重卡、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eVTOL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人形机器人等对性能要求较高、成本相对不敏感的细分领域。在这些领域，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公司半固态电池具备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较高的商业化程度和良好的客户储备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，已获得东风、广汽、三一、一汽解放、美国头部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VTOL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客户、国内头部飞行汽车客户、上海时的等多家海内外客户项目定点，其中多个项目已实现交付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年公司半固态电池已实现较大规模的出货，出货量经行业估算位居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行业排名前三，预计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今年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出货量将在去年基础上实现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进一步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增长，因此半固态电池是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未来重要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增长点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之一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14:paraId="016A0029" w14:textId="63849BA9" w:rsidR="00F95425" w:rsidRDefault="00F95425" w:rsidP="00F95425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行业及公司半固态电池的量产成本水平如何？</w:t>
            </w:r>
          </w:p>
          <w:p w14:paraId="5060EF82" w14:textId="74D5199F" w:rsidR="00F95425" w:rsidRPr="00F95425" w:rsidRDefault="00F95425" w:rsidP="00F95425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答：目前行业内半固态电池生产成本比液态电池高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公司凭借软包技术路线的深度积累与前瞻性的战略布局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已形成较为明显的先发优势，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半固态电池生产成本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比液态电池高几个百分点，在行业内具有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显著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竞争力。</w:t>
            </w:r>
          </w:p>
          <w:p w14:paraId="50E711EA" w14:textId="15DCB7C7" w:rsidR="000B574B" w:rsidRDefault="00791748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F95425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在低空经济方面，公司与哪些客户有合作，特别是在飞行汽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车、无人机等领域取得了什么进展？</w:t>
            </w:r>
          </w:p>
          <w:p w14:paraId="6AEF142B" w14:textId="0532CEC2" w:rsidR="000B574B" w:rsidRDefault="00791748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答：在低空经济领域，公司与美国头部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eVTOL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客户、上海时的以及吉利沃飞等企业有紧密合作，特别是在飞行汽车领域，公司已获得国内头部飞行汽车公司下一代机型的高压动力电池定点，产品技术壁垒与价值量较高。在无人机领域，公司已送样全球头部物流公司的无人机电池项目，目前进展与反馈良好。公司目前绝大多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VTOL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项目都采用第二代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VTOL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半固态电池方案进行送样与交付，</w:t>
            </w:r>
            <w:r w:rsidR="00963F43">
              <w:rPr>
                <w:rFonts w:ascii="Times New Roman" w:hAnsi="Times New Roman" w:cs="Times New Roman" w:hint="eastAsia"/>
                <w:sz w:val="24"/>
                <w:szCs w:val="24"/>
              </w:rPr>
              <w:t>相对第一代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实现了能量密度、充放电倍率、安全性能等多方面性能的显著提升，预计明年将形成较大规模放量。</w:t>
            </w:r>
          </w:p>
          <w:p w14:paraId="3C753E58" w14:textId="18A85B68" w:rsidR="000B574B" w:rsidRDefault="00791748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F95425"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公司目前人形机器人领域方面的业务进展如何？</w:t>
            </w:r>
          </w:p>
          <w:p w14:paraId="458C8D19" w14:textId="144E2194" w:rsidR="000B574B" w:rsidRDefault="00791748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答：目前，公司正在与国内知名的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家头部人形机器人客户对接项目需求，其中包括多家头部车系人形机器人客户，目前整体进展顺利，预计有多个项目今年实现送样，公司目标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今年拿到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个人形机器人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项目定点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14:paraId="1CF8A6E3" w14:textId="2E9C9B20" w:rsidR="000B574B" w:rsidRDefault="00791748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="00F9542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公司对于软包电池在未来机器人电池领域的</w:t>
            </w:r>
            <w:r w:rsidR="00F9542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应用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趋势有何看法？</w:t>
            </w:r>
          </w:p>
          <w:p w14:paraId="27EE4DC7" w14:textId="6504A95D" w:rsidR="000B574B" w:rsidRDefault="00791748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答：软包电池预计将成为未来人形机器人的主流应用趋势。目前，人形机器人产业处于发展初期，以科研、测试</w:t>
            </w:r>
            <w:r w:rsidR="0076018B">
              <w:rPr>
                <w:rFonts w:ascii="Times New Roman" w:hAnsi="Times New Roman" w:cs="Times New Roman" w:hint="eastAsia"/>
                <w:sz w:val="24"/>
                <w:szCs w:val="24"/>
              </w:rPr>
              <w:t>、小批量样品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等过渡型应用场景为主，电池及续航问题短期内未成为核心卡点，因此圆柱电池被广泛用作样品和小批量解决方案。但随着人形机器人大规模量产的到来，软包电池将凭借其轻量化、高能量密度、循环次数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以及安全性高等优势，更好适配长时间持续续航的需求，</w:t>
            </w:r>
            <w:r w:rsidR="008B09D1">
              <w:rPr>
                <w:rFonts w:ascii="Times New Roman" w:hAnsi="Times New Roman" w:cs="Times New Roman" w:hint="eastAsia"/>
                <w:sz w:val="24"/>
                <w:szCs w:val="24"/>
              </w:rPr>
              <w:t>有望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成为未来人形机器人电池的终极解决方案。</w:t>
            </w:r>
          </w:p>
          <w:p w14:paraId="27C33353" w14:textId="77777777" w:rsidR="000B574B" w:rsidRDefault="00791748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1.11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如何展望钠离子电池的技术方向及后续应用前景？</w:t>
            </w:r>
          </w:p>
          <w:p w14:paraId="63C6D241" w14:textId="1ECE6511" w:rsidR="000B574B" w:rsidRDefault="00791748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答：公司在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年已实现全球首台钠电乘用车装车，正在进行第二代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钠离子电池的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研发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与产业化验证，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目前技术方案和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指标均处于行业领先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水平。行业层面看，钠离子电池放量的关键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取决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于产业链降本程度与技术方案的成熟</w:t>
            </w:r>
            <w:r w:rsidR="00C13DCF">
              <w:rPr>
                <w:rFonts w:ascii="Times New Roman" w:hAnsi="Times New Roman" w:cs="Times New Roman" w:hint="eastAsia"/>
                <w:sz w:val="24"/>
                <w:szCs w:val="24"/>
              </w:rPr>
              <w:t>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。短期内，由于碳酸锂价格仍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处在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低位，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钠离子电池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制造成本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高于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锂电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，但长远来看，</w:t>
            </w:r>
            <w:r w:rsidR="007A67BF">
              <w:rPr>
                <w:rFonts w:ascii="Times New Roman" w:hAnsi="Times New Roman" w:cs="Times New Roman" w:hint="eastAsia"/>
                <w:sz w:val="24"/>
                <w:szCs w:val="24"/>
              </w:rPr>
              <w:t>钠离子电池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因其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在循环寿命、低温性能、安全性等方面的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固有优势，在特定领域如两轮车、储能和启停电池等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应用场景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有望取得商业突破。</w:t>
            </w:r>
          </w:p>
          <w:p w14:paraId="7AC0E42B" w14:textId="77777777" w:rsidR="000B574B" w:rsidRDefault="00791748">
            <w:pPr>
              <w:spacing w:line="600" w:lineRule="exact"/>
              <w:ind w:firstLineChars="200" w:firstLine="4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钴价上涨对公司盈利水平的影响如何？</w:t>
            </w:r>
          </w:p>
          <w:p w14:paraId="0AE1FFEA" w14:textId="77777777" w:rsidR="000B574B" w:rsidRDefault="00791748">
            <w:pPr>
              <w:spacing w:line="6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答：公司目前出货电池的正极材料结构中高镍三元占比较高，钴元素用量较低，因此钴涨价对公司盈利影响程度较小。此外，公司与客户建立了价格联动机制，可有效通过价格传导对冲上游原材料价格波动影响。</w:t>
            </w:r>
          </w:p>
        </w:tc>
      </w:tr>
      <w:tr w:rsidR="000B574B" w14:paraId="3FC52B83" w14:textId="77777777">
        <w:trPr>
          <w:trHeight w:val="3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09A5" w14:textId="77777777" w:rsidR="000B574B" w:rsidRDefault="00791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D376" w14:textId="77777777" w:rsidR="000B574B" w:rsidRDefault="007917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1B2D8FAD" w14:textId="77777777" w:rsidR="000B574B" w:rsidRDefault="000B574B">
      <w:pPr>
        <w:rPr>
          <w:sz w:val="24"/>
          <w:szCs w:val="24"/>
        </w:rPr>
      </w:pPr>
    </w:p>
    <w:p w14:paraId="475B23D2" w14:textId="77777777" w:rsidR="000B574B" w:rsidRDefault="000B574B">
      <w:pPr>
        <w:rPr>
          <w:sz w:val="24"/>
          <w:szCs w:val="24"/>
        </w:rPr>
      </w:pPr>
    </w:p>
    <w:p w14:paraId="72B65AAE" w14:textId="77777777" w:rsidR="000B574B" w:rsidRDefault="000B574B">
      <w:pPr>
        <w:rPr>
          <w:sz w:val="24"/>
          <w:szCs w:val="24"/>
        </w:rPr>
      </w:pPr>
    </w:p>
    <w:p w14:paraId="26CE523B" w14:textId="77777777" w:rsidR="000B574B" w:rsidRDefault="000B574B">
      <w:pPr>
        <w:rPr>
          <w:sz w:val="24"/>
          <w:szCs w:val="24"/>
        </w:rPr>
      </w:pPr>
    </w:p>
    <w:p w14:paraId="6B36314D" w14:textId="77777777" w:rsidR="000B574B" w:rsidRDefault="000B574B">
      <w:pPr>
        <w:rPr>
          <w:sz w:val="24"/>
          <w:szCs w:val="24"/>
        </w:rPr>
      </w:pPr>
    </w:p>
    <w:p w14:paraId="0AD658DB" w14:textId="77777777" w:rsidR="000B574B" w:rsidRDefault="000B574B">
      <w:pPr>
        <w:rPr>
          <w:sz w:val="24"/>
          <w:szCs w:val="24"/>
        </w:rPr>
      </w:pPr>
    </w:p>
    <w:p w14:paraId="317EDBD7" w14:textId="77777777" w:rsidR="000B574B" w:rsidRDefault="000B574B">
      <w:pPr>
        <w:rPr>
          <w:sz w:val="24"/>
          <w:szCs w:val="24"/>
        </w:rPr>
      </w:pPr>
    </w:p>
    <w:p w14:paraId="2918C3D0" w14:textId="77777777" w:rsidR="000B574B" w:rsidRDefault="000B574B">
      <w:pPr>
        <w:rPr>
          <w:sz w:val="24"/>
          <w:szCs w:val="24"/>
        </w:rPr>
        <w:sectPr w:rsidR="000B574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8"/>
        <w:gridCol w:w="4825"/>
        <w:gridCol w:w="4085"/>
      </w:tblGrid>
      <w:tr w:rsidR="00207545" w14:paraId="3A7B08D4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55C21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lastRenderedPageBreak/>
              <w:t>高盛</w:t>
            </w:r>
            <w:r>
              <w:rPr>
                <w:rFonts w:eastAsia="等线" w:cs="等线"/>
                <w:color w:val="000000"/>
                <w:kern w:val="0"/>
                <w:sz w:val="22"/>
              </w:rPr>
              <w:t xml:space="preserve"> (亚洲) 有限责任公司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FF80E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华福证券有限责任公司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401C" w14:textId="7F91456B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昊泽致远 (北京) 私募基金管理有限公司</w:t>
            </w:r>
          </w:p>
        </w:tc>
      </w:tr>
      <w:tr w:rsidR="00207545" w14:paraId="736E9868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EDD3B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花旗环球金融亚洲有限公司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2BB5F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华龙证券股份有限公司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DE320" w14:textId="3B8E91FD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云南卓晔私募基金管理有限公司</w:t>
            </w:r>
          </w:p>
        </w:tc>
      </w:tr>
      <w:tr w:rsidR="00207545" w14:paraId="59B77A84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808A3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摩根大通公司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2E840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华金证券股份有限公司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E32A8" w14:textId="37D9EF50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中国诚通控股集团有限公司</w:t>
            </w:r>
          </w:p>
        </w:tc>
      </w:tr>
      <w:tr w:rsidR="00207545" w14:paraId="6C6CD5BE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CC153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摩根大通证券</w:t>
            </w:r>
            <w:r>
              <w:rPr>
                <w:rFonts w:eastAsia="等线" w:cs="等线"/>
                <w:color w:val="000000"/>
                <w:kern w:val="0"/>
                <w:sz w:val="22"/>
              </w:rPr>
              <w:t xml:space="preserve"> (中国) 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D4684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民生证券股份有限公司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38076" w14:textId="30E552FC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北京裕润立达股权投资管理有限公司</w:t>
            </w:r>
          </w:p>
        </w:tc>
      </w:tr>
      <w:tr w:rsidR="00207545" w14:paraId="582D6B33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15024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瑞士银行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DAEF8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太平洋证券股份有限公司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094D2" w14:textId="5AFA6576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果行育德管理咨询</w:t>
            </w:r>
            <w:r>
              <w:rPr>
                <w:rFonts w:eastAsia="等线" w:cs="等线"/>
                <w:color w:val="000000"/>
                <w:kern w:val="0"/>
                <w:sz w:val="22"/>
              </w:rPr>
              <w:t xml:space="preserve"> (上海) 有限公司</w:t>
            </w:r>
          </w:p>
        </w:tc>
      </w:tr>
      <w:tr w:rsidR="00207545" w14:paraId="23BCA08B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53398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星展银行</w:t>
            </w:r>
            <w:r>
              <w:rPr>
                <w:rFonts w:eastAsia="等线" w:cs="等线"/>
                <w:color w:val="000000"/>
                <w:kern w:val="0"/>
                <w:sz w:val="22"/>
              </w:rPr>
              <w:t xml:space="preserve"> (中国) 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5BD96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西部证券股份有限公司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26A78" w14:textId="24C778D9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国调战新投资管理</w:t>
            </w:r>
            <w:r>
              <w:rPr>
                <w:rFonts w:eastAsia="等线" w:cs="等线"/>
                <w:color w:val="000000"/>
                <w:kern w:val="0"/>
                <w:sz w:val="22"/>
              </w:rPr>
              <w:t xml:space="preserve"> (安徽) 有限公司</w:t>
            </w:r>
          </w:p>
        </w:tc>
      </w:tr>
      <w:tr w:rsidR="00207545" w14:paraId="23A61940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E620A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天弘基金管理有限公司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CE6B6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浙商证券股份有限公司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ED663" w14:textId="611EA96D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上海联视投资管理有限公司</w:t>
            </w:r>
          </w:p>
        </w:tc>
      </w:tr>
      <w:tr w:rsidR="00207545" w14:paraId="28D45A12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9A852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华夏基金管理有限公司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1D468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中泰证券股份有限公司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EEC87" w14:textId="4480BEBF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四川鑫未来资产管理有限公司</w:t>
            </w:r>
          </w:p>
        </w:tc>
      </w:tr>
      <w:tr w:rsidR="00207545" w14:paraId="598C54C6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6CA99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东兴基金管理有限公司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1FFD0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sz w:val="22"/>
              </w:rPr>
              <w:t>中信期货有限公司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D696E" w14:textId="2C38B2B1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008FC993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45E9D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同泰基金管理有限公司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8DB8C" w14:textId="12140799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 w:rsidRPr="00207545">
              <w:rPr>
                <w:rFonts w:eastAsia="等线" w:cs="等线" w:hint="eastAsia"/>
                <w:color w:val="000000"/>
                <w:sz w:val="22"/>
              </w:rPr>
              <w:t>国新风险投资管理（深圳）有限公司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1C300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76FB423D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8E75C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中信证券股份有限公司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CE004" w14:textId="76C3E23F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北京弘卓资本管理有限公司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808E6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0B99A93F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EB138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中国国际金融股份有限公司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2B24E" w14:textId="3EC9CF63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广东正圆私募基金管理有限公司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3F93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053808EF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C5B4D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中国中金财富证券有限公司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3DA1C" w14:textId="4A867580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上海中域资产管理中心 (有限合伙)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E03CF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23BF7990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8B0A9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上海申银万国证券研究所有限公司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BFB88" w14:textId="4A8EF863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天堂硅谷创业投资集团有限公司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A55DE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76516D31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36D3D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海通证券股份有限公司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F2977" w14:textId="320DFEAB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深圳市尚诚资产管理有限责任公司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2A02F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35A7F80E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FDAE8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长江证券股份有限公司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C1BE1" w14:textId="51D4EFD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北京泓澄投资管理有限公司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E475C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65BAF8A0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1496B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长江证券</w:t>
            </w:r>
            <w:r>
              <w:rPr>
                <w:rFonts w:eastAsia="等线" w:cs="等线"/>
                <w:color w:val="000000"/>
                <w:kern w:val="0"/>
                <w:sz w:val="22"/>
              </w:rPr>
              <w:t xml:space="preserve"> (上海) 资产管理有限公司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6FF43" w14:textId="71A77ED9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广东邦政资产管理有限公司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C379B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206C9C3A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2AF08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东吴证券股份有限公司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E8A7B" w14:textId="234AA51B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江西彼得明奇私募基金管理有限公司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8D947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12A5503D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F3BC3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东方财富证券股份有限公司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B751E" w14:textId="59750C5F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上海贵源投资有限公司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CDE3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467EA465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B19F5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国投证券股份有限公司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C1F16" w14:textId="14DAE528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上海宏鹰股权投资基金管理有限公司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AE991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1D4BC34F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4E4E5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国元证券股份有限公司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EF69B" w14:textId="0EB983D0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上海开思私募基金管理有限公司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D8F1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2DADBFF2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BA600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华安证券股份有限公司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A2284" w14:textId="41A4D63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kern w:val="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上海山合私募基金管理中心 (有限合伙)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304B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</w:p>
        </w:tc>
      </w:tr>
      <w:tr w:rsidR="00207545" w14:paraId="7F7154F5" w14:textId="77777777" w:rsidTr="00207545">
        <w:trPr>
          <w:trHeight w:val="276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ADB4D" w14:textId="77777777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sz w:val="22"/>
              </w:rPr>
            </w:pPr>
            <w:r>
              <w:rPr>
                <w:rFonts w:eastAsia="等线" w:cs="等线" w:hint="eastAsia"/>
                <w:color w:val="000000"/>
                <w:kern w:val="0"/>
                <w:sz w:val="22"/>
              </w:rPr>
              <w:t>华创证券有限责任公司</w:t>
            </w:r>
          </w:p>
        </w:tc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EDF60" w14:textId="7A842121" w:rsidR="00207545" w:rsidRDefault="00207545" w:rsidP="00207545">
            <w:pPr>
              <w:widowControl/>
              <w:jc w:val="left"/>
              <w:textAlignment w:val="center"/>
              <w:rPr>
                <w:rFonts w:eastAsia="等线" w:cs="等线"/>
                <w:color w:val="000000"/>
                <w:kern w:val="0"/>
                <w:sz w:val="22"/>
              </w:rPr>
            </w:pPr>
            <w:r>
              <w:rPr>
                <w:rFonts w:eastAsia="等线" w:cs="等线"/>
                <w:color w:val="000000"/>
                <w:kern w:val="0"/>
                <w:sz w:val="22"/>
              </w:rPr>
              <w:t>深圳中天汇富基金管理有限公司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74F31" w14:textId="77777777" w:rsidR="00207545" w:rsidRDefault="00207545" w:rsidP="00207545">
            <w:pPr>
              <w:jc w:val="left"/>
              <w:rPr>
                <w:rFonts w:eastAsia="等线" w:cs="等线"/>
                <w:color w:val="000000"/>
                <w:sz w:val="22"/>
              </w:rPr>
            </w:pPr>
          </w:p>
        </w:tc>
      </w:tr>
    </w:tbl>
    <w:p w14:paraId="6CDC619D" w14:textId="77777777" w:rsidR="000B574B" w:rsidRDefault="000B574B">
      <w:pPr>
        <w:rPr>
          <w:sz w:val="24"/>
          <w:szCs w:val="24"/>
        </w:rPr>
      </w:pPr>
    </w:p>
    <w:p w14:paraId="6107FD0B" w14:textId="77777777" w:rsidR="000B574B" w:rsidRDefault="000B574B">
      <w:pPr>
        <w:widowControl/>
        <w:jc w:val="left"/>
        <w:textAlignment w:val="center"/>
        <w:rPr>
          <w:rFonts w:eastAsia="等线" w:cs="等线"/>
          <w:color w:val="000000"/>
          <w:kern w:val="0"/>
          <w:sz w:val="22"/>
        </w:rPr>
      </w:pPr>
    </w:p>
    <w:sectPr w:rsidR="000B57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19CF7" w14:textId="77777777" w:rsidR="00C5010C" w:rsidRDefault="00C5010C">
      <w:r>
        <w:separator/>
      </w:r>
    </w:p>
  </w:endnote>
  <w:endnote w:type="continuationSeparator" w:id="0">
    <w:p w14:paraId="3C5692CA" w14:textId="77777777" w:rsidR="00C5010C" w:rsidRDefault="00C5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EFED" w14:textId="7DCA6058" w:rsidR="000B574B" w:rsidRDefault="0079174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3F2475">
      <w:rPr>
        <w:noProof/>
      </w:rPr>
      <w:t>8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9DB9E" w14:textId="77777777" w:rsidR="00C5010C" w:rsidRDefault="00C5010C">
      <w:r>
        <w:separator/>
      </w:r>
    </w:p>
  </w:footnote>
  <w:footnote w:type="continuationSeparator" w:id="0">
    <w:p w14:paraId="008BEBB3" w14:textId="77777777" w:rsidR="00C5010C" w:rsidRDefault="00C5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49E93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8193B3B"/>
    <w:multiLevelType w:val="multilevel"/>
    <w:tmpl w:val="539262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4B"/>
    <w:rsid w:val="000B574B"/>
    <w:rsid w:val="0015490F"/>
    <w:rsid w:val="001D1F20"/>
    <w:rsid w:val="00207545"/>
    <w:rsid w:val="0029373E"/>
    <w:rsid w:val="003F2475"/>
    <w:rsid w:val="004F38DB"/>
    <w:rsid w:val="00555A0F"/>
    <w:rsid w:val="005E5DDA"/>
    <w:rsid w:val="0076018B"/>
    <w:rsid w:val="00785553"/>
    <w:rsid w:val="00791748"/>
    <w:rsid w:val="007A67BF"/>
    <w:rsid w:val="00815763"/>
    <w:rsid w:val="008B09D1"/>
    <w:rsid w:val="008C4089"/>
    <w:rsid w:val="00913E03"/>
    <w:rsid w:val="00963F43"/>
    <w:rsid w:val="00A032AC"/>
    <w:rsid w:val="00A40F11"/>
    <w:rsid w:val="00A62E37"/>
    <w:rsid w:val="00B32286"/>
    <w:rsid w:val="00C13DCF"/>
    <w:rsid w:val="00C5010C"/>
    <w:rsid w:val="00D25FB9"/>
    <w:rsid w:val="00DB0CC7"/>
    <w:rsid w:val="00E31CCD"/>
    <w:rsid w:val="00EB6E96"/>
    <w:rsid w:val="00F91B85"/>
    <w:rsid w:val="00F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FB6F3"/>
  <w15:docId w15:val="{CD7C30A6-9797-4955-90BC-D7F93252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eastAsia="宋体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annotation reference"/>
    <w:basedOn w:val="a0"/>
    <w:uiPriority w:val="99"/>
    <w:rPr>
      <w:sz w:val="21"/>
      <w:szCs w:val="21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批注文字 字符"/>
    <w:basedOn w:val="a0"/>
    <w:link w:val="ad"/>
    <w:uiPriority w:val="99"/>
    <w:rPr>
      <w:rFonts w:ascii="等线" w:hAnsi="等线" w:cs="宋体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rPr>
      <w:b/>
      <w:bCs/>
    </w:rPr>
  </w:style>
  <w:style w:type="character" w:customStyle="1" w:styleId="af0">
    <w:name w:val="批注主题 字符"/>
    <w:basedOn w:val="ae"/>
    <w:link w:val="af"/>
    <w:uiPriority w:val="99"/>
    <w:rPr>
      <w:rFonts w:ascii="等线" w:hAnsi="等线" w:cs="宋体"/>
      <w:b/>
      <w:bCs/>
      <w:kern w:val="2"/>
      <w:sz w:val="21"/>
      <w:szCs w:val="22"/>
    </w:rPr>
  </w:style>
  <w:style w:type="paragraph" w:styleId="af1">
    <w:name w:val="Revision"/>
    <w:uiPriority w:val="99"/>
    <w:rPr>
      <w:rFonts w:ascii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1E7B-CEE2-4F1C-BE4A-1D33A429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761</Words>
  <Characters>4339</Characters>
  <Application>Microsoft Office Word</Application>
  <DocSecurity>0</DocSecurity>
  <Lines>36</Lines>
  <Paragraphs>10</Paragraphs>
  <ScaleCrop>false</ScaleCrop>
  <Company>Microsoft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杨恒华</dc:creator>
  <cp:lastModifiedBy>王雲昊</cp:lastModifiedBy>
  <cp:revision>2</cp:revision>
  <cp:lastPrinted>2022-05-07T03:02:00Z</cp:lastPrinted>
  <dcterms:created xsi:type="dcterms:W3CDTF">2025-05-06T09:55:00Z</dcterms:created>
  <dcterms:modified xsi:type="dcterms:W3CDTF">2025-05-06T09:55:00Z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90095ac2de2f4befab18c98af6006ed5_23</vt:lpwstr>
  </property>
</Properties>
</file>