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80B7">
      <w:pPr>
        <w:pStyle w:val="2"/>
        <w:spacing w:before="40"/>
        <w:ind w:left="0" w:leftChars="0" w:firstLine="240" w:firstLineChars="100"/>
        <w:jc w:val="left"/>
        <w:rPr>
          <w:rFonts w:hint="default" w:eastAsia="宋体"/>
          <w:lang w:val="en-US" w:eastAsia="zh-CN"/>
        </w:rPr>
      </w:pPr>
      <w:r>
        <w:t>证券代码：</w:t>
      </w:r>
      <w:r>
        <w:rPr>
          <w:rFonts w:hint="eastAsia"/>
          <w:lang w:val="en-US" w:eastAsia="zh-CN"/>
        </w:rPr>
        <w:t>688380</w:t>
      </w:r>
      <w:r>
        <w:t xml:space="preserve"> </w:t>
      </w:r>
      <w:r>
        <w:rPr>
          <w:rFonts w:hint="eastAsia"/>
          <w:lang w:val="en-US" w:eastAsia="zh-CN"/>
        </w:rPr>
        <w:t xml:space="preserve">                                           </w:t>
      </w:r>
      <w:r>
        <w:t>证券简称：</w:t>
      </w:r>
      <w:r>
        <w:rPr>
          <w:rFonts w:hint="eastAsia"/>
          <w:lang w:val="en-US" w:eastAsia="zh-CN"/>
        </w:rPr>
        <w:t>中微半导</w:t>
      </w:r>
    </w:p>
    <w:p w14:paraId="1F057622">
      <w:pPr>
        <w:pStyle w:val="2"/>
        <w:rPr>
          <w:sz w:val="29"/>
        </w:rPr>
      </w:pPr>
    </w:p>
    <w:p w14:paraId="33664230">
      <w:pPr>
        <w:spacing w:before="54"/>
        <w:ind w:left="1943" w:right="1782" w:firstLine="0"/>
        <w:jc w:val="center"/>
        <w:rPr>
          <w:b/>
          <w:sz w:val="32"/>
        </w:rPr>
      </w:pPr>
      <w:r>
        <w:rPr>
          <w:rFonts w:hint="eastAsia"/>
          <w:b/>
          <w:sz w:val="32"/>
          <w:lang w:val="en-US" w:eastAsia="zh-CN"/>
        </w:rPr>
        <w:t>中微半导体（深圳）</w:t>
      </w:r>
      <w:r>
        <w:rPr>
          <w:b/>
          <w:sz w:val="32"/>
        </w:rPr>
        <w:t>股份有限公司</w:t>
      </w:r>
    </w:p>
    <w:p w14:paraId="1973570D">
      <w:pPr>
        <w:spacing w:before="54"/>
        <w:ind w:left="1943" w:right="1782" w:firstLine="0"/>
        <w:jc w:val="center"/>
        <w:rPr>
          <w:rFonts w:hint="default"/>
          <w:b/>
          <w:sz w:val="32"/>
          <w:lang w:val="en-US"/>
        </w:rPr>
      </w:pPr>
      <w:r>
        <w:rPr>
          <w:b/>
          <w:sz w:val="32"/>
        </w:rPr>
        <w:t>投资者关系活动记录表</w:t>
      </w:r>
      <w:r>
        <w:rPr>
          <w:b/>
          <w:w w:val="98"/>
          <w:sz w:val="32"/>
        </w:rPr>
        <w:t xml:space="preserve"> </w:t>
      </w:r>
    </w:p>
    <w:p w14:paraId="04D080E8">
      <w:pPr>
        <w:keepNext w:val="0"/>
        <w:keepLines w:val="0"/>
        <w:pageBreakBefore w:val="0"/>
        <w:widowControl w:val="0"/>
        <w:kinsoku/>
        <w:wordWrap/>
        <w:overflowPunct/>
        <w:topLinePunct w:val="0"/>
        <w:autoSpaceDE w:val="0"/>
        <w:autoSpaceDN w:val="0"/>
        <w:bidi w:val="0"/>
        <w:adjustRightInd/>
        <w:snapToGrid/>
        <w:spacing w:before="132" w:after="21"/>
        <w:ind w:left="0" w:right="0" w:firstLine="0"/>
        <w:jc w:val="center"/>
        <w:textAlignment w:val="auto"/>
        <w:rPr>
          <w:rFonts w:hint="default"/>
          <w:sz w:val="24"/>
          <w:szCs w:val="28"/>
          <w:highlight w:val="yellow"/>
          <w:lang w:val="en-US"/>
        </w:rPr>
      </w:pPr>
      <w:r>
        <w:rPr>
          <w:rFonts w:hint="eastAsia"/>
          <w:sz w:val="24"/>
          <w:szCs w:val="28"/>
          <w:highlight w:val="none"/>
          <w:lang w:val="en-US" w:eastAsia="zh-CN"/>
        </w:rPr>
        <w:t xml:space="preserve">                                                                 </w:t>
      </w:r>
      <w:r>
        <w:rPr>
          <w:sz w:val="24"/>
          <w:szCs w:val="28"/>
          <w:highlight w:val="none"/>
        </w:rPr>
        <w:t>编号</w:t>
      </w:r>
      <w:r>
        <w:rPr>
          <w:rFonts w:hint="eastAsia"/>
          <w:sz w:val="24"/>
          <w:szCs w:val="28"/>
          <w:highlight w:val="none"/>
          <w:lang w:eastAsia="zh-CN"/>
        </w:rPr>
        <w:t>：</w:t>
      </w:r>
      <w:r>
        <w:rPr>
          <w:sz w:val="24"/>
          <w:szCs w:val="28"/>
          <w:highlight w:val="none"/>
        </w:rPr>
        <w:t>202</w:t>
      </w:r>
      <w:r>
        <w:rPr>
          <w:rFonts w:hint="eastAsia"/>
          <w:sz w:val="24"/>
          <w:szCs w:val="28"/>
          <w:highlight w:val="none"/>
          <w:lang w:val="en-US" w:eastAsia="zh-CN"/>
        </w:rPr>
        <w:t>5</w:t>
      </w:r>
      <w:r>
        <w:rPr>
          <w:sz w:val="24"/>
          <w:szCs w:val="28"/>
          <w:highlight w:val="none"/>
        </w:rPr>
        <w:t>-</w:t>
      </w:r>
      <w:r>
        <w:rPr>
          <w:rFonts w:hint="eastAsia"/>
          <w:sz w:val="24"/>
          <w:szCs w:val="28"/>
          <w:highlight w:val="none"/>
          <w:lang w:val="en-US" w:eastAsia="zh-CN"/>
        </w:rPr>
        <w:t>0</w:t>
      </w:r>
      <w:r>
        <w:rPr>
          <w:rFonts w:hint="default"/>
          <w:sz w:val="24"/>
          <w:szCs w:val="28"/>
          <w:highlight w:val="none"/>
          <w:lang w:val="en-US" w:eastAsia="zh-CN"/>
        </w:rPr>
        <w:t>0</w:t>
      </w:r>
      <w:r>
        <w:rPr>
          <w:rFonts w:hint="eastAsia"/>
          <w:sz w:val="24"/>
          <w:szCs w:val="28"/>
          <w:highlight w:val="none"/>
          <w:lang w:val="en-US" w:eastAsia="zh-CN"/>
        </w:rPr>
        <w:t>6</w:t>
      </w:r>
      <w:bookmarkStart w:id="0" w:name="_GoBack"/>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8220"/>
      </w:tblGrid>
      <w:tr w14:paraId="51DE1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jc w:val="center"/>
        </w:trPr>
        <w:tc>
          <w:tcPr>
            <w:tcW w:w="1524" w:type="dxa"/>
            <w:tcMar>
              <w:top w:w="0" w:type="dxa"/>
              <w:left w:w="113" w:type="dxa"/>
              <w:bottom w:w="0" w:type="dxa"/>
              <w:right w:w="113" w:type="dxa"/>
            </w:tcMar>
            <w:vAlign w:val="center"/>
          </w:tcPr>
          <w:p w14:paraId="5C30FA51">
            <w:pPr>
              <w:pStyle w:val="8"/>
              <w:spacing w:line="242" w:lineRule="auto"/>
              <w:ind w:left="0" w:leftChars="0" w:right="72" w:firstLine="0" w:firstLineChars="0"/>
              <w:jc w:val="center"/>
              <w:rPr>
                <w:b w:val="0"/>
                <w:bCs w:val="0"/>
                <w:sz w:val="24"/>
                <w:szCs w:val="24"/>
              </w:rPr>
            </w:pPr>
            <w:r>
              <w:rPr>
                <w:b w:val="0"/>
                <w:bCs w:val="0"/>
                <w:sz w:val="24"/>
                <w:szCs w:val="24"/>
              </w:rPr>
              <w:t>投资者来访类别</w:t>
            </w:r>
          </w:p>
        </w:tc>
        <w:tc>
          <w:tcPr>
            <w:tcW w:w="8220" w:type="dxa"/>
            <w:vAlign w:val="center"/>
          </w:tcPr>
          <w:p w14:paraId="786097AF">
            <w:pPr>
              <w:pStyle w:val="8"/>
              <w:numPr>
                <w:ilvl w:val="0"/>
                <w:numId w:val="0"/>
              </w:numPr>
              <w:tabs>
                <w:tab w:val="left" w:pos="390"/>
              </w:tabs>
              <w:spacing w:before="132" w:after="0" w:line="240" w:lineRule="auto"/>
              <w:ind w:right="0" w:rightChars="0" w:firstLine="236" w:firstLineChars="100"/>
              <w:jc w:val="both"/>
              <w:rPr>
                <w:sz w:val="24"/>
                <w:szCs w:val="24"/>
              </w:rPr>
            </w:pPr>
            <w:r>
              <w:rPr>
                <w:spacing w:val="-2"/>
                <w:sz w:val="24"/>
                <w:szCs w:val="24"/>
              </w:rPr>
              <w:sym w:font="Wingdings 2" w:char="00A3"/>
            </w:r>
            <w:r>
              <w:rPr>
                <w:spacing w:val="-2"/>
                <w:sz w:val="24"/>
                <w:szCs w:val="24"/>
              </w:rPr>
              <w:t xml:space="preserve"> 特定对象调研 </w:t>
            </w:r>
            <w:r>
              <w:rPr>
                <w:rFonts w:hint="eastAsia"/>
                <w:spacing w:val="-2"/>
                <w:sz w:val="24"/>
                <w:szCs w:val="24"/>
                <w:lang w:val="en-US" w:eastAsia="zh-CN"/>
              </w:rPr>
              <w:t xml:space="preserve">                    </w:t>
            </w:r>
            <w:r>
              <w:rPr>
                <w:spacing w:val="-2"/>
                <w:sz w:val="24"/>
                <w:szCs w:val="24"/>
              </w:rPr>
              <w:sym w:font="Wingdings 2" w:char="0052"/>
            </w:r>
            <w:r>
              <w:rPr>
                <w:rFonts w:hint="eastAsia"/>
                <w:spacing w:val="-2"/>
                <w:sz w:val="24"/>
                <w:szCs w:val="24"/>
                <w:lang w:val="en-US" w:eastAsia="zh-CN"/>
              </w:rPr>
              <w:t xml:space="preserve"> </w:t>
            </w:r>
            <w:r>
              <w:rPr>
                <w:spacing w:val="-2"/>
                <w:sz w:val="24"/>
                <w:szCs w:val="24"/>
              </w:rPr>
              <w:t>分析师会议</w:t>
            </w:r>
          </w:p>
          <w:p w14:paraId="6CDE1B41">
            <w:pPr>
              <w:pStyle w:val="8"/>
              <w:spacing w:before="9"/>
              <w:ind w:left="0"/>
              <w:jc w:val="both"/>
              <w:rPr>
                <w:sz w:val="24"/>
                <w:szCs w:val="24"/>
              </w:rPr>
            </w:pPr>
          </w:p>
          <w:p w14:paraId="732BB210">
            <w:pPr>
              <w:pStyle w:val="8"/>
              <w:ind w:left="0" w:leftChars="0" w:firstLine="240" w:firstLineChars="100"/>
              <w:jc w:val="both"/>
              <w:rPr>
                <w:sz w:val="24"/>
                <w:szCs w:val="24"/>
              </w:rPr>
            </w:pPr>
            <w:r>
              <w:rPr>
                <w:sz w:val="24"/>
                <w:szCs w:val="24"/>
              </w:rPr>
              <w:sym w:font="Wingdings 2" w:char="00A3"/>
            </w:r>
            <w:r>
              <w:rPr>
                <w:sz w:val="24"/>
                <w:szCs w:val="24"/>
              </w:rPr>
              <w:t xml:space="preserve"> 媒体采访 </w:t>
            </w:r>
            <w:r>
              <w:rPr>
                <w:rFonts w:hint="eastAsia"/>
                <w:sz w:val="24"/>
                <w:szCs w:val="24"/>
                <w:lang w:val="en-US" w:eastAsia="zh-CN"/>
              </w:rPr>
              <w:t xml:space="preserve">                        </w:t>
            </w:r>
            <w:r>
              <w:rPr>
                <w:spacing w:val="-2"/>
                <w:sz w:val="24"/>
                <w:szCs w:val="24"/>
              </w:rPr>
              <w:sym w:font="Wingdings 2" w:char="00A3"/>
            </w:r>
            <w:r>
              <w:rPr>
                <w:rFonts w:hint="eastAsia"/>
                <w:spacing w:val="-2"/>
                <w:sz w:val="24"/>
                <w:szCs w:val="24"/>
                <w:lang w:val="en-US" w:eastAsia="zh-CN"/>
              </w:rPr>
              <w:t xml:space="preserve"> </w:t>
            </w:r>
            <w:r>
              <w:rPr>
                <w:sz w:val="24"/>
                <w:szCs w:val="24"/>
              </w:rPr>
              <w:t>业绩说明会</w:t>
            </w:r>
          </w:p>
          <w:p w14:paraId="1B424389">
            <w:pPr>
              <w:pStyle w:val="8"/>
              <w:spacing w:before="9"/>
              <w:ind w:left="0"/>
              <w:jc w:val="both"/>
              <w:rPr>
                <w:sz w:val="24"/>
                <w:szCs w:val="24"/>
              </w:rPr>
            </w:pPr>
          </w:p>
          <w:p w14:paraId="2EDC7824">
            <w:pPr>
              <w:pStyle w:val="8"/>
              <w:ind w:left="0" w:leftChars="0" w:firstLine="240" w:firstLineChars="100"/>
              <w:jc w:val="both"/>
              <w:rPr>
                <w:sz w:val="24"/>
                <w:szCs w:val="24"/>
              </w:rPr>
            </w:pPr>
            <w:r>
              <w:rPr>
                <w:sz w:val="24"/>
                <w:szCs w:val="24"/>
              </w:rPr>
              <w:sym w:font="Wingdings 2" w:char="00A3"/>
            </w:r>
            <w:r>
              <w:rPr>
                <w:rFonts w:hint="eastAsia"/>
                <w:sz w:val="24"/>
                <w:szCs w:val="24"/>
                <w:lang w:val="en-US" w:eastAsia="zh-CN"/>
              </w:rPr>
              <w:t xml:space="preserve"> </w:t>
            </w:r>
            <w:r>
              <w:rPr>
                <w:sz w:val="24"/>
                <w:szCs w:val="24"/>
              </w:rPr>
              <w:t>新闻发布会</w:t>
            </w:r>
            <w:r>
              <w:rPr>
                <w:rFonts w:hint="eastAsia"/>
                <w:sz w:val="24"/>
                <w:szCs w:val="24"/>
                <w:lang w:val="en-US" w:eastAsia="zh-CN"/>
              </w:rPr>
              <w:t xml:space="preserve">                       </w:t>
            </w:r>
            <w:r>
              <w:rPr>
                <w:sz w:val="24"/>
                <w:szCs w:val="24"/>
              </w:rPr>
              <w:sym w:font="Wingdings 2" w:char="00A3"/>
            </w:r>
            <w:r>
              <w:rPr>
                <w:rFonts w:hint="eastAsia"/>
                <w:sz w:val="24"/>
                <w:szCs w:val="24"/>
                <w:lang w:val="en-US" w:eastAsia="zh-CN"/>
              </w:rPr>
              <w:t xml:space="preserve"> </w:t>
            </w:r>
            <w:r>
              <w:rPr>
                <w:sz w:val="24"/>
                <w:szCs w:val="24"/>
              </w:rPr>
              <w:t>路演活动</w:t>
            </w:r>
          </w:p>
          <w:p w14:paraId="10160FA8">
            <w:pPr>
              <w:pStyle w:val="8"/>
              <w:spacing w:before="9"/>
              <w:ind w:left="0"/>
              <w:jc w:val="both"/>
              <w:rPr>
                <w:sz w:val="24"/>
                <w:szCs w:val="24"/>
              </w:rPr>
            </w:pPr>
          </w:p>
          <w:p w14:paraId="691182BC">
            <w:pPr>
              <w:pStyle w:val="8"/>
              <w:ind w:left="0" w:leftChars="0" w:firstLine="236" w:firstLineChars="100"/>
              <w:jc w:val="both"/>
              <w:rPr>
                <w:rFonts w:hint="default" w:eastAsia="宋体"/>
                <w:sz w:val="24"/>
                <w:lang w:val="en-US" w:eastAsia="zh-CN"/>
              </w:rPr>
            </w:pPr>
            <w:r>
              <w:rPr>
                <w:spacing w:val="-2"/>
                <w:sz w:val="24"/>
                <w:szCs w:val="24"/>
              </w:rPr>
              <w:sym w:font="Wingdings 2" w:char="00A3"/>
            </w:r>
            <w:r>
              <w:rPr>
                <w:rFonts w:hint="eastAsia"/>
                <w:spacing w:val="-2"/>
                <w:sz w:val="24"/>
                <w:szCs w:val="24"/>
                <w:lang w:val="en-US" w:eastAsia="zh-CN"/>
              </w:rPr>
              <w:t xml:space="preserve"> </w:t>
            </w:r>
            <w:r>
              <w:rPr>
                <w:sz w:val="24"/>
                <w:szCs w:val="24"/>
              </w:rPr>
              <w:t>现场参观</w:t>
            </w:r>
            <w:r>
              <w:rPr>
                <w:rFonts w:hint="eastAsia"/>
                <w:sz w:val="24"/>
                <w:szCs w:val="24"/>
                <w:lang w:val="en-US" w:eastAsia="zh-CN"/>
              </w:rPr>
              <w:t xml:space="preserve">                         </w:t>
            </w:r>
            <w:r>
              <w:rPr>
                <w:sz w:val="24"/>
                <w:szCs w:val="24"/>
              </w:rPr>
              <w:sym w:font="Wingdings 2" w:char="00A3"/>
            </w:r>
            <w:r>
              <w:rPr>
                <w:sz w:val="24"/>
                <w:szCs w:val="24"/>
              </w:rPr>
              <w:t xml:space="preserve"> 其他 </w:t>
            </w:r>
            <w:r>
              <w:rPr>
                <w:rFonts w:hint="eastAsia"/>
                <w:sz w:val="24"/>
                <w:szCs w:val="24"/>
                <w:lang w:eastAsia="zh-CN"/>
              </w:rPr>
              <w:t>（</w:t>
            </w:r>
            <w:r>
              <w:rPr>
                <w:rFonts w:hint="eastAsia"/>
                <w:sz w:val="24"/>
                <w:szCs w:val="24"/>
                <w:lang w:val="en-US" w:eastAsia="zh-CN"/>
              </w:rPr>
              <w:t>线上调研）</w:t>
            </w:r>
          </w:p>
        </w:tc>
      </w:tr>
      <w:tr w14:paraId="7220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24" w:type="dxa"/>
            <w:tcMar>
              <w:top w:w="0" w:type="dxa"/>
              <w:left w:w="113" w:type="dxa"/>
              <w:bottom w:w="0" w:type="dxa"/>
              <w:right w:w="113" w:type="dxa"/>
            </w:tcMar>
            <w:vAlign w:val="center"/>
          </w:tcPr>
          <w:p w14:paraId="48FE3DEB">
            <w:pPr>
              <w:pStyle w:val="8"/>
              <w:spacing w:before="156" w:line="242" w:lineRule="auto"/>
              <w:ind w:left="107" w:right="71"/>
              <w:jc w:val="center"/>
              <w:rPr>
                <w:b w:val="0"/>
                <w:bCs w:val="0"/>
                <w:sz w:val="24"/>
                <w:szCs w:val="24"/>
              </w:rPr>
            </w:pPr>
            <w:r>
              <w:rPr>
                <w:b w:val="0"/>
                <w:bCs w:val="0"/>
                <w:sz w:val="24"/>
                <w:szCs w:val="24"/>
              </w:rPr>
              <w:t>参与单位名称</w:t>
            </w:r>
          </w:p>
        </w:tc>
        <w:tc>
          <w:tcPr>
            <w:tcW w:w="8220" w:type="dxa"/>
            <w:vAlign w:val="center"/>
          </w:tcPr>
          <w:p w14:paraId="1D525856">
            <w:pPr>
              <w:pStyle w:val="8"/>
              <w:spacing w:before="156" w:line="242" w:lineRule="auto"/>
              <w:ind w:right="-29"/>
              <w:jc w:val="both"/>
              <w:rPr>
                <w:rFonts w:hint="default"/>
                <w:sz w:val="24"/>
                <w:lang w:val="en-US" w:eastAsia="zh-CN"/>
              </w:rPr>
            </w:pPr>
            <w:r>
              <w:rPr>
                <w:rFonts w:hint="eastAsia"/>
                <w:sz w:val="24"/>
                <w:lang w:val="en-US" w:eastAsia="zh-CN"/>
              </w:rPr>
              <w:t xml:space="preserve">   华富电子、信达澳亚基金、南方基金、梵星投资</w:t>
            </w:r>
          </w:p>
        </w:tc>
      </w:tr>
      <w:tr w14:paraId="139FA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21BBEB87">
            <w:pPr>
              <w:pStyle w:val="8"/>
              <w:spacing w:before="170" w:line="289" w:lineRule="exact"/>
              <w:ind w:left="107"/>
              <w:jc w:val="center"/>
              <w:rPr>
                <w:b w:val="0"/>
                <w:bCs w:val="0"/>
                <w:sz w:val="24"/>
                <w:szCs w:val="24"/>
              </w:rPr>
            </w:pPr>
            <w:r>
              <w:rPr>
                <w:b w:val="0"/>
                <w:bCs w:val="0"/>
                <w:sz w:val="24"/>
                <w:szCs w:val="24"/>
              </w:rPr>
              <w:t>时间</w:t>
            </w:r>
          </w:p>
        </w:tc>
        <w:tc>
          <w:tcPr>
            <w:tcW w:w="8220" w:type="dxa"/>
            <w:vAlign w:val="center"/>
          </w:tcPr>
          <w:p w14:paraId="075846D8">
            <w:pPr>
              <w:pStyle w:val="8"/>
              <w:spacing w:before="170" w:line="289" w:lineRule="exact"/>
              <w:jc w:val="both"/>
              <w:rPr>
                <w:rFonts w:hint="default" w:eastAsia="宋体"/>
                <w:sz w:val="24"/>
                <w:lang w:val="en-US" w:eastAsia="zh-CN"/>
              </w:rPr>
            </w:pPr>
            <w:r>
              <w:rPr>
                <w:rFonts w:hint="eastAsia"/>
                <w:sz w:val="24"/>
                <w:lang w:val="en-US" w:eastAsia="zh-CN"/>
              </w:rPr>
              <w:t>2025</w:t>
            </w:r>
            <w:r>
              <w:rPr>
                <w:sz w:val="24"/>
              </w:rPr>
              <w:t>年</w:t>
            </w:r>
            <w:r>
              <w:rPr>
                <w:rFonts w:hint="eastAsia"/>
                <w:sz w:val="24"/>
                <w:lang w:val="en-US" w:eastAsia="zh-CN"/>
              </w:rPr>
              <w:t>5</w:t>
            </w:r>
            <w:r>
              <w:rPr>
                <w:sz w:val="24"/>
              </w:rPr>
              <w:t>月</w:t>
            </w:r>
            <w:r>
              <w:rPr>
                <w:rFonts w:hint="eastAsia"/>
                <w:sz w:val="24"/>
                <w:lang w:val="en-US" w:eastAsia="zh-CN"/>
              </w:rPr>
              <w:t>6日</w:t>
            </w:r>
          </w:p>
        </w:tc>
      </w:tr>
      <w:tr w14:paraId="77F4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39EB5C8F">
            <w:pPr>
              <w:pStyle w:val="8"/>
              <w:spacing w:before="170" w:line="289" w:lineRule="exact"/>
              <w:ind w:left="107"/>
              <w:jc w:val="center"/>
              <w:rPr>
                <w:b w:val="0"/>
                <w:bCs w:val="0"/>
                <w:sz w:val="24"/>
                <w:szCs w:val="24"/>
              </w:rPr>
            </w:pPr>
            <w:r>
              <w:rPr>
                <w:b w:val="0"/>
                <w:bCs w:val="0"/>
                <w:sz w:val="24"/>
                <w:szCs w:val="24"/>
              </w:rPr>
              <w:t>地点</w:t>
            </w:r>
          </w:p>
        </w:tc>
        <w:tc>
          <w:tcPr>
            <w:tcW w:w="8220" w:type="dxa"/>
            <w:vAlign w:val="center"/>
          </w:tcPr>
          <w:p w14:paraId="53186284">
            <w:pPr>
              <w:pStyle w:val="8"/>
              <w:spacing w:before="170" w:line="289" w:lineRule="exact"/>
              <w:jc w:val="both"/>
              <w:rPr>
                <w:rFonts w:hint="default" w:eastAsia="宋体"/>
                <w:sz w:val="24"/>
                <w:lang w:val="en-US" w:eastAsia="zh-CN"/>
              </w:rPr>
            </w:pPr>
            <w:r>
              <w:rPr>
                <w:rFonts w:hint="eastAsia"/>
                <w:sz w:val="24"/>
                <w:lang w:val="en-US" w:eastAsia="zh-CN"/>
              </w:rPr>
              <w:t>深圳</w:t>
            </w:r>
          </w:p>
        </w:tc>
      </w:tr>
      <w:tr w14:paraId="2CDE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28421AAF">
            <w:pPr>
              <w:pStyle w:val="8"/>
              <w:spacing w:before="60" w:line="242" w:lineRule="auto"/>
              <w:ind w:left="107" w:right="72"/>
              <w:jc w:val="center"/>
              <w:rPr>
                <w:b w:val="0"/>
                <w:bCs w:val="0"/>
                <w:sz w:val="24"/>
                <w:szCs w:val="24"/>
              </w:rPr>
            </w:pPr>
            <w:r>
              <w:rPr>
                <w:b w:val="0"/>
                <w:bCs w:val="0"/>
                <w:sz w:val="24"/>
                <w:szCs w:val="24"/>
              </w:rPr>
              <w:t>上市公司接待人员姓名</w:t>
            </w:r>
          </w:p>
        </w:tc>
        <w:tc>
          <w:tcPr>
            <w:tcW w:w="8220" w:type="dxa"/>
            <w:vAlign w:val="center"/>
          </w:tcPr>
          <w:p w14:paraId="0EB18801">
            <w:pPr>
              <w:pStyle w:val="8"/>
              <w:spacing w:before="170"/>
              <w:jc w:val="both"/>
              <w:rPr>
                <w:rFonts w:hint="default"/>
                <w:sz w:val="24"/>
                <w:lang w:val="en-US" w:eastAsia="zh-CN"/>
              </w:rPr>
            </w:pPr>
            <w:r>
              <w:rPr>
                <w:rFonts w:hint="eastAsia"/>
                <w:sz w:val="24"/>
                <w:lang w:val="en-US" w:eastAsia="zh-CN"/>
              </w:rPr>
              <w:t>董事会秘书、财务总监：吴新元</w:t>
            </w:r>
          </w:p>
        </w:tc>
      </w:tr>
      <w:tr w14:paraId="421F5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17AA6BEC">
            <w:pPr>
              <w:pStyle w:val="8"/>
              <w:spacing w:before="60" w:line="242" w:lineRule="auto"/>
              <w:ind w:left="107" w:right="72"/>
              <w:jc w:val="center"/>
              <w:rPr>
                <w:b w:val="0"/>
                <w:bCs w:val="0"/>
                <w:sz w:val="24"/>
                <w:szCs w:val="24"/>
              </w:rPr>
            </w:pPr>
            <w:r>
              <w:rPr>
                <w:rFonts w:hint="eastAsia"/>
                <w:b w:val="0"/>
                <w:bCs w:val="0"/>
                <w:sz w:val="24"/>
                <w:szCs w:val="24"/>
              </w:rPr>
              <w:t>投资者关系活动主要内容介绍</w:t>
            </w:r>
          </w:p>
        </w:tc>
        <w:tc>
          <w:tcPr>
            <w:tcW w:w="8220" w:type="dxa"/>
            <w:tcMar>
              <w:top w:w="170" w:type="dxa"/>
              <w:left w:w="170" w:type="dxa"/>
              <w:bottom w:w="170" w:type="dxa"/>
              <w:right w:w="170" w:type="dxa"/>
            </w:tcMar>
            <w:vAlign w:val="center"/>
          </w:tcPr>
          <w:p w14:paraId="0001DE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交流问答</w:t>
            </w:r>
          </w:p>
          <w:p w14:paraId="588650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1.25年一季度基本情况？</w:t>
            </w:r>
          </w:p>
          <w:p w14:paraId="3107FA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答：25年一季度营收同比小幅增长，毛利率大幅提升，净利润同比增长。营收结构来看，工业控制、汽车电子占比持续增加。</w:t>
            </w:r>
          </w:p>
          <w:p w14:paraId="6DA6585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毛利润大幅提升的原因？</w:t>
            </w:r>
          </w:p>
          <w:p w14:paraId="4E48C2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答：毛利润大幅提升大致两方面原因：一是公司晶圆采购价格下降，历史高价库存晶圆的有效消耗以及新入库产品摊薄在销产品成本；二是新产品持续迭代，采取新工艺、新技术的新产品降低了产品成本。</w:t>
            </w:r>
          </w:p>
          <w:p w14:paraId="4DC832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公司无刷电机驱动控制芯片业务状况？</w:t>
            </w:r>
          </w:p>
          <w:p w14:paraId="57CA2E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答：无刷电机驱动控制芯片业务增长比较明显，无论从目前的订单数量还是客户结构来看，这种增长有望持续。</w:t>
            </w:r>
          </w:p>
          <w:p w14:paraId="4832E41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公司无刷电机驱动控制芯片有供给机器人领域吗？</w:t>
            </w:r>
          </w:p>
          <w:p w14:paraId="1A2D9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答：无涮电机驱动控制芯片应用非常广泛，已有批量应用于机器人领域，包括人形机器人的关节驱动控制方面。</w:t>
            </w:r>
          </w:p>
          <w:p w14:paraId="30551D0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公司车规级芯片业务情况？</w:t>
            </w:r>
          </w:p>
          <w:p w14:paraId="512A6E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答：通过近几年的产品研发和推广，公司车规级芯片合作客户越来越多，多家厂商多种车型的需求都开始持续放量。</w:t>
            </w:r>
          </w:p>
          <w:p w14:paraId="64D2A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6.公司未来产品价格和毛利率变化情况？</w:t>
            </w:r>
          </w:p>
          <w:p w14:paraId="358C41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答：目前公司产品价格基本稳定，产品毛利率还会提升。公司对于毛利率的政策，希望把毛利率控制在有利于营收规模快速增长的一个相对合理范围内。</w:t>
            </w:r>
          </w:p>
          <w:p w14:paraId="39D3D3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7.公司及下游客户库存情况？</w:t>
            </w:r>
          </w:p>
          <w:p w14:paraId="1667D2B6">
            <w:pPr>
              <w:pStyle w:val="8"/>
              <w:numPr>
                <w:ilvl w:val="0"/>
                <w:numId w:val="0"/>
              </w:numPr>
              <w:spacing w:before="170" w:line="360" w:lineRule="auto"/>
              <w:ind w:right="0" w:rightChars="0" w:firstLine="480" w:firstLineChars="200"/>
              <w:jc w:val="both"/>
              <w:rPr>
                <w:rFonts w:hint="default" w:cs="宋体"/>
                <w:b w:val="0"/>
                <w:bCs w:val="0"/>
                <w:sz w:val="24"/>
                <w:szCs w:val="24"/>
                <w:lang w:val="en-US" w:eastAsia="zh-CN" w:bidi="zh-CN"/>
              </w:rPr>
            </w:pPr>
            <w:r>
              <w:rPr>
                <w:rFonts w:hint="eastAsia" w:cs="宋体"/>
                <w:b w:val="0"/>
                <w:bCs w:val="0"/>
                <w:sz w:val="24"/>
                <w:szCs w:val="24"/>
                <w:lang w:val="en-US" w:eastAsia="zh-CN" w:bidi="zh-CN"/>
              </w:rPr>
              <w:t>答：23年下半年以来，公司通过控制采购量和加大出货量，库存水位一直处于持续下降之中；公司的下游客户，无论是代理商还是终端客户，他们的库存水位通常均不高。</w:t>
            </w:r>
          </w:p>
        </w:tc>
      </w:tr>
    </w:tbl>
    <w:p w14:paraId="4E79A505">
      <w:pPr>
        <w:spacing w:before="23"/>
        <w:ind w:right="0"/>
        <w:jc w:val="left"/>
        <w:rPr>
          <w:sz w:val="21"/>
        </w:rPr>
      </w:pPr>
    </w:p>
    <w:sectPr>
      <w:pgSz w:w="11910" w:h="16840"/>
      <w:pgMar w:top="1417" w:right="1134" w:bottom="1417" w:left="1134"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93B56"/>
    <w:multiLevelType w:val="singleLevel"/>
    <w:tmpl w:val="4C193B5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DY5ZWU5ZTU1NWY2ODBmOTlkNmNjYWI5MGJjNTAifQ=="/>
  </w:docVars>
  <w:rsids>
    <w:rsidRoot w:val="00000000"/>
    <w:rsid w:val="00FD233D"/>
    <w:rsid w:val="034E33FD"/>
    <w:rsid w:val="049B5140"/>
    <w:rsid w:val="062260D2"/>
    <w:rsid w:val="06B7310D"/>
    <w:rsid w:val="0BCE5827"/>
    <w:rsid w:val="0DDA5BAA"/>
    <w:rsid w:val="0E561013"/>
    <w:rsid w:val="0E842633"/>
    <w:rsid w:val="103109BE"/>
    <w:rsid w:val="1047628F"/>
    <w:rsid w:val="10CC52F7"/>
    <w:rsid w:val="140D0007"/>
    <w:rsid w:val="144018FC"/>
    <w:rsid w:val="1BA42A8E"/>
    <w:rsid w:val="1E491273"/>
    <w:rsid w:val="1E6B5B60"/>
    <w:rsid w:val="1F0D324E"/>
    <w:rsid w:val="204505AD"/>
    <w:rsid w:val="20E85DAE"/>
    <w:rsid w:val="23EE6D8C"/>
    <w:rsid w:val="24E24D18"/>
    <w:rsid w:val="24EC5A02"/>
    <w:rsid w:val="26CB631A"/>
    <w:rsid w:val="275135B6"/>
    <w:rsid w:val="28064645"/>
    <w:rsid w:val="296C29CE"/>
    <w:rsid w:val="2D600F4C"/>
    <w:rsid w:val="2E567099"/>
    <w:rsid w:val="2ED94800"/>
    <w:rsid w:val="302C44F1"/>
    <w:rsid w:val="32954240"/>
    <w:rsid w:val="337066A2"/>
    <w:rsid w:val="33CF2630"/>
    <w:rsid w:val="36CF10AF"/>
    <w:rsid w:val="37B625EF"/>
    <w:rsid w:val="380A05F1"/>
    <w:rsid w:val="39F5707E"/>
    <w:rsid w:val="3A0A3E69"/>
    <w:rsid w:val="3B073DC4"/>
    <w:rsid w:val="3CC11A84"/>
    <w:rsid w:val="402D334F"/>
    <w:rsid w:val="417A669A"/>
    <w:rsid w:val="42417305"/>
    <w:rsid w:val="437368FD"/>
    <w:rsid w:val="44E37ACA"/>
    <w:rsid w:val="46DB063D"/>
    <w:rsid w:val="4F3A3B86"/>
    <w:rsid w:val="51CD61A5"/>
    <w:rsid w:val="58B36C53"/>
    <w:rsid w:val="58B91A1A"/>
    <w:rsid w:val="5E056C86"/>
    <w:rsid w:val="61AB2679"/>
    <w:rsid w:val="64360FA4"/>
    <w:rsid w:val="645218B2"/>
    <w:rsid w:val="64E10284"/>
    <w:rsid w:val="65864EAB"/>
    <w:rsid w:val="65AC0BA1"/>
    <w:rsid w:val="684E7F52"/>
    <w:rsid w:val="6860573C"/>
    <w:rsid w:val="69007D35"/>
    <w:rsid w:val="6A8F2D01"/>
    <w:rsid w:val="6AA221E0"/>
    <w:rsid w:val="6AFE35FB"/>
    <w:rsid w:val="6BF33738"/>
    <w:rsid w:val="6C060AF4"/>
    <w:rsid w:val="6E5114E1"/>
    <w:rsid w:val="6F441EB0"/>
    <w:rsid w:val="6F8659FF"/>
    <w:rsid w:val="70852816"/>
    <w:rsid w:val="73187DD2"/>
    <w:rsid w:val="78471C35"/>
    <w:rsid w:val="79213DD0"/>
    <w:rsid w:val="7A117945"/>
    <w:rsid w:val="7BC17493"/>
    <w:rsid w:val="7D2045FF"/>
    <w:rsid w:val="7E652935"/>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6"/>
    </w:pPr>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autoRedefine/>
    <w:qFormat/>
    <w:uiPriority w:val="1"/>
    <w:pPr>
      <w:ind w:left="108"/>
    </w:pPr>
    <w:rPr>
      <w:rFonts w:ascii="宋体" w:hAnsi="宋体" w:eastAsia="宋体" w:cs="宋体"/>
      <w:lang w:val="zh-CN" w:eastAsia="zh-CN" w:bidi="zh-CN"/>
    </w:rPr>
  </w:style>
  <w:style w:type="paragraph" w:customStyle="1" w:styleId="9">
    <w:name w:val="12"/>
    <w:autoRedefine/>
    <w:qFormat/>
    <w:uiPriority w:val="0"/>
    <w:pPr>
      <w:widowControl w:val="0"/>
      <w:jc w:val="both"/>
    </w:pPr>
    <w:rPr>
      <w:rFonts w:ascii="Calibri" w:hAnsi="Calibri" w:eastAsia="宋体" w:cs="Times New Roman"/>
      <w:kern w:val="2"/>
      <w:lang w:val="en-US" w:eastAsia="zh-CN" w:bidi="ar-SA"/>
    </w:rPr>
  </w:style>
  <w:style w:type="paragraph" w:customStyle="1" w:styleId="10">
    <w:name w:val="正文5"/>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720</Words>
  <Characters>741</Characters>
  <TotalTime>38</TotalTime>
  <ScaleCrop>false</ScaleCrop>
  <LinksUpToDate>false</LinksUpToDate>
  <CharactersWithSpaces>957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2022-08-11T01:07:00Z</dcterms:created>
  <dc:creator>XIONG</dc:creator>
  <cp:lastModifiedBy>Zhaoyj</cp:lastModifiedBy>
  <cp:lastPrinted>2022-09-29T09:35:00Z</cp:lastPrinted>
  <dcterms:modified xsi:type="dcterms:W3CDTF">2025-05-07T05:37:17Z</dcterms:modified>
  <dc:title>证券代码：300327                      证券简称：中颖电子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2010</vt:lpwstr>
  </property>
  <property fmtid="{D5CDD505-2E9C-101B-9397-08002B2CF9AE}" pid="4" name="LastSaved">
    <vt:filetime>2022-08-11T00:00:00Z</vt:filetime>
  </property>
  <property fmtid="{D5CDD505-2E9C-101B-9397-08002B2CF9AE}" pid="5" name="KSOProductBuildVer">
    <vt:lpwstr>2052-12.1.0.20784</vt:lpwstr>
  </property>
  <property fmtid="{D5CDD505-2E9C-101B-9397-08002B2CF9AE}" pid="6" name="ICV">
    <vt:lpwstr>6A1E485C496248409F5FE879374101AC_13</vt:lpwstr>
  </property>
  <property fmtid="{D5CDD505-2E9C-101B-9397-08002B2CF9AE}" pid="7" name="KSOTemplateDocerSaveRecord">
    <vt:lpwstr>eyJoZGlkIjoiZTQ4ODQwNThiYTg4YTBlNDhkZDRmNGNiNWM5NWE1YzAiLCJ1c2VySWQiOiIyNDk3MTA2NDYifQ==</vt:lpwstr>
  </property>
</Properties>
</file>