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CFEEB">
      <w:pPr>
        <w:rPr>
          <w:rFonts w:ascii="Times New Roman" w:hAnsi="Times New Roman" w:eastAsia="宋体" w:cs="Times New Roman"/>
          <w:b/>
          <w:iCs/>
          <w:color w:val="000000"/>
          <w:sz w:val="24"/>
          <w:szCs w:val="24"/>
        </w:rPr>
      </w:pPr>
      <w:r>
        <w:rPr>
          <w:rFonts w:hint="eastAsia" w:ascii="Times New Roman" w:hAnsi="Times New Roman" w:eastAsia="宋体" w:cs="Times New Roman"/>
          <w:b/>
          <w:iCs/>
          <w:color w:val="000000"/>
          <w:sz w:val="24"/>
          <w:szCs w:val="24"/>
        </w:rPr>
        <w:t>证券代码：688307                                   证券简称：中润光学</w:t>
      </w:r>
    </w:p>
    <w:p w14:paraId="16FC6C91">
      <w:pPr>
        <w:spacing w:before="156" w:beforeLines="50" w:after="156" w:afterLines="50" w:line="400" w:lineRule="exact"/>
        <w:jc w:val="center"/>
        <w:rPr>
          <w:rFonts w:ascii="Times New Roman" w:hAnsi="Times New Roman" w:eastAsia="宋体" w:cs="Times New Roman"/>
          <w:b/>
          <w:bCs/>
          <w:iCs/>
          <w:color w:val="000000"/>
          <w:sz w:val="32"/>
          <w:szCs w:val="32"/>
        </w:rPr>
      </w:pPr>
    </w:p>
    <w:p w14:paraId="6CDDBF6E">
      <w:pPr>
        <w:spacing w:before="156" w:beforeLines="50" w:after="156" w:afterLines="50" w:line="400" w:lineRule="exact"/>
        <w:jc w:val="center"/>
        <w:rPr>
          <w:rFonts w:ascii="Times New Roman" w:hAnsi="Times New Roman" w:eastAsia="宋体" w:cs="Times New Roman"/>
          <w:b/>
          <w:bCs/>
          <w:iCs/>
          <w:color w:val="000000"/>
          <w:sz w:val="32"/>
          <w:szCs w:val="32"/>
        </w:rPr>
      </w:pPr>
      <w:r>
        <w:rPr>
          <w:rFonts w:hint="eastAsia" w:ascii="Times New Roman" w:hAnsi="Times New Roman" w:eastAsia="宋体" w:cs="Times New Roman"/>
          <w:b/>
          <w:bCs/>
          <w:iCs/>
          <w:color w:val="000000"/>
          <w:sz w:val="32"/>
          <w:szCs w:val="32"/>
        </w:rPr>
        <w:t>嘉兴中润光学科技股份有限公司</w:t>
      </w:r>
    </w:p>
    <w:p w14:paraId="1205C71D">
      <w:pPr>
        <w:spacing w:before="156" w:beforeLines="50" w:after="156" w:afterLines="50" w:line="400" w:lineRule="exact"/>
        <w:jc w:val="center"/>
        <w:rPr>
          <w:rFonts w:ascii="Times New Roman" w:hAnsi="Times New Roman" w:eastAsia="宋体" w:cs="Times New Roman"/>
          <w:b/>
          <w:bCs/>
          <w:iCs/>
          <w:color w:val="000000"/>
          <w:sz w:val="32"/>
          <w:szCs w:val="32"/>
        </w:rPr>
      </w:pPr>
      <w:r>
        <w:rPr>
          <w:rFonts w:hint="eastAsia" w:ascii="Times New Roman" w:hAnsi="Times New Roman" w:eastAsia="宋体" w:cs="Times New Roman"/>
          <w:b/>
          <w:bCs/>
          <w:iCs/>
          <w:color w:val="000000"/>
          <w:sz w:val="32"/>
          <w:szCs w:val="32"/>
        </w:rPr>
        <w:t>投资者关系活动记录表</w:t>
      </w:r>
    </w:p>
    <w:p w14:paraId="02B46999">
      <w:pPr>
        <w:spacing w:line="400" w:lineRule="exact"/>
        <w:rPr>
          <w:rFonts w:hint="eastAsia" w:ascii="Times New Roman" w:hAnsi="Times New Roman" w:eastAsia="宋体" w:cstheme="minorEastAsia"/>
          <w:bCs/>
          <w:iCs/>
          <w:color w:val="000000"/>
          <w:sz w:val="24"/>
          <w:szCs w:val="24"/>
          <w:lang w:val="en-US" w:eastAsia="zh-CN"/>
        </w:rPr>
      </w:pPr>
      <w:r>
        <w:rPr>
          <w:rFonts w:hint="eastAsia" w:ascii="Times New Roman" w:hAnsi="Times New Roman" w:eastAsia="宋体" w:cs="Times New Roman"/>
          <w:bCs/>
          <w:iCs/>
          <w:color w:val="000000"/>
          <w:sz w:val="24"/>
          <w:szCs w:val="24"/>
        </w:rPr>
        <w:t xml:space="preserve">     </w:t>
      </w:r>
      <w:r>
        <w:rPr>
          <w:rFonts w:hint="eastAsia" w:ascii="Times New Roman" w:hAnsi="Times New Roman" w:eastAsia="宋体" w:cstheme="minorEastAsia"/>
          <w:bCs/>
          <w:iCs/>
          <w:color w:val="000000"/>
          <w:szCs w:val="21"/>
        </w:rPr>
        <w:t xml:space="preserve">                                                          </w:t>
      </w:r>
      <w:r>
        <w:rPr>
          <w:rFonts w:hint="eastAsia" w:ascii="Times New Roman" w:hAnsi="Times New Roman" w:eastAsia="宋体" w:cstheme="minorEastAsia"/>
          <w:bCs/>
          <w:iCs/>
          <w:color w:val="000000"/>
          <w:sz w:val="24"/>
          <w:szCs w:val="24"/>
        </w:rPr>
        <w:t>编号：202</w:t>
      </w:r>
      <w:r>
        <w:rPr>
          <w:rFonts w:ascii="Times New Roman" w:hAnsi="Times New Roman" w:eastAsia="宋体" w:cstheme="minorEastAsia"/>
          <w:bCs/>
          <w:iCs/>
          <w:color w:val="000000"/>
          <w:sz w:val="24"/>
          <w:szCs w:val="24"/>
        </w:rPr>
        <w:t>5</w:t>
      </w:r>
      <w:r>
        <w:rPr>
          <w:rFonts w:hint="eastAsia" w:ascii="Times New Roman" w:hAnsi="Times New Roman" w:eastAsia="宋体" w:cstheme="minorEastAsia"/>
          <w:bCs/>
          <w:iCs/>
          <w:color w:val="000000"/>
          <w:sz w:val="24"/>
          <w:szCs w:val="24"/>
        </w:rPr>
        <w:t>-00</w:t>
      </w:r>
      <w:r>
        <w:rPr>
          <w:rFonts w:hint="eastAsia" w:ascii="Times New Roman" w:hAnsi="Times New Roman" w:eastAsia="宋体" w:cstheme="minorEastAsia"/>
          <w:bCs/>
          <w:iCs/>
          <w:color w:val="000000"/>
          <w:sz w:val="24"/>
          <w:szCs w:val="24"/>
          <w:lang w:val="en-US" w:eastAsia="zh-CN"/>
        </w:rPr>
        <w:t>4</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9"/>
      </w:tblGrid>
      <w:tr w14:paraId="1854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5E43BFB0">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投资者关系</w:t>
            </w:r>
          </w:p>
          <w:p w14:paraId="681DAA1D">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活动类别</w:t>
            </w:r>
          </w:p>
          <w:p w14:paraId="55140FF2">
            <w:pPr>
              <w:rPr>
                <w:rFonts w:ascii="Times New Roman" w:hAnsi="Times New Roman" w:eastAsia="宋体" w:cstheme="minorEastAsia"/>
                <w:bCs/>
                <w:iCs/>
                <w:color w:val="000000"/>
                <w:kern w:val="0"/>
                <w:szCs w:val="21"/>
              </w:rPr>
            </w:pPr>
          </w:p>
        </w:tc>
        <w:tc>
          <w:tcPr>
            <w:tcW w:w="6819" w:type="dxa"/>
            <w:tcBorders>
              <w:top w:val="single" w:color="auto" w:sz="4" w:space="0"/>
              <w:left w:val="single" w:color="auto" w:sz="4" w:space="0"/>
              <w:bottom w:val="single" w:color="auto" w:sz="4" w:space="0"/>
              <w:right w:val="single" w:color="auto" w:sz="4" w:space="0"/>
            </w:tcBorders>
            <w:vAlign w:val="center"/>
          </w:tcPr>
          <w:p w14:paraId="7DB4A8F4">
            <w:pPr>
              <w:spacing w:line="480" w:lineRule="atLeast"/>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sym w:font="Wingdings 2" w:char="00A3"/>
            </w:r>
            <w:r>
              <w:rPr>
                <w:rFonts w:hint="eastAsia" w:ascii="Times New Roman" w:hAnsi="Times New Roman" w:eastAsia="宋体" w:cstheme="minorEastAsia"/>
                <w:kern w:val="0"/>
                <w:szCs w:val="21"/>
              </w:rPr>
              <w:t xml:space="preserve">特定对象调研        </w:t>
            </w: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分析师会议</w:t>
            </w:r>
          </w:p>
          <w:p w14:paraId="16C28404">
            <w:pPr>
              <w:spacing w:line="480" w:lineRule="atLeast"/>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 xml:space="preserve">媒体采访            </w:t>
            </w:r>
            <w:r>
              <w:rPr>
                <w:rFonts w:hint="eastAsia" w:ascii="Times New Roman" w:hAnsi="Times New Roman" w:eastAsia="宋体" w:cstheme="minorEastAsia"/>
                <w:bCs/>
                <w:iCs/>
                <w:color w:val="000000"/>
                <w:kern w:val="0"/>
                <w:szCs w:val="21"/>
                <w:lang w:eastAsia="zh-CN"/>
              </w:rPr>
              <w:t>☑</w:t>
            </w:r>
            <w:r>
              <w:rPr>
                <w:rFonts w:hint="eastAsia" w:ascii="Times New Roman" w:hAnsi="Times New Roman" w:eastAsia="宋体" w:cstheme="minorEastAsia"/>
                <w:kern w:val="0"/>
                <w:szCs w:val="21"/>
              </w:rPr>
              <w:t>业绩说明会</w:t>
            </w:r>
          </w:p>
          <w:p w14:paraId="3F4F4C2B">
            <w:pPr>
              <w:spacing w:line="480" w:lineRule="atLeast"/>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 xml:space="preserve">新闻发布会          </w:t>
            </w:r>
            <w:r>
              <w:rPr>
                <w:rFonts w:ascii="Segoe UI Symbol" w:hAnsi="Segoe UI Symbol" w:eastAsia="宋体" w:cs="Segoe UI Symbol"/>
                <w:kern w:val="0"/>
                <w:szCs w:val="21"/>
              </w:rPr>
              <w:t>☐</w:t>
            </w:r>
            <w:r>
              <w:rPr>
                <w:rFonts w:hint="eastAsia" w:ascii="Times New Roman" w:hAnsi="Times New Roman" w:eastAsia="宋体" w:cstheme="minorEastAsia"/>
                <w:kern w:val="0"/>
                <w:szCs w:val="21"/>
              </w:rPr>
              <w:t>路演活动</w:t>
            </w:r>
          </w:p>
          <w:p w14:paraId="6029E8BB">
            <w:pPr>
              <w:tabs>
                <w:tab w:val="left" w:pos="3045"/>
                <w:tab w:val="center" w:pos="3199"/>
              </w:tabs>
              <w:spacing w:line="480" w:lineRule="atLeast"/>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现场参观</w:t>
            </w:r>
            <w:r>
              <w:rPr>
                <w:rFonts w:hint="eastAsia" w:ascii="Times New Roman" w:hAnsi="Times New Roman" w:eastAsia="宋体" w:cstheme="minorEastAsia"/>
                <w:bCs/>
                <w:iCs/>
                <w:color w:val="000000"/>
                <w:kern w:val="0"/>
                <w:szCs w:val="21"/>
              </w:rPr>
              <w:tab/>
            </w:r>
          </w:p>
          <w:p w14:paraId="42D24957">
            <w:pPr>
              <w:tabs>
                <w:tab w:val="center" w:pos="3199"/>
              </w:tabs>
              <w:spacing w:line="480" w:lineRule="atLeast"/>
              <w:rPr>
                <w:rFonts w:ascii="Times New Roman" w:hAnsi="Times New Roman" w:eastAsia="宋体" w:cstheme="minorEastAsia"/>
                <w:bCs/>
                <w:iCs/>
                <w:color w:val="000000"/>
                <w:kern w:val="0"/>
                <w:szCs w:val="21"/>
              </w:rPr>
            </w:pPr>
            <w:r>
              <w:rPr>
                <w:rFonts w:hint="eastAsia" w:ascii="Segoe UI Symbol" w:hAnsi="Segoe UI Symbol" w:eastAsia="宋体" w:cs="Segoe UI Symbol"/>
                <w:kern w:val="0"/>
                <w:szCs w:val="21"/>
                <w:lang w:eastAsia="zh-CN"/>
              </w:rPr>
              <w:t>□</w:t>
            </w:r>
            <w:r>
              <w:rPr>
                <w:rFonts w:hint="eastAsia" w:ascii="Times New Roman" w:hAnsi="Times New Roman" w:eastAsia="宋体" w:cstheme="minorEastAsia"/>
                <w:kern w:val="0"/>
                <w:szCs w:val="21"/>
              </w:rPr>
              <w:t>其他 （电话会议）</w:t>
            </w:r>
          </w:p>
        </w:tc>
      </w:tr>
      <w:tr w14:paraId="10A9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7A264459">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参与单位</w:t>
            </w:r>
          </w:p>
          <w:p w14:paraId="29190D4F">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名称</w:t>
            </w:r>
          </w:p>
        </w:tc>
        <w:tc>
          <w:tcPr>
            <w:tcW w:w="6819" w:type="dxa"/>
            <w:tcBorders>
              <w:top w:val="single" w:color="auto" w:sz="4" w:space="0"/>
              <w:left w:val="single" w:color="auto" w:sz="4" w:space="0"/>
              <w:bottom w:val="single" w:color="auto" w:sz="4" w:space="0"/>
              <w:right w:val="single" w:color="auto" w:sz="4" w:space="0"/>
            </w:tcBorders>
            <w:vAlign w:val="center"/>
          </w:tcPr>
          <w:p w14:paraId="412056A8">
            <w:pPr>
              <w:spacing w:line="360" w:lineRule="auto"/>
              <w:rPr>
                <w:rFonts w:hint="default" w:ascii="Times New Roman" w:hAnsi="Times New Roman" w:eastAsia="宋体" w:cstheme="minorEastAsia"/>
                <w:bCs/>
                <w:iCs/>
                <w:color w:val="000000"/>
                <w:kern w:val="0"/>
                <w:szCs w:val="21"/>
                <w:lang w:val="en-US" w:eastAsia="zh-CN"/>
              </w:rPr>
            </w:pPr>
            <w:r>
              <w:rPr>
                <w:rFonts w:hint="eastAsia" w:ascii="Times New Roman" w:hAnsi="Times New Roman" w:eastAsia="宋体" w:cstheme="minorEastAsia"/>
                <w:bCs/>
                <w:iCs/>
                <w:color w:val="000000"/>
                <w:kern w:val="0"/>
                <w:szCs w:val="21"/>
              </w:rPr>
              <w:t>全体通过上证路演中心网络互动平台参与公司202</w:t>
            </w:r>
            <w:r>
              <w:rPr>
                <w:rFonts w:hint="eastAsia" w:ascii="Times New Roman" w:hAnsi="Times New Roman" w:eastAsia="宋体" w:cstheme="minorEastAsia"/>
                <w:bCs/>
                <w:iCs/>
                <w:color w:val="000000"/>
                <w:kern w:val="0"/>
                <w:szCs w:val="21"/>
                <w:lang w:val="en-US" w:eastAsia="zh-CN"/>
              </w:rPr>
              <w:t>5年第一季度</w:t>
            </w:r>
            <w:r>
              <w:rPr>
                <w:rFonts w:hint="eastAsia" w:ascii="Times New Roman" w:hAnsi="Times New Roman" w:eastAsia="宋体" w:cstheme="minorEastAsia"/>
                <w:bCs/>
                <w:iCs/>
                <w:color w:val="000000"/>
                <w:kern w:val="0"/>
                <w:szCs w:val="21"/>
              </w:rPr>
              <w:t>业绩说明会的投资者</w:t>
            </w:r>
          </w:p>
        </w:tc>
      </w:tr>
      <w:tr w14:paraId="362C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48D80FC7">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时间</w:t>
            </w:r>
          </w:p>
        </w:tc>
        <w:tc>
          <w:tcPr>
            <w:tcW w:w="6819" w:type="dxa"/>
            <w:tcBorders>
              <w:top w:val="single" w:color="auto" w:sz="4" w:space="0"/>
              <w:left w:val="single" w:color="auto" w:sz="4" w:space="0"/>
              <w:bottom w:val="single" w:color="auto" w:sz="4" w:space="0"/>
              <w:right w:val="single" w:color="auto" w:sz="4" w:space="0"/>
            </w:tcBorders>
            <w:vAlign w:val="center"/>
          </w:tcPr>
          <w:p w14:paraId="23E22833">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202</w:t>
            </w:r>
            <w:r>
              <w:rPr>
                <w:rFonts w:ascii="Times New Roman" w:hAnsi="Times New Roman" w:eastAsia="宋体" w:cstheme="minorEastAsia"/>
                <w:bCs/>
                <w:iCs/>
                <w:color w:val="000000"/>
                <w:kern w:val="0"/>
                <w:szCs w:val="21"/>
              </w:rPr>
              <w:t>5</w:t>
            </w:r>
            <w:r>
              <w:rPr>
                <w:rFonts w:hint="eastAsia" w:ascii="Times New Roman" w:hAnsi="Times New Roman" w:eastAsia="宋体" w:cstheme="minorEastAsia"/>
                <w:bCs/>
                <w:iCs/>
                <w:color w:val="000000"/>
                <w:kern w:val="0"/>
                <w:szCs w:val="21"/>
              </w:rPr>
              <w:t>年</w:t>
            </w:r>
            <w:r>
              <w:rPr>
                <w:rFonts w:hint="eastAsia" w:ascii="Times New Roman" w:hAnsi="Times New Roman" w:eastAsia="宋体" w:cstheme="minorEastAsia"/>
                <w:bCs/>
                <w:iCs/>
                <w:color w:val="000000"/>
                <w:kern w:val="0"/>
                <w:szCs w:val="21"/>
                <w:lang w:val="en-US" w:eastAsia="zh-CN"/>
              </w:rPr>
              <w:t>5</w:t>
            </w:r>
            <w:r>
              <w:rPr>
                <w:rFonts w:hint="eastAsia" w:ascii="Times New Roman" w:hAnsi="Times New Roman" w:eastAsia="宋体" w:cstheme="minorEastAsia"/>
                <w:bCs/>
                <w:iCs/>
                <w:color w:val="000000"/>
                <w:kern w:val="0"/>
                <w:szCs w:val="21"/>
              </w:rPr>
              <w:t>月</w:t>
            </w:r>
            <w:r>
              <w:rPr>
                <w:rFonts w:hint="eastAsia" w:ascii="Times New Roman" w:hAnsi="Times New Roman" w:eastAsia="宋体" w:cstheme="minorEastAsia"/>
                <w:bCs/>
                <w:iCs/>
                <w:color w:val="000000"/>
                <w:kern w:val="0"/>
                <w:szCs w:val="21"/>
                <w:lang w:val="en-US" w:eastAsia="zh-CN"/>
              </w:rPr>
              <w:t>7</w:t>
            </w:r>
            <w:r>
              <w:rPr>
                <w:rFonts w:hint="eastAsia" w:ascii="Times New Roman" w:hAnsi="Times New Roman" w:eastAsia="宋体" w:cstheme="minorEastAsia"/>
                <w:bCs/>
                <w:iCs/>
                <w:color w:val="000000"/>
                <w:kern w:val="0"/>
                <w:szCs w:val="21"/>
              </w:rPr>
              <w:t>日</w:t>
            </w:r>
          </w:p>
        </w:tc>
      </w:tr>
      <w:tr w14:paraId="2DBC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77012556">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地点</w:t>
            </w:r>
          </w:p>
        </w:tc>
        <w:tc>
          <w:tcPr>
            <w:tcW w:w="6819" w:type="dxa"/>
            <w:tcBorders>
              <w:top w:val="single" w:color="auto" w:sz="4" w:space="0"/>
              <w:left w:val="single" w:color="auto" w:sz="4" w:space="0"/>
              <w:bottom w:val="single" w:color="auto" w:sz="4" w:space="0"/>
              <w:right w:val="single" w:color="auto" w:sz="4" w:space="0"/>
            </w:tcBorders>
            <w:vAlign w:val="center"/>
          </w:tcPr>
          <w:p w14:paraId="02024FCE">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 w:val="21"/>
                <w:szCs w:val="21"/>
                <w:lang w:val="en-US" w:eastAsia="zh-CN"/>
              </w:rPr>
              <w:t>上证路演中心（网址：http://roadshow.sseinfo.com/）</w:t>
            </w:r>
          </w:p>
        </w:tc>
      </w:tr>
      <w:tr w14:paraId="0351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28043F09">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上市公司接待</w:t>
            </w:r>
          </w:p>
          <w:p w14:paraId="45F30626">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人员姓名</w:t>
            </w:r>
          </w:p>
        </w:tc>
        <w:tc>
          <w:tcPr>
            <w:tcW w:w="6819" w:type="dxa"/>
            <w:tcBorders>
              <w:top w:val="single" w:color="auto" w:sz="4" w:space="0"/>
              <w:left w:val="single" w:color="auto" w:sz="4" w:space="0"/>
              <w:bottom w:val="single" w:color="auto" w:sz="4" w:space="0"/>
              <w:right w:val="single" w:color="auto" w:sz="4" w:space="0"/>
            </w:tcBorders>
            <w:vAlign w:val="center"/>
          </w:tcPr>
          <w:p w14:paraId="4468CB9B">
            <w:pPr>
              <w:spacing w:line="360" w:lineRule="auto"/>
              <w:rPr>
                <w:rFonts w:hint="eastAsia"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董事长、总经理张平华先生</w:t>
            </w:r>
          </w:p>
          <w:p w14:paraId="355B6AB8">
            <w:pPr>
              <w:spacing w:line="360" w:lineRule="auto"/>
              <w:rPr>
                <w:rFonts w:hint="eastAsia"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董事会秘书、副总经理张杰先生</w:t>
            </w:r>
          </w:p>
          <w:p w14:paraId="6D20B933">
            <w:pPr>
              <w:spacing w:line="360" w:lineRule="auto"/>
              <w:rPr>
                <w:rFonts w:hint="eastAsia"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财务负责人曾素莹女士</w:t>
            </w:r>
          </w:p>
          <w:p w14:paraId="4F3E0E55">
            <w:pPr>
              <w:spacing w:line="360" w:lineRule="auto"/>
              <w:rPr>
                <w:rFonts w:hint="default" w:ascii="Times New Roman" w:hAnsi="Times New Roman" w:eastAsia="宋体" w:cstheme="minorEastAsia"/>
                <w:bCs/>
                <w:iCs/>
                <w:color w:val="000000"/>
                <w:kern w:val="0"/>
                <w:szCs w:val="21"/>
                <w:lang w:val="en-US" w:eastAsia="zh-CN"/>
              </w:rPr>
            </w:pPr>
            <w:r>
              <w:rPr>
                <w:rFonts w:hint="eastAsia" w:ascii="Times New Roman" w:hAnsi="Times New Roman" w:eastAsia="宋体" w:cstheme="minorEastAsia"/>
                <w:bCs/>
                <w:iCs/>
                <w:color w:val="000000"/>
                <w:kern w:val="0"/>
                <w:sz w:val="21"/>
                <w:szCs w:val="21"/>
                <w:lang w:val="en-US" w:eastAsia="zh-CN"/>
              </w:rPr>
              <w:t>独立董事朱朝晖女士</w:t>
            </w:r>
          </w:p>
        </w:tc>
      </w:tr>
      <w:tr w14:paraId="1654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67C7CEF5">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投资者关系活动主要内容介绍</w:t>
            </w:r>
          </w:p>
          <w:p w14:paraId="775B6DF6">
            <w:pPr>
              <w:spacing w:line="480" w:lineRule="atLeast"/>
              <w:rPr>
                <w:rFonts w:ascii="Times New Roman" w:hAnsi="Times New Roman" w:eastAsia="宋体" w:cstheme="minorEastAsia"/>
                <w:bCs/>
                <w:iCs/>
                <w:color w:val="000000"/>
                <w:kern w:val="0"/>
                <w:szCs w:val="21"/>
              </w:rPr>
            </w:pPr>
          </w:p>
        </w:tc>
        <w:tc>
          <w:tcPr>
            <w:tcW w:w="6819" w:type="dxa"/>
            <w:tcBorders>
              <w:top w:val="single" w:color="auto" w:sz="4" w:space="0"/>
              <w:left w:val="single" w:color="auto" w:sz="4" w:space="0"/>
              <w:bottom w:val="single" w:color="auto" w:sz="4" w:space="0"/>
              <w:right w:val="single" w:color="auto" w:sz="4" w:space="0"/>
            </w:tcBorders>
            <w:vAlign w:val="center"/>
          </w:tcPr>
          <w:p w14:paraId="3A7977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atLeast"/>
              <w:textAlignment w:val="auto"/>
              <w:rPr>
                <w:rFonts w:ascii="Times New Roman" w:hAnsi="Times New Roman" w:eastAsia="宋体" w:cstheme="minorEastAsia"/>
                <w:b/>
                <w:bCs/>
                <w:iCs/>
                <w:color w:val="000000"/>
                <w:kern w:val="0"/>
                <w:szCs w:val="21"/>
              </w:rPr>
            </w:pPr>
            <w:r>
              <w:rPr>
                <w:rFonts w:hint="eastAsia" w:ascii="Times New Roman" w:hAnsi="Times New Roman" w:eastAsia="宋体" w:cstheme="minorEastAsia"/>
                <w:b/>
                <w:bCs w:val="0"/>
                <w:iCs/>
                <w:color w:val="000000"/>
                <w:kern w:val="0"/>
                <w:sz w:val="21"/>
                <w:szCs w:val="21"/>
                <w:lang w:val="en-US" w:eastAsia="zh-CN"/>
              </w:rPr>
              <w:t>一、互动交流问答</w:t>
            </w:r>
          </w:p>
          <w:p w14:paraId="6A418860">
            <w:pPr>
              <w:pStyle w:val="14"/>
              <w:numPr>
                <w:ilvl w:val="0"/>
                <w:numId w:val="1"/>
              </w:numPr>
              <w:spacing w:before="156" w:beforeLines="50" w:after="156" w:afterLines="50"/>
              <w:ind w:firstLineChars="0"/>
              <w:rPr>
                <w:rFonts w:ascii="Times New Roman" w:hAnsi="Times New Roman" w:eastAsia="宋体" w:cstheme="minorEastAsia"/>
                <w:b/>
                <w:bCs/>
                <w:iCs/>
                <w:color w:val="000000"/>
                <w:kern w:val="0"/>
                <w:szCs w:val="21"/>
              </w:rPr>
            </w:pPr>
            <w:r>
              <w:rPr>
                <w:rFonts w:hint="eastAsia" w:ascii="Times New Roman" w:hAnsi="Times New Roman" w:eastAsia="宋体" w:cstheme="minorEastAsia"/>
                <w:b/>
                <w:bCs/>
                <w:iCs/>
                <w:color w:val="000000"/>
                <w:kern w:val="0"/>
                <w:szCs w:val="21"/>
              </w:rPr>
              <w:t>公司本期盈利水平如何？</w:t>
            </w:r>
          </w:p>
          <w:p w14:paraId="6F19BD83">
            <w:pPr>
              <w:spacing w:before="156" w:beforeLines="50" w:after="156" w:afterLines="50"/>
              <w:rPr>
                <w:rFonts w:hint="eastAsia" w:ascii="Times New Roman" w:hAnsi="Times New Roman" w:eastAsia="宋体" w:cstheme="minorEastAsia"/>
                <w:bCs/>
                <w:iCs/>
                <w:color w:val="000000"/>
                <w:kern w:val="0"/>
                <w:szCs w:val="21"/>
                <w:lang w:val="en-US" w:eastAsia="zh-CN"/>
              </w:rPr>
            </w:pPr>
            <w:r>
              <w:rPr>
                <w:rFonts w:hint="eastAsia" w:ascii="Times New Roman" w:hAnsi="Times New Roman" w:eastAsia="宋体" w:cstheme="minorEastAsia"/>
                <w:bCs/>
                <w:iCs/>
                <w:color w:val="000000"/>
                <w:kern w:val="0"/>
                <w:szCs w:val="21"/>
              </w:rPr>
              <w:t>答：2025年第一季度，公司实现营业收入1.12亿元，较上年同期上升41.17%；实现归属于上市公司股东的净利润1,029.61万元，较上年同期下降-7.14%，实现归属于上市公司股东的扣除非经常性损益的净利润952.76万元，较上年同期上升9.53%。报告期内，公司各领域产品销售收入均实现增长，其中智慧监控及感知领域同比增长约40.06%，主要为安防球机、IPC等产品线均快速增长；智能检测及识别领域同比增长约67.41%，主要为移动机器人等产品线增长迅速；视频通讯及交互领域同比增长约32.06%，主要为智能门铃、智能儿童手表等产品线实现量产或小批量产；高清拍摄及显示领域增长约101.84%，主要是投影显示产品线增长明显。报告期内，公司整体毛利率基本保持稳定；研发投入同比增长45.93%，主要为随着新客户和新领域不断开发，公司产品线和研发项目进一步增加，研发人员增长较快所致；归属于上市公司股东的净利润同比下降7.14%，主要为研发费用增长、股份支付费用增加、政府补助减少所致，合计影响其他收益、营业成本及各项费用金额约为750.00万元。</w:t>
            </w:r>
          </w:p>
          <w:p w14:paraId="54CFB77C">
            <w:pPr>
              <w:pStyle w:val="14"/>
              <w:numPr>
                <w:ilvl w:val="0"/>
                <w:numId w:val="1"/>
              </w:numPr>
              <w:spacing w:before="156" w:beforeLines="50" w:after="156" w:afterLines="50"/>
              <w:ind w:firstLineChars="0"/>
              <w:rPr>
                <w:rFonts w:ascii="Times New Roman" w:hAnsi="Times New Roman" w:eastAsia="宋体" w:cstheme="minorEastAsia"/>
                <w:b w:val="0"/>
                <w:bCs w:val="0"/>
                <w:iCs/>
                <w:color w:val="000000"/>
                <w:kern w:val="0"/>
                <w:szCs w:val="21"/>
              </w:rPr>
            </w:pPr>
            <w:r>
              <w:rPr>
                <w:rFonts w:hint="eastAsia" w:ascii="Times New Roman" w:hAnsi="Times New Roman" w:eastAsia="宋体" w:cstheme="minorEastAsia"/>
                <w:b/>
                <w:bCs/>
                <w:iCs/>
                <w:color w:val="000000"/>
                <w:kern w:val="0"/>
                <w:szCs w:val="21"/>
              </w:rPr>
              <w:t>公司之后的盈利有什么增长点？</w:t>
            </w:r>
          </w:p>
          <w:p w14:paraId="0CEB1A59">
            <w:pPr>
              <w:pStyle w:val="14"/>
              <w:numPr>
                <w:ilvl w:val="0"/>
                <w:numId w:val="0"/>
              </w:numPr>
              <w:spacing w:before="156" w:beforeLines="50" w:after="156" w:afterLines="50"/>
              <w:ind w:leftChars="0"/>
              <w:rPr>
                <w:rFonts w:hint="eastAsia" w:ascii="Times New Roman" w:hAnsi="Times New Roman" w:eastAsia="宋体" w:cstheme="minorEastAsia"/>
                <w:b w:val="0"/>
                <w:bCs w:val="0"/>
                <w:iCs/>
                <w:color w:val="000000"/>
                <w:kern w:val="0"/>
                <w:szCs w:val="21"/>
                <w:lang w:val="en-US" w:eastAsia="zh-CN"/>
              </w:rPr>
            </w:pPr>
            <w:r>
              <w:rPr>
                <w:rFonts w:hint="eastAsia" w:ascii="Times New Roman" w:hAnsi="Times New Roman" w:eastAsia="宋体" w:cstheme="minorEastAsia"/>
                <w:b w:val="0"/>
                <w:bCs w:val="0"/>
                <w:iCs/>
                <w:color w:val="000000"/>
                <w:kern w:val="0"/>
                <w:szCs w:val="21"/>
                <w:lang w:val="en-US" w:eastAsia="zh-CN"/>
              </w:rPr>
              <w:t>答：</w:t>
            </w:r>
            <w:r>
              <w:rPr>
                <w:rFonts w:hint="eastAsia" w:ascii="Times New Roman" w:hAnsi="Times New Roman" w:eastAsia="宋体" w:cstheme="minorEastAsia"/>
                <w:b w:val="0"/>
                <w:bCs w:val="0"/>
                <w:iCs/>
                <w:color w:val="000000"/>
                <w:kern w:val="0"/>
                <w:szCs w:val="21"/>
              </w:rPr>
              <w:t>公司产品以智慧监控及感知类为主且集中于超大倍率变焦镜头领域。通过募投项目的实施公司将在现有玻塑混合光学系统设计技术积累的基础上，加大技术开发力度，积极进行玻塑混合光学镜头设计、超高精度非球面镜片注塑成型、超精密离子镀膜技术等技术及工艺方面的研究，实现光学镜头小型轻量化、超高清成像及智能生产等，促进公司技术升级和业务扩张。未来，公司将继续抓住下游新兴行业不断增长的需求，凭借自身技术实力，从高难度及高附加值市场开始渗透，不断开发出具有较强市场竞争力的新兴产品。</w:t>
            </w:r>
          </w:p>
          <w:p w14:paraId="7B9B77C0">
            <w:pPr>
              <w:pStyle w:val="14"/>
              <w:numPr>
                <w:ilvl w:val="0"/>
                <w:numId w:val="0"/>
              </w:numPr>
              <w:spacing w:before="156" w:beforeLines="50" w:after="156" w:afterLines="50"/>
              <w:ind w:leftChars="0"/>
              <w:rPr>
                <w:rFonts w:hint="eastAsia" w:ascii="Times New Roman" w:hAnsi="Times New Roman" w:eastAsia="宋体" w:cstheme="minorEastAsia"/>
                <w:b/>
                <w:bCs/>
                <w:iCs/>
                <w:color w:val="000000"/>
                <w:kern w:val="0"/>
                <w:szCs w:val="21"/>
                <w:lang w:val="en-US" w:eastAsia="zh-CN"/>
              </w:rPr>
            </w:pPr>
            <w:r>
              <w:rPr>
                <w:rFonts w:hint="eastAsia" w:ascii="Times New Roman" w:hAnsi="Times New Roman" w:eastAsia="宋体" w:cstheme="minorEastAsia"/>
                <w:b/>
                <w:bCs/>
                <w:iCs/>
                <w:color w:val="000000"/>
                <w:kern w:val="0"/>
                <w:szCs w:val="21"/>
                <w:lang w:val="en-US" w:eastAsia="zh-CN"/>
              </w:rPr>
              <w:t>3、目前新增专利或技术突破的产业化进度如何？是否计划通过扩产或合作应对下游需求增长？</w:t>
            </w:r>
          </w:p>
          <w:p w14:paraId="3D9B509A">
            <w:pPr>
              <w:pStyle w:val="14"/>
              <w:numPr>
                <w:ilvl w:val="0"/>
                <w:numId w:val="0"/>
              </w:numPr>
              <w:spacing w:before="156" w:beforeLines="50" w:after="156" w:afterLines="50"/>
              <w:ind w:leftChars="0"/>
              <w:rPr>
                <w:rFonts w:hint="default" w:ascii="Times New Roman" w:hAnsi="Times New Roman" w:eastAsia="宋体" w:cstheme="minorEastAsia"/>
                <w:b w:val="0"/>
                <w:bCs w:val="0"/>
                <w:iCs/>
                <w:color w:val="000000"/>
                <w:kern w:val="0"/>
                <w:szCs w:val="21"/>
                <w:lang w:val="en-US" w:eastAsia="zh-CN"/>
              </w:rPr>
            </w:pPr>
            <w:r>
              <w:rPr>
                <w:rFonts w:hint="eastAsia" w:ascii="Times New Roman" w:hAnsi="Times New Roman" w:eastAsia="宋体" w:cstheme="minorEastAsia"/>
                <w:b w:val="0"/>
                <w:bCs w:val="0"/>
                <w:iCs/>
                <w:color w:val="000000"/>
                <w:kern w:val="0"/>
                <w:szCs w:val="21"/>
                <w:lang w:val="en-US" w:eastAsia="zh-CN"/>
              </w:rPr>
              <w:t>答：公司将巩固自身在大倍率及超大倍率变焦镜头市场的优势地位，以现有核心客户为发展重点，加强与国内外大型安防设备及服务提供商、无人机厂商的合作，同时积极推进玻塑混合镜头、超短焦投影镜头、车载镜头、智慧医疗、虚拟现实穿戴产品用镜头等产品的开发、升级和应用，不断丰富产品结构，抓住下游新兴市场和前沿应用领域逐渐释放的需求，稳步提升公司竞争能力及市场地位。公司募投项目正在按计划稳步推进，目前“高端光学镜头智能制造项目”首期产线已经投产，二期产线正在建设，预计2025年可以投产，能够进一步保障公司新增业务的产能和交付，也为进一步开拓客户奠定基础。“高端光学镜头研发中心升级项目”持续推进，不断提升公司研发能力，为今后不断开发更多领域、更高性能的产品提供支撑。</w:t>
            </w:r>
          </w:p>
          <w:p w14:paraId="6C240603">
            <w:pPr>
              <w:pStyle w:val="14"/>
              <w:numPr>
                <w:ilvl w:val="0"/>
                <w:numId w:val="0"/>
              </w:numPr>
              <w:spacing w:before="156" w:beforeLines="50" w:after="156" w:afterLines="50"/>
              <w:ind w:leftChars="0"/>
              <w:rPr>
                <w:rFonts w:hint="default" w:ascii="Times New Roman" w:hAnsi="Times New Roman" w:eastAsia="宋体" w:cstheme="minorEastAsia"/>
                <w:b/>
                <w:bCs/>
                <w:iCs/>
                <w:color w:val="000000"/>
                <w:kern w:val="0"/>
                <w:szCs w:val="21"/>
                <w:lang w:val="en-US" w:eastAsia="zh-CN"/>
              </w:rPr>
            </w:pPr>
            <w:r>
              <w:rPr>
                <w:rFonts w:hint="eastAsia" w:ascii="Times New Roman" w:hAnsi="Times New Roman" w:eastAsia="宋体" w:cstheme="minorEastAsia"/>
                <w:b/>
                <w:bCs/>
                <w:iCs/>
                <w:color w:val="000000"/>
                <w:kern w:val="0"/>
                <w:szCs w:val="21"/>
                <w:lang w:val="en-US" w:eastAsia="zh-CN"/>
              </w:rPr>
              <w:t>4、注意到公司提及在智能安防、车载镜头等领域的收入增长，能否分享一季度前三大客户的营收占比及变动情况？</w:t>
            </w:r>
          </w:p>
          <w:p w14:paraId="5B5CDA26">
            <w:pPr>
              <w:pStyle w:val="14"/>
              <w:numPr>
                <w:ilvl w:val="0"/>
                <w:numId w:val="0"/>
              </w:numPr>
              <w:spacing w:before="156" w:beforeLines="50" w:after="156" w:afterLines="50"/>
              <w:ind w:leftChars="0"/>
              <w:rPr>
                <w:rFonts w:hint="default" w:ascii="Times New Roman" w:hAnsi="Times New Roman" w:eastAsia="宋体" w:cstheme="minorEastAsia"/>
                <w:b w:val="0"/>
                <w:bCs w:val="0"/>
                <w:iCs/>
                <w:color w:val="000000"/>
                <w:kern w:val="0"/>
                <w:szCs w:val="21"/>
                <w:lang w:val="en-US" w:eastAsia="zh-CN"/>
              </w:rPr>
            </w:pPr>
            <w:r>
              <w:rPr>
                <w:rFonts w:hint="eastAsia" w:ascii="Times New Roman" w:hAnsi="Times New Roman" w:eastAsia="宋体" w:cstheme="minorEastAsia"/>
                <w:b w:val="0"/>
                <w:bCs w:val="0"/>
                <w:iCs/>
                <w:color w:val="000000"/>
                <w:kern w:val="0"/>
                <w:szCs w:val="21"/>
                <w:lang w:val="en-US" w:eastAsia="zh-CN"/>
              </w:rPr>
              <w:t>答：2025年公司将进一步开发更多新产品，丰富产品应用领域，开拓更多新客户，继续在智慧安防、无人机、视讯交互等领域保持发展优势，并在投影显示、智能家居、智能驾驶、工业检测、红外热成像、AIOT等多个细分应用行业继续拓展。同时也将更加重视海外业务的发展。</w:t>
            </w:r>
          </w:p>
          <w:p w14:paraId="1461D3FD">
            <w:pPr>
              <w:pStyle w:val="14"/>
              <w:numPr>
                <w:ilvl w:val="0"/>
                <w:numId w:val="0"/>
              </w:numPr>
              <w:spacing w:before="156" w:beforeLines="50" w:after="156" w:afterLines="50"/>
              <w:ind w:leftChars="0"/>
              <w:rPr>
                <w:rFonts w:hint="eastAsia" w:ascii="Times New Roman" w:hAnsi="Times New Roman" w:eastAsia="宋体" w:cstheme="minorEastAsia"/>
                <w:b/>
                <w:bCs/>
                <w:iCs/>
                <w:color w:val="000000"/>
                <w:kern w:val="0"/>
                <w:szCs w:val="21"/>
                <w:lang w:val="en-US" w:eastAsia="zh-CN"/>
              </w:rPr>
            </w:pPr>
            <w:r>
              <w:rPr>
                <w:rFonts w:hint="eastAsia" w:ascii="Times New Roman" w:hAnsi="Times New Roman" w:eastAsia="宋体" w:cstheme="minorEastAsia"/>
                <w:b/>
                <w:bCs/>
                <w:iCs/>
                <w:color w:val="000000"/>
                <w:kern w:val="0"/>
                <w:szCs w:val="21"/>
                <w:lang w:val="en-US" w:eastAsia="zh-CN"/>
              </w:rPr>
              <w:t>5、请问2025年是否有中期分红计划？</w:t>
            </w:r>
          </w:p>
          <w:p w14:paraId="5132626A">
            <w:pPr>
              <w:pStyle w:val="14"/>
              <w:numPr>
                <w:ilvl w:val="0"/>
                <w:numId w:val="0"/>
              </w:numPr>
              <w:spacing w:before="156" w:beforeLines="50" w:after="156" w:afterLines="50"/>
              <w:ind w:leftChars="0"/>
              <w:rPr>
                <w:rFonts w:hint="eastAsia" w:ascii="Times New Roman" w:hAnsi="Times New Roman" w:eastAsia="宋体" w:cstheme="minorEastAsia"/>
                <w:b w:val="0"/>
                <w:bCs w:val="0"/>
                <w:iCs/>
                <w:color w:val="000000"/>
                <w:kern w:val="0"/>
                <w:szCs w:val="21"/>
                <w:lang w:val="en-US" w:eastAsia="zh-CN"/>
              </w:rPr>
            </w:pPr>
            <w:r>
              <w:rPr>
                <w:rFonts w:hint="eastAsia" w:ascii="Times New Roman" w:hAnsi="Times New Roman" w:eastAsia="宋体" w:cstheme="minorEastAsia"/>
                <w:b w:val="0"/>
                <w:bCs w:val="0"/>
                <w:iCs/>
                <w:color w:val="000000"/>
                <w:kern w:val="0"/>
                <w:szCs w:val="21"/>
                <w:lang w:val="en-US" w:eastAsia="zh-CN"/>
              </w:rPr>
              <w:t>答：公司自上市以来，始终秉承为股东创造更多价值，持续保持经营业绩的正向增长和分红政策的科学性、连续性、稳定性，为股东提供分享公司成长价值的机会，公司已完成2025年年度分红，共计派发现金红利人民币3,080.00万元（含税）。公司将继续统筹好公司发展、业绩增长与股东回报的动态平衡，进一步完善公司利润分配策略，在符合相关法律法规及公司章程的前提下，兼顾股东的即期利益和长远利益，为股东提供持续、稳定、合理的投资回报，确保公司股东特别是中小股东的利益得到切实保障。</w:t>
            </w:r>
          </w:p>
          <w:p w14:paraId="44B49BFC">
            <w:pPr>
              <w:pStyle w:val="14"/>
              <w:numPr>
                <w:ilvl w:val="0"/>
                <w:numId w:val="0"/>
              </w:numPr>
              <w:spacing w:before="156" w:beforeLines="50" w:after="156" w:afterLines="50"/>
              <w:ind w:leftChars="0"/>
              <w:rPr>
                <w:rFonts w:hint="eastAsia" w:ascii="Times New Roman" w:hAnsi="Times New Roman" w:eastAsia="宋体" w:cstheme="minorEastAsia"/>
                <w:b/>
                <w:bCs/>
                <w:iCs/>
                <w:color w:val="000000"/>
                <w:kern w:val="0"/>
                <w:szCs w:val="21"/>
                <w:lang w:val="en-US" w:eastAsia="zh-CN"/>
              </w:rPr>
            </w:pPr>
            <w:r>
              <w:rPr>
                <w:rFonts w:hint="eastAsia" w:ascii="Times New Roman" w:hAnsi="Times New Roman" w:eastAsia="宋体" w:cstheme="minorEastAsia"/>
                <w:b/>
                <w:bCs/>
                <w:iCs/>
                <w:color w:val="000000"/>
                <w:kern w:val="0"/>
                <w:szCs w:val="21"/>
                <w:lang w:val="en-US" w:eastAsia="zh-CN"/>
              </w:rPr>
              <w:t>6、戴斯光电的主要产品应用领域是什么？</w:t>
            </w:r>
          </w:p>
          <w:p w14:paraId="461CFA66">
            <w:pPr>
              <w:pStyle w:val="14"/>
              <w:numPr>
                <w:ilvl w:val="0"/>
                <w:numId w:val="0"/>
              </w:numPr>
              <w:spacing w:before="156" w:beforeLines="50" w:after="156" w:afterLines="50"/>
              <w:ind w:leftChars="0"/>
              <w:rPr>
                <w:rFonts w:hint="default" w:ascii="Times New Roman" w:hAnsi="Times New Roman" w:eastAsia="宋体" w:cstheme="minorEastAsia"/>
                <w:b w:val="0"/>
                <w:bCs w:val="0"/>
                <w:iCs/>
                <w:color w:val="000000"/>
                <w:kern w:val="0"/>
                <w:szCs w:val="21"/>
                <w:lang w:val="en-US" w:eastAsia="zh-CN"/>
              </w:rPr>
            </w:pPr>
            <w:r>
              <w:rPr>
                <w:rFonts w:hint="eastAsia" w:ascii="Times New Roman" w:hAnsi="Times New Roman" w:eastAsia="宋体" w:cstheme="minorEastAsia"/>
                <w:b w:val="0"/>
                <w:bCs w:val="0"/>
                <w:iCs/>
                <w:color w:val="000000"/>
                <w:kern w:val="0"/>
                <w:szCs w:val="21"/>
                <w:lang w:val="en-US" w:eastAsia="zh-CN"/>
              </w:rPr>
              <w:t>答：戴斯光电与工业激光、光通讯、半导体设备、生物医疗、光学检测、自动驾驶、消费电子及前沿科研等各细分应用领域的境内外知名客户建立稳定合作关系。公司研发生产的高功率柱面镜、偏振分光棱镜等产品广泛应用于工业激光器领域及车载激光雷达市场，主要客户包括创鑫激光、凯普林、ALTECHNA、THORLABS、NLIGHT、TOPTICA、锐科激光等工业激光器头部客户，并且已经通过速腾聚创车载激光雷达产品认证。公司研发的2D成像模组、白光三角3D模组等产品主要应用于半导体检测、半导体晶圆高速检测、电路板检测以及其余高性能检测场合，主要客户包括上海隐冠、华亚智能等，终端应用客户包括华为等。公司研发生产的高端滤光片主要应用于光刻机、生物滤光片等高端场镜，主要客户为NEWPORT、THROLABS、KLA、COHERENT、创鑫激光等，终端应用客户包括ASML等。公司研发的高功率端帽、声光调制器等产品可广泛应用于高能连续激光器、超快激光器等工业激光器领域，主要客户包括创鑫激光、凯普林、ALTECHNA、THORLABS、NLIGHT、TOPTICA、锐科激光等工业激光器头部客户。公司研发的一体化显微成像模组主要应用于血液细胞和表皮组织检测，实验室应用等场合，现阶段主要客户为圣湘生物、智迈医疗等。此外，公司多年来与境内外众多中小客户以及清华大学、中国科学院、北京量子信息科学研究院等国内众多知名院校研究所在量子通信、生物医疗、消费电子等激光应用的前沿领域建立合作关系。</w:t>
            </w:r>
          </w:p>
          <w:p w14:paraId="5A0E3AB3">
            <w:pPr>
              <w:pStyle w:val="14"/>
              <w:numPr>
                <w:ilvl w:val="0"/>
                <w:numId w:val="0"/>
              </w:numPr>
              <w:spacing w:before="156" w:beforeLines="50" w:after="156" w:afterLines="50"/>
              <w:ind w:leftChars="0"/>
              <w:rPr>
                <w:rFonts w:hint="eastAsia" w:ascii="Times New Roman" w:hAnsi="Times New Roman" w:eastAsia="宋体" w:cstheme="minorEastAsia"/>
                <w:b w:val="0"/>
                <w:bCs/>
                <w:iCs/>
                <w:color w:val="000000"/>
                <w:kern w:val="0"/>
                <w:szCs w:val="21"/>
                <w:lang w:val="en-US" w:eastAsia="zh-CN"/>
              </w:rPr>
            </w:pPr>
            <w:r>
              <w:rPr>
                <w:rFonts w:hint="eastAsia" w:ascii="Times New Roman" w:hAnsi="Times New Roman" w:eastAsia="宋体" w:cstheme="minorEastAsia"/>
                <w:b/>
                <w:bCs/>
                <w:iCs/>
                <w:color w:val="000000"/>
                <w:kern w:val="0"/>
                <w:szCs w:val="21"/>
                <w:lang w:val="en-US" w:eastAsia="zh-CN"/>
              </w:rPr>
              <w:t>7、戴斯光电主要做什么产品？</w:t>
            </w:r>
          </w:p>
          <w:p w14:paraId="664C4088">
            <w:pPr>
              <w:pStyle w:val="14"/>
              <w:spacing w:before="156" w:beforeLines="50" w:after="156" w:afterLines="50"/>
              <w:ind w:firstLine="0" w:firstLineChars="0"/>
              <w:rPr>
                <w:rFonts w:hint="eastAsia" w:ascii="Times New Roman" w:hAnsi="Times New Roman" w:eastAsia="宋体" w:cstheme="minorEastAsia"/>
                <w:bCs/>
                <w:iCs/>
                <w:color w:val="000000"/>
                <w:kern w:val="0"/>
                <w:szCs w:val="21"/>
                <w:lang w:val="en-US" w:eastAsia="zh-CN"/>
              </w:rPr>
            </w:pPr>
            <w:r>
              <w:rPr>
                <w:rFonts w:hint="eastAsia" w:ascii="Times New Roman" w:hAnsi="Times New Roman" w:eastAsia="宋体" w:cstheme="minorEastAsia"/>
                <w:bCs/>
                <w:iCs/>
                <w:color w:val="000000"/>
                <w:kern w:val="0"/>
                <w:szCs w:val="21"/>
                <w:lang w:val="en-US" w:eastAsia="zh-CN"/>
              </w:rPr>
              <w:t>答：戴斯光电是一家专注于各类精密光学元件、器件及光学模组的研发、生产和销售的国家专精特新“小巨人”企业。公司的产品以精密光学元件为主，主要应用于激光应用领域的核心零部件的生产制造，实现激光的发射、传输及接收等功能，满足下游不同类型激光应用系统客户的需要。下游激光应用市场主要包括激光加工设备、光通讯器件与设备、激光测量设备、激光医疗设备等，其中激光器是激光产业的核心器件，系公司产品下游应用的重要载体。此外，公司在半导体设备检测、生物医疗设备等应用领域，也具备定制化开发复杂光学模组和光路系统并提供一体化解决方案的能力。</w:t>
            </w:r>
          </w:p>
          <w:p w14:paraId="7C2A025C">
            <w:pPr>
              <w:pStyle w:val="14"/>
              <w:numPr>
                <w:ilvl w:val="0"/>
                <w:numId w:val="2"/>
              </w:numPr>
              <w:spacing w:before="156" w:beforeLines="50" w:after="156" w:afterLines="50"/>
              <w:ind w:firstLine="0" w:firstLineChars="0"/>
              <w:rPr>
                <w:rFonts w:hint="eastAsia" w:ascii="Times New Roman" w:hAnsi="Times New Roman" w:eastAsia="宋体" w:cstheme="minorEastAsia"/>
                <w:b/>
                <w:bCs w:val="0"/>
                <w:iCs/>
                <w:color w:val="000000"/>
                <w:kern w:val="0"/>
                <w:szCs w:val="21"/>
                <w:lang w:val="en-US" w:eastAsia="zh-CN"/>
              </w:rPr>
            </w:pPr>
            <w:r>
              <w:rPr>
                <w:rFonts w:hint="eastAsia" w:ascii="Times New Roman" w:hAnsi="Times New Roman" w:eastAsia="宋体" w:cstheme="minorEastAsia"/>
                <w:b/>
                <w:bCs w:val="0"/>
                <w:iCs/>
                <w:color w:val="000000"/>
                <w:kern w:val="0"/>
                <w:szCs w:val="21"/>
                <w:lang w:val="en-US" w:eastAsia="zh-CN"/>
              </w:rPr>
              <w:t>公司近期收购的湖南戴斯光电与公司是否有协同性？</w:t>
            </w:r>
          </w:p>
          <w:p w14:paraId="72468C57">
            <w:pPr>
              <w:pStyle w:val="14"/>
              <w:numPr>
                <w:numId w:val="0"/>
              </w:numPr>
              <w:spacing w:before="156" w:beforeLines="50" w:after="156" w:afterLines="50"/>
              <w:rPr>
                <w:rFonts w:hint="default" w:ascii="Times New Roman" w:hAnsi="Times New Roman" w:eastAsia="宋体" w:cstheme="minorEastAsia"/>
                <w:b w:val="0"/>
                <w:bCs/>
                <w:iCs/>
                <w:color w:val="000000"/>
                <w:kern w:val="0"/>
                <w:szCs w:val="21"/>
                <w:lang w:val="en-US" w:eastAsia="zh-CN"/>
              </w:rPr>
            </w:pPr>
            <w:r>
              <w:rPr>
                <w:rFonts w:hint="eastAsia" w:ascii="Times New Roman" w:hAnsi="Times New Roman" w:eastAsia="宋体" w:cstheme="minorEastAsia"/>
                <w:b w:val="0"/>
                <w:bCs/>
                <w:iCs/>
                <w:color w:val="000000"/>
                <w:kern w:val="0"/>
                <w:szCs w:val="21"/>
                <w:lang w:val="en-US" w:eastAsia="zh-CN"/>
              </w:rPr>
              <w:t>答：</w:t>
            </w:r>
            <w:r>
              <w:rPr>
                <w:rFonts w:hint="default" w:ascii="Times New Roman" w:hAnsi="Times New Roman" w:eastAsia="宋体" w:cstheme="minorEastAsia"/>
                <w:b w:val="0"/>
                <w:bCs/>
                <w:iCs/>
                <w:color w:val="000000"/>
                <w:kern w:val="0"/>
                <w:szCs w:val="21"/>
                <w:lang w:val="en-US" w:eastAsia="zh-CN"/>
              </w:rPr>
              <w:t>戴斯光电主营业务为光学元器件，产品主要包括各类精密光学元件、光学器件、光学模组及系统，主要应用于工业激光设备、医疗设备、半导体设备、光通讯、激光雷达等领域。公司与戴斯光电在产品上均属于光学光电子元器件，同属于光学领域。但在产品具体形态上又有所区别，双方在产品设计、制造等方面具备相互借鉴、相互支持的能力，比如公司所需部分核心光学元件可以由戴斯光电生产提供，戴斯光电部分产品可以借鉴公司光学设计方案等，并且具有共同设计开发新产品的机会。因此，公司收购戴斯光电后，将进一步增强公司技术实力，为今后公司开发更多产品及提升产品性能奠定了基础，有利于提升公司在光学领域的核心竞争力。</w:t>
            </w:r>
          </w:p>
          <w:p w14:paraId="37F58BD0">
            <w:pPr>
              <w:pStyle w:val="14"/>
              <w:numPr>
                <w:ilvl w:val="0"/>
                <w:numId w:val="2"/>
              </w:numPr>
              <w:spacing w:before="156" w:beforeLines="50" w:after="156" w:afterLines="50"/>
              <w:ind w:left="0" w:leftChars="0" w:firstLine="0" w:firstLineChars="0"/>
              <w:rPr>
                <w:rFonts w:hint="eastAsia" w:ascii="Times New Roman" w:hAnsi="Times New Roman" w:eastAsia="宋体" w:cstheme="minorEastAsia"/>
                <w:b/>
                <w:bCs w:val="0"/>
                <w:iCs/>
                <w:color w:val="000000"/>
                <w:kern w:val="0"/>
                <w:szCs w:val="21"/>
                <w:lang w:val="en-US" w:eastAsia="zh-CN"/>
              </w:rPr>
            </w:pPr>
            <w:r>
              <w:rPr>
                <w:rFonts w:hint="eastAsia" w:ascii="Times New Roman" w:hAnsi="Times New Roman" w:eastAsia="宋体" w:cstheme="minorEastAsia"/>
                <w:b/>
                <w:bCs w:val="0"/>
                <w:iCs/>
                <w:color w:val="000000"/>
                <w:kern w:val="0"/>
                <w:szCs w:val="21"/>
                <w:lang w:val="en-US" w:eastAsia="zh-CN"/>
              </w:rPr>
              <w:t>行业以后的发展前景怎样？</w:t>
            </w:r>
          </w:p>
          <w:p w14:paraId="5B0FFFF4">
            <w:pPr>
              <w:pStyle w:val="14"/>
              <w:numPr>
                <w:numId w:val="0"/>
              </w:numPr>
              <w:spacing w:before="156" w:beforeLines="50" w:after="156" w:afterLines="50"/>
              <w:ind w:leftChars="0"/>
              <w:rPr>
                <w:rFonts w:hint="default" w:ascii="Times New Roman" w:hAnsi="Times New Roman" w:eastAsia="宋体" w:cstheme="minorEastAsia"/>
                <w:b w:val="0"/>
                <w:bCs/>
                <w:iCs/>
                <w:color w:val="000000"/>
                <w:kern w:val="0"/>
                <w:szCs w:val="21"/>
                <w:lang w:val="en-US" w:eastAsia="zh-CN"/>
              </w:rPr>
            </w:pPr>
            <w:r>
              <w:rPr>
                <w:rFonts w:hint="eastAsia" w:ascii="Times New Roman" w:hAnsi="Times New Roman" w:eastAsia="宋体" w:cstheme="minorEastAsia"/>
                <w:b w:val="0"/>
                <w:bCs/>
                <w:iCs/>
                <w:color w:val="000000"/>
                <w:kern w:val="0"/>
                <w:szCs w:val="21"/>
                <w:lang w:val="en-US" w:eastAsia="zh-CN"/>
              </w:rPr>
              <w:t>答：</w:t>
            </w:r>
            <w:r>
              <w:rPr>
                <w:rFonts w:hint="default" w:ascii="Times New Roman" w:hAnsi="Times New Roman" w:eastAsia="宋体" w:cstheme="minorEastAsia"/>
                <w:b w:val="0"/>
                <w:bCs/>
                <w:iCs/>
                <w:color w:val="000000"/>
                <w:kern w:val="0"/>
                <w:szCs w:val="21"/>
                <w:lang w:val="en-US" w:eastAsia="zh-CN"/>
              </w:rPr>
              <w:t>光学镜头技术和产品是当今前沿科技发展不可或缺的关键环节，“万物互联”概念和人工智能技术逐渐渗透到各类终端电子产品中，进一步拓宽了光学镜头的使用场景，技术发展和行业的新需求增强了我国光学镜头行业的科研创新及产业化持续发展的动力。各类政策的支持有利于下游数字安防、影像识别、医疗检测、智能驾驶、智能家居、运动相机、VR/AR设备、无人机以及机器视觉等行业的发展，扩大了精密光学镜头产品的市场需求，为光学镜头产业的发展注入了新的增长动力。</w:t>
            </w:r>
          </w:p>
          <w:p w14:paraId="4CAD5CEC">
            <w:pPr>
              <w:pStyle w:val="14"/>
              <w:numPr>
                <w:ilvl w:val="0"/>
                <w:numId w:val="2"/>
              </w:numPr>
              <w:spacing w:before="156" w:beforeLines="50" w:after="156" w:afterLines="50"/>
              <w:ind w:left="0" w:leftChars="0" w:firstLine="0" w:firstLineChars="0"/>
              <w:rPr>
                <w:rFonts w:hint="eastAsia" w:ascii="Times New Roman" w:hAnsi="Times New Roman" w:eastAsia="宋体" w:cstheme="minorEastAsia"/>
                <w:b/>
                <w:bCs w:val="0"/>
                <w:iCs/>
                <w:color w:val="000000"/>
                <w:kern w:val="0"/>
                <w:szCs w:val="21"/>
                <w:lang w:val="en-US" w:eastAsia="zh-CN"/>
              </w:rPr>
            </w:pPr>
            <w:r>
              <w:rPr>
                <w:rFonts w:hint="eastAsia" w:ascii="Times New Roman" w:hAnsi="Times New Roman" w:eastAsia="宋体" w:cstheme="minorEastAsia"/>
                <w:b/>
                <w:bCs w:val="0"/>
                <w:iCs/>
                <w:color w:val="000000"/>
                <w:kern w:val="0"/>
                <w:szCs w:val="21"/>
                <w:lang w:val="en-US" w:eastAsia="zh-CN"/>
              </w:rPr>
              <w:t>你们行业本期整体业绩怎么样？你们跟其他公司比如何？</w:t>
            </w:r>
          </w:p>
          <w:p w14:paraId="092C9D99">
            <w:pPr>
              <w:pStyle w:val="14"/>
              <w:numPr>
                <w:numId w:val="0"/>
              </w:numPr>
              <w:spacing w:before="156" w:beforeLines="50" w:after="156" w:afterLines="50"/>
              <w:ind w:leftChars="0"/>
              <w:rPr>
                <w:rFonts w:hint="default" w:ascii="Times New Roman" w:hAnsi="Times New Roman" w:eastAsia="宋体" w:cstheme="minorEastAsia"/>
                <w:b w:val="0"/>
                <w:bCs/>
                <w:iCs/>
                <w:color w:val="000000"/>
                <w:kern w:val="0"/>
                <w:szCs w:val="21"/>
                <w:lang w:val="en-US" w:eastAsia="zh-CN"/>
              </w:rPr>
            </w:pPr>
            <w:r>
              <w:rPr>
                <w:rFonts w:hint="eastAsia" w:ascii="Times New Roman" w:hAnsi="Times New Roman" w:eastAsia="宋体" w:cstheme="minorEastAsia"/>
                <w:b w:val="0"/>
                <w:bCs/>
                <w:iCs/>
                <w:color w:val="000000"/>
                <w:kern w:val="0"/>
                <w:szCs w:val="21"/>
                <w:lang w:val="en-US" w:eastAsia="zh-CN"/>
              </w:rPr>
              <w:t>答：</w:t>
            </w:r>
            <w:r>
              <w:rPr>
                <w:rFonts w:hint="default" w:ascii="Times New Roman" w:hAnsi="Times New Roman" w:eastAsia="宋体" w:cstheme="minorEastAsia"/>
                <w:b w:val="0"/>
                <w:bCs/>
                <w:iCs/>
                <w:color w:val="000000"/>
                <w:kern w:val="0"/>
                <w:szCs w:val="21"/>
                <w:lang w:val="en-US" w:eastAsia="zh-CN"/>
              </w:rPr>
              <w:t>经过多年实践和积累，公司在精密光学镜头的研发设计、生产制造及精密检测方面积累多项核心技术，研发设计和制造的精密光学镜头产品在实现高速精准变焦、超高清、超低照度、红外共焦、自动聚焦等性能的同时仍具有小型轻量化、高可靠性、抗振动等特点，受到了客户的广泛认可并有力推动了下游领域的技术变革。公司产品目</w:t>
            </w:r>
            <w:bookmarkStart w:id="0" w:name="_GoBack"/>
            <w:bookmarkEnd w:id="0"/>
            <w:r>
              <w:rPr>
                <w:rFonts w:hint="default" w:ascii="Times New Roman" w:hAnsi="Times New Roman" w:eastAsia="宋体" w:cstheme="minorEastAsia"/>
                <w:b w:val="0"/>
                <w:bCs/>
                <w:iCs/>
                <w:color w:val="000000"/>
                <w:kern w:val="0"/>
                <w:szCs w:val="21"/>
                <w:lang w:val="en-US" w:eastAsia="zh-CN"/>
              </w:rPr>
              <w:t>前主要应用于智慧监控及感知领域、智能检测及识别领域、高清拍摄及显示领域和视频通讯及交互领域。</w:t>
            </w:r>
          </w:p>
        </w:tc>
      </w:tr>
      <w:tr w14:paraId="63E8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45280D9B">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附件清单（如有）</w:t>
            </w:r>
          </w:p>
        </w:tc>
        <w:tc>
          <w:tcPr>
            <w:tcW w:w="6819" w:type="dxa"/>
            <w:tcBorders>
              <w:top w:val="single" w:color="auto" w:sz="4" w:space="0"/>
              <w:left w:val="single" w:color="auto" w:sz="4" w:space="0"/>
              <w:bottom w:val="single" w:color="auto" w:sz="4" w:space="0"/>
              <w:right w:val="single" w:color="auto" w:sz="4" w:space="0"/>
            </w:tcBorders>
            <w:vAlign w:val="center"/>
          </w:tcPr>
          <w:p w14:paraId="2C9ED1F2">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无</w:t>
            </w:r>
          </w:p>
        </w:tc>
      </w:tr>
      <w:tr w14:paraId="6279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7AED26B5">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日期</w:t>
            </w:r>
          </w:p>
        </w:tc>
        <w:tc>
          <w:tcPr>
            <w:tcW w:w="6819" w:type="dxa"/>
            <w:tcBorders>
              <w:top w:val="single" w:color="auto" w:sz="4" w:space="0"/>
              <w:left w:val="single" w:color="auto" w:sz="4" w:space="0"/>
              <w:bottom w:val="single" w:color="auto" w:sz="4" w:space="0"/>
              <w:right w:val="single" w:color="auto" w:sz="4" w:space="0"/>
            </w:tcBorders>
            <w:vAlign w:val="center"/>
          </w:tcPr>
          <w:p w14:paraId="76F2FA51">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202</w:t>
            </w:r>
            <w:r>
              <w:rPr>
                <w:rFonts w:ascii="Times New Roman" w:hAnsi="Times New Roman" w:eastAsia="宋体" w:cstheme="minorEastAsia"/>
                <w:bCs/>
                <w:iCs/>
                <w:color w:val="000000"/>
                <w:kern w:val="0"/>
                <w:szCs w:val="21"/>
              </w:rPr>
              <w:t>5</w:t>
            </w:r>
            <w:r>
              <w:rPr>
                <w:rFonts w:hint="eastAsia" w:ascii="Times New Roman" w:hAnsi="Times New Roman" w:eastAsia="宋体" w:cstheme="minorEastAsia"/>
                <w:bCs/>
                <w:iCs/>
                <w:color w:val="000000"/>
                <w:kern w:val="0"/>
                <w:szCs w:val="21"/>
              </w:rPr>
              <w:t>年</w:t>
            </w:r>
            <w:r>
              <w:rPr>
                <w:rFonts w:hint="eastAsia" w:ascii="Times New Roman" w:hAnsi="Times New Roman" w:eastAsia="宋体" w:cstheme="minorEastAsia"/>
                <w:bCs/>
                <w:iCs/>
                <w:color w:val="000000"/>
                <w:kern w:val="0"/>
                <w:szCs w:val="21"/>
                <w:lang w:val="en-US" w:eastAsia="zh-CN"/>
              </w:rPr>
              <w:t>5</w:t>
            </w:r>
            <w:r>
              <w:rPr>
                <w:rFonts w:hint="eastAsia" w:ascii="Times New Roman" w:hAnsi="Times New Roman" w:eastAsia="宋体" w:cstheme="minorEastAsia"/>
                <w:bCs/>
                <w:iCs/>
                <w:color w:val="000000"/>
                <w:kern w:val="0"/>
                <w:szCs w:val="21"/>
              </w:rPr>
              <w:t>月</w:t>
            </w:r>
            <w:r>
              <w:rPr>
                <w:rFonts w:hint="eastAsia" w:ascii="Times New Roman" w:hAnsi="Times New Roman" w:eastAsia="宋体" w:cstheme="minorEastAsia"/>
                <w:bCs/>
                <w:iCs/>
                <w:color w:val="000000"/>
                <w:kern w:val="0"/>
                <w:szCs w:val="21"/>
                <w:lang w:val="en-US" w:eastAsia="zh-CN"/>
              </w:rPr>
              <w:t>7</w:t>
            </w:r>
            <w:r>
              <w:rPr>
                <w:rFonts w:hint="eastAsia" w:ascii="Times New Roman" w:hAnsi="Times New Roman" w:eastAsia="宋体" w:cstheme="minorEastAsia"/>
                <w:bCs/>
                <w:iCs/>
                <w:color w:val="000000"/>
                <w:kern w:val="0"/>
                <w:szCs w:val="21"/>
              </w:rPr>
              <w:t>日</w:t>
            </w:r>
          </w:p>
        </w:tc>
      </w:tr>
    </w:tbl>
    <w:p w14:paraId="7A6C8345">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4FA45"/>
    <w:multiLevelType w:val="singleLevel"/>
    <w:tmpl w:val="0D34FA45"/>
    <w:lvl w:ilvl="0" w:tentative="0">
      <w:start w:val="1"/>
      <w:numFmt w:val="decimal"/>
      <w:suff w:val="nothing"/>
      <w:lvlText w:val="%1、"/>
      <w:lvlJc w:val="left"/>
      <w:pPr>
        <w:ind w:left="0" w:firstLine="0"/>
      </w:pPr>
      <w:rPr>
        <w:rFonts w:hint="eastAsia"/>
        <w:b/>
      </w:rPr>
    </w:lvl>
  </w:abstractNum>
  <w:abstractNum w:abstractNumId="1">
    <w:nsid w:val="1C0E5E7F"/>
    <w:multiLevelType w:val="singleLevel"/>
    <w:tmpl w:val="1C0E5E7F"/>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N2U0NTE2ZWZjNGNkOGYwMTY5ODIwZjEyYjUxNGMifQ=="/>
  </w:docVars>
  <w:rsids>
    <w:rsidRoot w:val="006339EA"/>
    <w:rsid w:val="00003B81"/>
    <w:rsid w:val="000209A2"/>
    <w:rsid w:val="000264E4"/>
    <w:rsid w:val="0002789F"/>
    <w:rsid w:val="00121638"/>
    <w:rsid w:val="00145381"/>
    <w:rsid w:val="001A091F"/>
    <w:rsid w:val="001D5846"/>
    <w:rsid w:val="001D600F"/>
    <w:rsid w:val="00201726"/>
    <w:rsid w:val="0027534D"/>
    <w:rsid w:val="0029556D"/>
    <w:rsid w:val="002A2F0A"/>
    <w:rsid w:val="002B3E75"/>
    <w:rsid w:val="002B7649"/>
    <w:rsid w:val="003742CE"/>
    <w:rsid w:val="003804ED"/>
    <w:rsid w:val="00394B23"/>
    <w:rsid w:val="003A2339"/>
    <w:rsid w:val="003E32C8"/>
    <w:rsid w:val="003E4EE0"/>
    <w:rsid w:val="00440A5E"/>
    <w:rsid w:val="004A06D7"/>
    <w:rsid w:val="004E2611"/>
    <w:rsid w:val="005171D8"/>
    <w:rsid w:val="00517560"/>
    <w:rsid w:val="00546AEF"/>
    <w:rsid w:val="00583667"/>
    <w:rsid w:val="006122F1"/>
    <w:rsid w:val="006339EA"/>
    <w:rsid w:val="006431E3"/>
    <w:rsid w:val="00647DE6"/>
    <w:rsid w:val="006C4B57"/>
    <w:rsid w:val="006F1B45"/>
    <w:rsid w:val="00711536"/>
    <w:rsid w:val="00711EFE"/>
    <w:rsid w:val="00764D34"/>
    <w:rsid w:val="007940B7"/>
    <w:rsid w:val="007F6EB3"/>
    <w:rsid w:val="00837EBF"/>
    <w:rsid w:val="00852E88"/>
    <w:rsid w:val="00890A96"/>
    <w:rsid w:val="008A7491"/>
    <w:rsid w:val="008A7DDF"/>
    <w:rsid w:val="00902F1D"/>
    <w:rsid w:val="009168CA"/>
    <w:rsid w:val="00961130"/>
    <w:rsid w:val="00966EBC"/>
    <w:rsid w:val="0098115F"/>
    <w:rsid w:val="009828F8"/>
    <w:rsid w:val="009878F5"/>
    <w:rsid w:val="009A6A2C"/>
    <w:rsid w:val="00AD0BA1"/>
    <w:rsid w:val="00AF2B0E"/>
    <w:rsid w:val="00B01053"/>
    <w:rsid w:val="00B13553"/>
    <w:rsid w:val="00B27E93"/>
    <w:rsid w:val="00B63BFE"/>
    <w:rsid w:val="00B76F3B"/>
    <w:rsid w:val="00B82C8A"/>
    <w:rsid w:val="00C32618"/>
    <w:rsid w:val="00C358D4"/>
    <w:rsid w:val="00C5573B"/>
    <w:rsid w:val="00C85FE9"/>
    <w:rsid w:val="00D335FB"/>
    <w:rsid w:val="00D45D5F"/>
    <w:rsid w:val="00D559E6"/>
    <w:rsid w:val="00D57928"/>
    <w:rsid w:val="00D62189"/>
    <w:rsid w:val="00D92521"/>
    <w:rsid w:val="00DF6376"/>
    <w:rsid w:val="00E326C3"/>
    <w:rsid w:val="00E3441C"/>
    <w:rsid w:val="00E968A5"/>
    <w:rsid w:val="00EA01C4"/>
    <w:rsid w:val="00EA759C"/>
    <w:rsid w:val="00EE5965"/>
    <w:rsid w:val="00EF46A6"/>
    <w:rsid w:val="00F0120D"/>
    <w:rsid w:val="00F34976"/>
    <w:rsid w:val="00FB5ECF"/>
    <w:rsid w:val="00FC6913"/>
    <w:rsid w:val="030952DB"/>
    <w:rsid w:val="03C3303C"/>
    <w:rsid w:val="051E25B2"/>
    <w:rsid w:val="05FB7C02"/>
    <w:rsid w:val="065378F8"/>
    <w:rsid w:val="0955056D"/>
    <w:rsid w:val="0B144023"/>
    <w:rsid w:val="0B1C3058"/>
    <w:rsid w:val="0B991A59"/>
    <w:rsid w:val="0E2608EE"/>
    <w:rsid w:val="117D11A6"/>
    <w:rsid w:val="15A53339"/>
    <w:rsid w:val="17745FF2"/>
    <w:rsid w:val="1F9B4988"/>
    <w:rsid w:val="206E5042"/>
    <w:rsid w:val="26834513"/>
    <w:rsid w:val="286A534F"/>
    <w:rsid w:val="2D207178"/>
    <w:rsid w:val="2F6556A4"/>
    <w:rsid w:val="31CA0785"/>
    <w:rsid w:val="325726FF"/>
    <w:rsid w:val="34360283"/>
    <w:rsid w:val="431552FD"/>
    <w:rsid w:val="43545F3B"/>
    <w:rsid w:val="43DC3508"/>
    <w:rsid w:val="468719CA"/>
    <w:rsid w:val="46AD4193"/>
    <w:rsid w:val="4B902710"/>
    <w:rsid w:val="52157FDF"/>
    <w:rsid w:val="52B13DB7"/>
    <w:rsid w:val="557414EE"/>
    <w:rsid w:val="5A0472F0"/>
    <w:rsid w:val="5ACA2448"/>
    <w:rsid w:val="5FDD4344"/>
    <w:rsid w:val="61DC706D"/>
    <w:rsid w:val="643833E0"/>
    <w:rsid w:val="64A92310"/>
    <w:rsid w:val="67CC3237"/>
    <w:rsid w:val="689653A1"/>
    <w:rsid w:val="6AEE70A1"/>
    <w:rsid w:val="6F3A473D"/>
    <w:rsid w:val="72444989"/>
    <w:rsid w:val="727B07B1"/>
    <w:rsid w:val="745875E9"/>
    <w:rsid w:val="75F008FD"/>
    <w:rsid w:val="7C9F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keepNext/>
      <w:keepLines/>
      <w:spacing w:before="260" w:after="260"/>
      <w:outlineLvl w:val="1"/>
    </w:pPr>
    <w:rPr>
      <w:rFonts w:ascii="Cambria" w:hAnsi="Cambria"/>
      <w:b/>
      <w:bCs/>
      <w:kern w:val="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6">
    <w:name w:val="批注文字 Char"/>
    <w:basedOn w:val="10"/>
    <w:link w:val="3"/>
    <w:semiHidden/>
    <w:qFormat/>
    <w:uiPriority w:val="99"/>
    <w:rPr>
      <w:rFonts w:asciiTheme="minorHAnsi" w:hAnsiTheme="minorHAnsi" w:eastAsiaTheme="minorEastAsia" w:cstheme="minorBidi"/>
      <w:kern w:val="2"/>
      <w:sz w:val="21"/>
      <w:szCs w:val="22"/>
    </w:rPr>
  </w:style>
  <w:style w:type="character" w:customStyle="1" w:styleId="17">
    <w:name w:val="批注主题 Char"/>
    <w:basedOn w:val="16"/>
    <w:link w:val="7"/>
    <w:semiHidden/>
    <w:qFormat/>
    <w:uiPriority w:val="99"/>
    <w:rPr>
      <w:rFonts w:asciiTheme="minorHAnsi" w:hAnsiTheme="minorHAnsi" w:eastAsiaTheme="minorEastAsia" w:cstheme="minorBidi"/>
      <w:b/>
      <w:bCs/>
      <w:kern w:val="2"/>
      <w:sz w:val="21"/>
      <w:szCs w:val="22"/>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2153</Words>
  <Characters>2261</Characters>
  <Lines>10</Lines>
  <Paragraphs>3</Paragraphs>
  <TotalTime>64</TotalTime>
  <ScaleCrop>false</ScaleCrop>
  <LinksUpToDate>false</LinksUpToDate>
  <CharactersWithSpaces>2391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2025-01-24T04:20:00Z</dcterms:created>
  <dc:creator>yun</dc:creator>
  <cp:lastModifiedBy>sly</cp:lastModifiedBy>
  <cp:lastPrinted>2023-05-30T03:18:00Z</cp:lastPrinted>
  <dcterms:modified xsi:type="dcterms:W3CDTF">2025-05-07T08:59:28Z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AE6219A991284729AC7FBD324D6DCB78_13</vt:lpwstr>
  </property>
  <property fmtid="{D5CDD505-2E9C-101B-9397-08002B2CF9AE}" pid="4" name="KSOTemplateDocerSaveRecord">
    <vt:lpwstr>eyJoZGlkIjoiN2ZkN2U0NTE2ZWZjNGNkOGYwMTY5ODIwZjEyYjUxNGMiLCJ1c2VySWQiOiIxMzE5MjAwNDY4In0=</vt:lpwstr>
  </property>
</Properties>
</file>