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FA425" w14:textId="77777777" w:rsidR="00D60BA6" w:rsidRDefault="00C5108E">
      <w:pPr>
        <w:spacing w:beforeLines="50" w:before="156" w:afterLines="50" w:after="156" w:line="400" w:lineRule="exact"/>
        <w:ind w:firstLineChars="200" w:firstLine="480"/>
        <w:rPr>
          <w:rFonts w:ascii="宋体" w:hAnsi="宋体"/>
          <w:bCs/>
          <w:iCs/>
          <w:color w:val="000000"/>
          <w:sz w:val="24"/>
        </w:rPr>
      </w:pPr>
      <w:r>
        <w:rPr>
          <w:rFonts w:ascii="宋体" w:hAnsi="宋体" w:hint="eastAsia"/>
          <w:bCs/>
          <w:iCs/>
          <w:color w:val="000000"/>
          <w:sz w:val="24"/>
        </w:rPr>
        <w:t>证券代码：</w:t>
      </w:r>
      <w:r>
        <w:rPr>
          <w:rFonts w:ascii="宋体" w:hAnsi="宋体" w:hint="eastAsia"/>
          <w:bCs/>
          <w:iCs/>
          <w:color w:val="000000"/>
          <w:sz w:val="24"/>
        </w:rPr>
        <w:t xml:space="preserve">603738                         </w:t>
      </w:r>
      <w:r>
        <w:rPr>
          <w:rFonts w:ascii="宋体" w:hAnsi="宋体" w:hint="eastAsia"/>
          <w:bCs/>
          <w:iCs/>
          <w:color w:val="000000"/>
          <w:sz w:val="24"/>
        </w:rPr>
        <w:t>证券简称：泰晶科技</w:t>
      </w:r>
    </w:p>
    <w:p w14:paraId="7179BD76" w14:textId="77777777" w:rsidR="00D60BA6" w:rsidRDefault="00D60BA6">
      <w:pPr>
        <w:spacing w:beforeLines="50" w:before="156" w:afterLines="50" w:after="156" w:line="400" w:lineRule="exact"/>
        <w:ind w:firstLineChars="300" w:firstLine="720"/>
        <w:rPr>
          <w:rFonts w:ascii="宋体" w:hAnsi="宋体"/>
          <w:bCs/>
          <w:iCs/>
          <w:color w:val="000000"/>
          <w:sz w:val="24"/>
        </w:rPr>
      </w:pPr>
    </w:p>
    <w:p w14:paraId="169880CE" w14:textId="77777777" w:rsidR="00D60BA6" w:rsidRDefault="00C5108E">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2138A153" w14:textId="77777777" w:rsidR="00D60BA6" w:rsidRDefault="00C5108E">
      <w:pPr>
        <w:spacing w:line="400" w:lineRule="exac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sz w:val="24"/>
        </w:rPr>
        <w:t>编号：</w:t>
      </w:r>
      <w:r>
        <w:rPr>
          <w:rFonts w:ascii="宋体" w:hAnsi="宋体" w:hint="eastAsia"/>
          <w:bCs/>
          <w:iCs/>
          <w:color w:val="000000"/>
          <w:sz w:val="24"/>
        </w:rPr>
        <w:t>2025-004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6611"/>
      </w:tblGrid>
      <w:tr w:rsidR="00D60BA6" w14:paraId="7F70BD1D" w14:textId="77777777">
        <w:tc>
          <w:tcPr>
            <w:tcW w:w="1121" w:type="pct"/>
            <w:vAlign w:val="center"/>
          </w:tcPr>
          <w:p w14:paraId="037F9771" w14:textId="77777777" w:rsidR="00D60BA6" w:rsidRDefault="00C5108E">
            <w:pPr>
              <w:spacing w:line="480" w:lineRule="atLeast"/>
              <w:rPr>
                <w:rFonts w:ascii="宋体" w:hAnsi="宋体"/>
                <w:b/>
                <w:bCs/>
                <w:iCs/>
                <w:color w:val="000000"/>
                <w:sz w:val="24"/>
              </w:rPr>
            </w:pPr>
            <w:r>
              <w:rPr>
                <w:rFonts w:ascii="宋体" w:hAnsi="宋体" w:hint="eastAsia"/>
                <w:b/>
                <w:bCs/>
                <w:iCs/>
                <w:color w:val="000000"/>
                <w:sz w:val="24"/>
              </w:rPr>
              <w:t>投资者关系活动类别</w:t>
            </w:r>
          </w:p>
          <w:p w14:paraId="6C5706C3" w14:textId="77777777" w:rsidR="00D60BA6" w:rsidRDefault="00D60BA6">
            <w:pPr>
              <w:spacing w:line="480" w:lineRule="atLeast"/>
              <w:rPr>
                <w:rFonts w:ascii="宋体" w:hAnsi="宋体"/>
                <w:b/>
                <w:bCs/>
                <w:iCs/>
                <w:color w:val="000000"/>
                <w:sz w:val="24"/>
              </w:rPr>
            </w:pPr>
          </w:p>
        </w:tc>
        <w:tc>
          <w:tcPr>
            <w:tcW w:w="3878" w:type="pct"/>
          </w:tcPr>
          <w:p w14:paraId="7452BC0D" w14:textId="77777777" w:rsidR="00D60BA6" w:rsidRDefault="00C5108E">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特定对象调研</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分析师会议</w:t>
            </w:r>
          </w:p>
          <w:p w14:paraId="00A094D4" w14:textId="77777777" w:rsidR="00D60BA6" w:rsidRDefault="00C5108E">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媒体采访</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业绩说明会</w:t>
            </w:r>
          </w:p>
          <w:p w14:paraId="187E7E30" w14:textId="77777777" w:rsidR="00D60BA6" w:rsidRDefault="00C5108E">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新闻发布会</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路演活动</w:t>
            </w:r>
          </w:p>
          <w:p w14:paraId="61F8DA63" w14:textId="77777777" w:rsidR="00D60BA6" w:rsidRDefault="00C5108E">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Pr>
                <w:rFonts w:ascii="宋体" w:hAnsi="宋体"/>
                <w:bCs/>
                <w:iCs/>
                <w:color w:val="000000"/>
                <w:sz w:val="24"/>
              </w:rPr>
              <w:tab/>
            </w:r>
          </w:p>
          <w:p w14:paraId="219132C8" w14:textId="5619C05E" w:rsidR="00D60BA6" w:rsidRDefault="00C5108E">
            <w:pPr>
              <w:tabs>
                <w:tab w:val="center" w:pos="3199"/>
              </w:tabs>
              <w:spacing w:line="480" w:lineRule="atLeast"/>
              <w:rPr>
                <w:rFonts w:ascii="宋体" w:hAnsi="宋体"/>
                <w:bCs/>
                <w:iCs/>
                <w:color w:val="000000"/>
                <w:sz w:val="24"/>
              </w:rPr>
            </w:pPr>
            <w:r>
              <w:rPr>
                <w:rFonts w:ascii="宋体" w:hAnsi="宋体"/>
                <w:bCs/>
                <w:iCs/>
                <w:kern w:val="0"/>
                <w:sz w:val="24"/>
              </w:rPr>
              <w:fldChar w:fldCharType="begin"/>
            </w:r>
            <w:r>
              <w:rPr>
                <w:rFonts w:ascii="宋体" w:hAnsi="宋体" w:hint="eastAsia"/>
                <w:bCs/>
                <w:iCs/>
                <w:kern w:val="0"/>
                <w:sz w:val="24"/>
              </w:rPr>
              <w:instrText>eq \o\ac(</w:instrText>
            </w:r>
            <w:r>
              <w:rPr>
                <w:rFonts w:ascii="宋体" w:hAnsi="宋体" w:hint="eastAsia"/>
                <w:bCs/>
                <w:iCs/>
                <w:kern w:val="0"/>
                <w:sz w:val="24"/>
              </w:rPr>
              <w:instrText>□</w:instrText>
            </w:r>
            <w:r>
              <w:rPr>
                <w:rFonts w:ascii="宋体" w:hAnsi="宋体" w:hint="eastAsia"/>
                <w:bCs/>
                <w:iCs/>
                <w:kern w:val="0"/>
                <w:sz w:val="24"/>
              </w:rPr>
              <w:instrText>,</w:instrText>
            </w:r>
            <w:r>
              <w:rPr>
                <w:rFonts w:ascii="宋体" w:hAnsi="宋体" w:hint="eastAsia"/>
                <w:bCs/>
                <w:iCs/>
                <w:kern w:val="0"/>
                <w:position w:val="2"/>
                <w:sz w:val="16"/>
              </w:rPr>
              <w:instrText>√</w:instrText>
            </w:r>
            <w:r>
              <w:rPr>
                <w:rFonts w:ascii="宋体" w:hAnsi="宋体" w:hint="eastAsia"/>
                <w:bCs/>
                <w:iCs/>
                <w:kern w:val="0"/>
                <w:sz w:val="24"/>
              </w:rPr>
              <w:instrText>)</w:instrText>
            </w:r>
            <w:r>
              <w:rPr>
                <w:rFonts w:ascii="宋体" w:hAnsi="宋体"/>
                <w:bCs/>
                <w:iCs/>
                <w:kern w:val="0"/>
                <w:sz w:val="24"/>
              </w:rPr>
              <w:fldChar w:fldCharType="end"/>
            </w:r>
            <w:r>
              <w:rPr>
                <w:rFonts w:ascii="宋体" w:hAnsi="宋体" w:hint="eastAsia"/>
                <w:sz w:val="24"/>
              </w:rPr>
              <w:t>其他（电话会）</w:t>
            </w:r>
            <w:r>
              <w:rPr>
                <w:rFonts w:ascii="宋体" w:hAnsi="宋体" w:hint="eastAsia"/>
                <w:sz w:val="24"/>
              </w:rPr>
              <w:t xml:space="preserve"> </w:t>
            </w:r>
          </w:p>
        </w:tc>
      </w:tr>
      <w:tr w:rsidR="00D60BA6" w14:paraId="3B85F3BD" w14:textId="77777777">
        <w:tc>
          <w:tcPr>
            <w:tcW w:w="1121" w:type="pct"/>
            <w:vAlign w:val="center"/>
          </w:tcPr>
          <w:p w14:paraId="4557E662" w14:textId="77777777" w:rsidR="00D60BA6" w:rsidRDefault="00C5108E">
            <w:pPr>
              <w:spacing w:line="48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tcPr>
          <w:p w14:paraId="1DC20183" w14:textId="77777777" w:rsidR="00D60BA6" w:rsidRDefault="00C5108E">
            <w:pPr>
              <w:spacing w:line="480" w:lineRule="atLeast"/>
              <w:rPr>
                <w:rFonts w:ascii="宋体" w:hAnsi="宋体"/>
                <w:bCs/>
                <w:iCs/>
                <w:sz w:val="24"/>
              </w:rPr>
            </w:pPr>
            <w:r>
              <w:rPr>
                <w:rFonts w:ascii="宋体" w:hAnsi="宋体" w:hint="eastAsia"/>
                <w:bCs/>
                <w:iCs/>
                <w:sz w:val="24"/>
              </w:rPr>
              <w:t>兴业证券、东方基金、同泰基金、广东正圆私募基金、上海盘京投资、长盛基金、东吴基金、中华联合保险、九泰基金、兴证资管、深圳私享股权投资基金、浙商资管、君康人寿、</w:t>
            </w:r>
          </w:p>
          <w:p w14:paraId="62E28597" w14:textId="77777777" w:rsidR="00D60BA6" w:rsidRDefault="00C5108E">
            <w:pPr>
              <w:spacing w:line="480" w:lineRule="atLeast"/>
              <w:rPr>
                <w:rFonts w:ascii="宋体" w:hAnsi="宋体"/>
                <w:bCs/>
                <w:iCs/>
                <w:sz w:val="24"/>
              </w:rPr>
            </w:pPr>
            <w:r>
              <w:rPr>
                <w:rFonts w:ascii="宋体" w:hAnsi="宋体" w:hint="eastAsia"/>
                <w:bCs/>
                <w:iCs/>
                <w:sz w:val="24"/>
              </w:rPr>
              <w:t>上海磐厚投资、长城财富保险、厚润德投资、华源证券、</w:t>
            </w:r>
          </w:p>
          <w:p w14:paraId="47802A50" w14:textId="77777777" w:rsidR="00D60BA6" w:rsidRDefault="00C5108E">
            <w:pPr>
              <w:spacing w:line="480" w:lineRule="atLeast"/>
              <w:rPr>
                <w:rFonts w:ascii="宋体" w:hAnsi="宋体"/>
                <w:bCs/>
                <w:iCs/>
                <w:sz w:val="24"/>
              </w:rPr>
            </w:pPr>
            <w:r>
              <w:rPr>
                <w:rFonts w:ascii="宋体" w:hAnsi="宋体" w:hint="eastAsia"/>
                <w:bCs/>
                <w:iCs/>
                <w:sz w:val="24"/>
              </w:rPr>
              <w:t>上海证券、国海证券等</w:t>
            </w:r>
            <w:r>
              <w:rPr>
                <w:rFonts w:ascii="宋体" w:hAnsi="宋体" w:hint="eastAsia"/>
                <w:bCs/>
                <w:iCs/>
                <w:sz w:val="24"/>
              </w:rPr>
              <w:t>27</w:t>
            </w:r>
            <w:r>
              <w:rPr>
                <w:rFonts w:ascii="宋体" w:hAnsi="宋体" w:hint="eastAsia"/>
                <w:bCs/>
                <w:iCs/>
                <w:sz w:val="24"/>
              </w:rPr>
              <w:t>人</w:t>
            </w:r>
          </w:p>
        </w:tc>
      </w:tr>
      <w:tr w:rsidR="00D60BA6" w14:paraId="3551C00D" w14:textId="77777777">
        <w:tc>
          <w:tcPr>
            <w:tcW w:w="1121" w:type="pct"/>
            <w:vAlign w:val="center"/>
          </w:tcPr>
          <w:p w14:paraId="09BED18C" w14:textId="77777777" w:rsidR="00D60BA6" w:rsidRDefault="00C5108E">
            <w:pPr>
              <w:spacing w:line="480" w:lineRule="atLeast"/>
              <w:rPr>
                <w:rFonts w:ascii="宋体" w:hAnsi="宋体"/>
                <w:b/>
                <w:bCs/>
                <w:iCs/>
                <w:color w:val="000000"/>
                <w:sz w:val="24"/>
              </w:rPr>
            </w:pPr>
            <w:r>
              <w:rPr>
                <w:rFonts w:ascii="宋体" w:hAnsi="宋体" w:hint="eastAsia"/>
                <w:b/>
                <w:bCs/>
                <w:iCs/>
                <w:color w:val="000000"/>
                <w:sz w:val="24"/>
              </w:rPr>
              <w:t>时间</w:t>
            </w:r>
          </w:p>
        </w:tc>
        <w:tc>
          <w:tcPr>
            <w:tcW w:w="3878" w:type="pct"/>
          </w:tcPr>
          <w:p w14:paraId="26D68824" w14:textId="77777777" w:rsidR="00D60BA6" w:rsidRDefault="00C5108E">
            <w:pPr>
              <w:spacing w:line="480" w:lineRule="atLeast"/>
              <w:rPr>
                <w:rFonts w:ascii="宋体" w:hAnsi="宋体"/>
                <w:bCs/>
                <w:iCs/>
                <w:sz w:val="24"/>
              </w:rPr>
            </w:pPr>
            <w:r>
              <w:rPr>
                <w:rFonts w:ascii="宋体" w:hAnsi="宋体" w:hint="eastAsia"/>
                <w:bCs/>
                <w:iCs/>
                <w:sz w:val="24"/>
              </w:rPr>
              <w:t>2025</w:t>
            </w:r>
            <w:r>
              <w:rPr>
                <w:rFonts w:ascii="宋体" w:hAnsi="宋体" w:hint="eastAsia"/>
                <w:bCs/>
                <w:iCs/>
                <w:sz w:val="24"/>
              </w:rPr>
              <w:t>年</w:t>
            </w:r>
            <w:r>
              <w:rPr>
                <w:rFonts w:ascii="宋体" w:hAnsi="宋体" w:hint="eastAsia"/>
                <w:bCs/>
                <w:iCs/>
                <w:sz w:val="24"/>
              </w:rPr>
              <w:t>5</w:t>
            </w:r>
            <w:r>
              <w:rPr>
                <w:rFonts w:ascii="宋体" w:hAnsi="宋体" w:hint="eastAsia"/>
                <w:bCs/>
                <w:iCs/>
                <w:sz w:val="24"/>
              </w:rPr>
              <w:t>月</w:t>
            </w:r>
            <w:r>
              <w:rPr>
                <w:rFonts w:ascii="宋体" w:hAnsi="宋体" w:hint="eastAsia"/>
                <w:bCs/>
                <w:iCs/>
                <w:sz w:val="24"/>
              </w:rPr>
              <w:t>6</w:t>
            </w:r>
            <w:r>
              <w:rPr>
                <w:rFonts w:ascii="宋体" w:hAnsi="宋体" w:hint="eastAsia"/>
                <w:bCs/>
                <w:iCs/>
                <w:sz w:val="24"/>
              </w:rPr>
              <w:t>日</w:t>
            </w:r>
            <w:r>
              <w:rPr>
                <w:rFonts w:ascii="宋体" w:hAnsi="宋体" w:hint="eastAsia"/>
                <w:bCs/>
                <w:iCs/>
                <w:sz w:val="24"/>
              </w:rPr>
              <w:t xml:space="preserve"> 15:00-16:00</w:t>
            </w:r>
          </w:p>
        </w:tc>
      </w:tr>
      <w:tr w:rsidR="00D60BA6" w14:paraId="74992690" w14:textId="77777777">
        <w:tc>
          <w:tcPr>
            <w:tcW w:w="1121" w:type="pct"/>
            <w:vAlign w:val="center"/>
          </w:tcPr>
          <w:p w14:paraId="5AF49239" w14:textId="77777777" w:rsidR="00D60BA6" w:rsidRDefault="00C5108E">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14:paraId="22959F6A" w14:textId="77777777" w:rsidR="00D60BA6" w:rsidRDefault="00C5108E">
            <w:pPr>
              <w:spacing w:line="480" w:lineRule="atLeast"/>
              <w:rPr>
                <w:rFonts w:ascii="宋体" w:hAnsi="宋体"/>
                <w:bCs/>
                <w:iCs/>
                <w:sz w:val="24"/>
              </w:rPr>
            </w:pPr>
            <w:r>
              <w:rPr>
                <w:rFonts w:ascii="宋体" w:hAnsi="宋体" w:hint="eastAsia"/>
                <w:bCs/>
                <w:iCs/>
                <w:sz w:val="24"/>
              </w:rPr>
              <w:t>董秘办公室</w:t>
            </w:r>
          </w:p>
        </w:tc>
      </w:tr>
      <w:tr w:rsidR="00D60BA6" w14:paraId="795C8C9C" w14:textId="77777777">
        <w:tc>
          <w:tcPr>
            <w:tcW w:w="1121" w:type="pct"/>
            <w:vAlign w:val="center"/>
          </w:tcPr>
          <w:p w14:paraId="6CF2B5E5" w14:textId="77777777" w:rsidR="00D60BA6" w:rsidRDefault="00C5108E">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3878" w:type="pct"/>
          </w:tcPr>
          <w:p w14:paraId="433D397E" w14:textId="77777777" w:rsidR="00D60BA6" w:rsidRDefault="00C5108E">
            <w:pPr>
              <w:spacing w:line="480" w:lineRule="atLeast"/>
              <w:rPr>
                <w:rFonts w:ascii="宋体" w:hAnsi="宋体"/>
                <w:bCs/>
                <w:iCs/>
                <w:color w:val="000000"/>
                <w:kern w:val="0"/>
                <w:sz w:val="24"/>
              </w:rPr>
            </w:pPr>
            <w:r>
              <w:rPr>
                <w:rFonts w:ascii="宋体" w:hAnsi="宋体" w:hint="eastAsia"/>
                <w:bCs/>
                <w:iCs/>
                <w:color w:val="000000"/>
                <w:kern w:val="0"/>
                <w:sz w:val="24"/>
              </w:rPr>
              <w:t>董事会秘书：黄晓辉女士</w:t>
            </w:r>
          </w:p>
        </w:tc>
      </w:tr>
      <w:tr w:rsidR="00D60BA6" w14:paraId="3E91F4EB" w14:textId="77777777">
        <w:trPr>
          <w:trHeight w:val="140"/>
        </w:trPr>
        <w:tc>
          <w:tcPr>
            <w:tcW w:w="1121" w:type="pct"/>
            <w:vAlign w:val="center"/>
          </w:tcPr>
          <w:p w14:paraId="2F869672" w14:textId="77777777" w:rsidR="00D60BA6" w:rsidRDefault="00C5108E">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14:paraId="25606E79" w14:textId="77777777" w:rsidR="00D60BA6" w:rsidRDefault="00D60BA6">
            <w:pPr>
              <w:spacing w:line="480" w:lineRule="atLeast"/>
              <w:rPr>
                <w:rFonts w:ascii="宋体" w:hAnsi="宋体"/>
                <w:b/>
                <w:bCs/>
                <w:iCs/>
                <w:color w:val="000000"/>
                <w:sz w:val="24"/>
              </w:rPr>
            </w:pPr>
          </w:p>
        </w:tc>
        <w:tc>
          <w:tcPr>
            <w:tcW w:w="3878" w:type="pct"/>
          </w:tcPr>
          <w:p w14:paraId="7774594D" w14:textId="77777777" w:rsidR="00D60BA6" w:rsidRDefault="00C5108E">
            <w:pPr>
              <w:numPr>
                <w:ilvl w:val="0"/>
                <w:numId w:val="1"/>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业绩介绍情况</w:t>
            </w:r>
          </w:p>
          <w:p w14:paraId="4143DAD7" w14:textId="77777777" w:rsidR="00D60BA6" w:rsidRDefault="00C5108E">
            <w:pPr>
              <w:adjustRightInd w:val="0"/>
              <w:snapToGrid w:val="0"/>
              <w:spacing w:line="460" w:lineRule="exact"/>
              <w:ind w:firstLineChars="200" w:firstLine="480"/>
              <w:rPr>
                <w:rFonts w:ascii="宋体" w:hAnsi="宋体"/>
                <w:bCs/>
                <w:iCs/>
                <w:color w:val="000000"/>
                <w:kern w:val="0"/>
                <w:sz w:val="24"/>
              </w:rPr>
            </w:pPr>
            <w:r>
              <w:rPr>
                <w:rFonts w:ascii="宋体" w:hAnsi="宋体"/>
                <w:bCs/>
                <w:iCs/>
                <w:color w:val="000000"/>
                <w:kern w:val="0"/>
                <w:sz w:val="24"/>
              </w:rPr>
              <w:t>2024</w:t>
            </w:r>
            <w:r>
              <w:rPr>
                <w:rFonts w:ascii="宋体" w:hAnsi="宋体" w:hint="eastAsia"/>
                <w:bCs/>
                <w:iCs/>
                <w:color w:val="000000"/>
                <w:kern w:val="0"/>
                <w:sz w:val="24"/>
              </w:rPr>
              <w:t>年，伴随消费类电子市场的改善以及</w:t>
            </w:r>
            <w:r>
              <w:rPr>
                <w:rFonts w:ascii="宋体" w:hAnsi="宋体"/>
                <w:bCs/>
                <w:iCs/>
                <w:color w:val="000000"/>
                <w:kern w:val="0"/>
                <w:sz w:val="24"/>
              </w:rPr>
              <w:t>AI</w:t>
            </w:r>
            <w:r>
              <w:rPr>
                <w:rFonts w:ascii="宋体" w:hAnsi="宋体" w:hint="eastAsia"/>
                <w:bCs/>
                <w:iCs/>
                <w:color w:val="000000"/>
                <w:kern w:val="0"/>
                <w:sz w:val="24"/>
              </w:rPr>
              <w:t>、电动</w:t>
            </w:r>
            <w:r>
              <w:rPr>
                <w:rFonts w:ascii="宋体" w:hAnsi="宋体"/>
                <w:bCs/>
                <w:iCs/>
                <w:color w:val="000000"/>
                <w:kern w:val="0"/>
                <w:sz w:val="24"/>
              </w:rPr>
              <w:t>/</w:t>
            </w:r>
            <w:r>
              <w:rPr>
                <w:rFonts w:ascii="宋体" w:hAnsi="宋体" w:hint="eastAsia"/>
                <w:bCs/>
                <w:iCs/>
                <w:color w:val="000000"/>
                <w:kern w:val="0"/>
                <w:sz w:val="24"/>
              </w:rPr>
              <w:t>智能汽车、光通信等领域的快速发</w:t>
            </w:r>
            <w:r>
              <w:rPr>
                <w:rFonts w:ascii="宋体" w:hAnsi="宋体" w:hint="eastAsia"/>
                <w:bCs/>
                <w:iCs/>
                <w:color w:val="000000"/>
                <w:kern w:val="0"/>
                <w:sz w:val="24"/>
              </w:rPr>
              <w:t>展带动了石英晶体频率元器件需求的上升，但需求结构分化及同质化竞争，产品价格下滑。在严峻的外部环境下，公司深耕石英晶体频率元器件，以技术降本、质量降本为主要抓手，在提质增效、管理提升上下功夫，主动适应终端市场需求变化，巩固核心产品优势，保持优势产品技术与市场竞争力，加快高附加值产品布局，以市场和客户为中心，稳步推进新行业、新应用领域产品特别是低功耗、高基频、高稳定性、钟振类、高可靠性产品研发及品类扩充，把</w:t>
            </w:r>
            <w:r>
              <w:rPr>
                <w:rFonts w:ascii="宋体" w:hAnsi="宋体" w:hint="eastAsia"/>
                <w:bCs/>
                <w:iCs/>
                <w:color w:val="000000"/>
                <w:kern w:val="0"/>
                <w:sz w:val="24"/>
              </w:rPr>
              <w:lastRenderedPageBreak/>
              <w:t>握相关应用领域结构性增长机会，不断提升公司综合竞争力。</w:t>
            </w:r>
          </w:p>
          <w:p w14:paraId="692757A0" w14:textId="77777777" w:rsidR="00D60BA6" w:rsidRDefault="00C5108E">
            <w:pPr>
              <w:adjustRightInd w:val="0"/>
              <w:snapToGrid w:val="0"/>
              <w:spacing w:line="460" w:lineRule="exact"/>
              <w:ind w:firstLineChars="200" w:firstLine="480"/>
              <w:rPr>
                <w:rFonts w:ascii="宋体" w:hAnsi="宋体"/>
                <w:bCs/>
                <w:iCs/>
                <w:color w:val="000000"/>
                <w:kern w:val="0"/>
                <w:sz w:val="24"/>
              </w:rPr>
            </w:pPr>
            <w:r>
              <w:rPr>
                <w:rFonts w:ascii="宋体" w:hAnsi="宋体" w:hint="eastAsia"/>
                <w:bCs/>
                <w:iCs/>
                <w:color w:val="000000"/>
                <w:kern w:val="0"/>
                <w:sz w:val="24"/>
              </w:rPr>
              <w:t>业绩方面，公司主动参</w:t>
            </w:r>
            <w:r>
              <w:rPr>
                <w:rFonts w:ascii="宋体" w:hAnsi="宋体" w:hint="eastAsia"/>
                <w:bCs/>
                <w:iCs/>
                <w:color w:val="000000"/>
                <w:kern w:val="0"/>
                <w:sz w:val="24"/>
              </w:rPr>
              <w:t>与市场竞争，不断提升市占率。</w:t>
            </w:r>
            <w:r>
              <w:rPr>
                <w:rFonts w:ascii="宋体" w:hAnsi="宋体" w:hint="eastAsia"/>
                <w:bCs/>
                <w:iCs/>
                <w:color w:val="000000"/>
                <w:kern w:val="0"/>
                <w:sz w:val="24"/>
              </w:rPr>
              <w:t>2024</w:t>
            </w:r>
            <w:r>
              <w:rPr>
                <w:rFonts w:ascii="宋体" w:hAnsi="宋体" w:hint="eastAsia"/>
                <w:bCs/>
                <w:iCs/>
                <w:color w:val="000000"/>
                <w:kern w:val="0"/>
                <w:sz w:val="24"/>
              </w:rPr>
              <w:t>年，公司实现营业收入</w:t>
            </w:r>
            <w:r>
              <w:rPr>
                <w:rFonts w:ascii="宋体" w:hAnsi="宋体"/>
                <w:bCs/>
                <w:iCs/>
                <w:color w:val="000000"/>
                <w:kern w:val="0"/>
                <w:sz w:val="24"/>
              </w:rPr>
              <w:t>8</w:t>
            </w:r>
            <w:r>
              <w:rPr>
                <w:rFonts w:ascii="宋体" w:hAnsi="宋体" w:hint="eastAsia"/>
                <w:bCs/>
                <w:iCs/>
                <w:color w:val="000000"/>
                <w:kern w:val="0"/>
                <w:sz w:val="24"/>
              </w:rPr>
              <w:t>.</w:t>
            </w:r>
            <w:r>
              <w:rPr>
                <w:rFonts w:ascii="宋体" w:hAnsi="宋体"/>
                <w:bCs/>
                <w:iCs/>
                <w:color w:val="000000"/>
                <w:kern w:val="0"/>
                <w:sz w:val="24"/>
              </w:rPr>
              <w:t>2</w:t>
            </w:r>
            <w:r>
              <w:rPr>
                <w:rFonts w:ascii="宋体" w:hAnsi="宋体" w:hint="eastAsia"/>
                <w:bCs/>
                <w:iCs/>
                <w:color w:val="000000"/>
                <w:kern w:val="0"/>
                <w:sz w:val="24"/>
              </w:rPr>
              <w:t>亿元，同比增加</w:t>
            </w:r>
            <w:r>
              <w:rPr>
                <w:rFonts w:ascii="宋体" w:hAnsi="宋体"/>
                <w:bCs/>
                <w:iCs/>
                <w:color w:val="000000"/>
                <w:kern w:val="0"/>
                <w:sz w:val="24"/>
              </w:rPr>
              <w:t>3.55%</w:t>
            </w:r>
            <w:r>
              <w:rPr>
                <w:rFonts w:ascii="宋体" w:hAnsi="宋体" w:hint="eastAsia"/>
                <w:bCs/>
                <w:iCs/>
                <w:color w:val="000000"/>
                <w:kern w:val="0"/>
                <w:sz w:val="24"/>
              </w:rPr>
              <w:t>；实现归母净利润</w:t>
            </w:r>
            <w:r>
              <w:rPr>
                <w:rFonts w:ascii="宋体" w:hAnsi="宋体"/>
                <w:bCs/>
                <w:iCs/>
                <w:color w:val="000000"/>
                <w:kern w:val="0"/>
                <w:sz w:val="24"/>
              </w:rPr>
              <w:t>8</w:t>
            </w:r>
            <w:r>
              <w:rPr>
                <w:rFonts w:ascii="宋体" w:hAnsi="宋体" w:hint="eastAsia"/>
                <w:bCs/>
                <w:iCs/>
                <w:color w:val="000000"/>
                <w:kern w:val="0"/>
                <w:sz w:val="24"/>
              </w:rPr>
              <w:t>,</w:t>
            </w:r>
            <w:r>
              <w:rPr>
                <w:rFonts w:ascii="宋体" w:hAnsi="宋体"/>
                <w:bCs/>
                <w:iCs/>
                <w:color w:val="000000"/>
                <w:kern w:val="0"/>
                <w:sz w:val="24"/>
              </w:rPr>
              <w:t>758.09</w:t>
            </w:r>
            <w:r>
              <w:rPr>
                <w:rFonts w:ascii="宋体" w:hAnsi="宋体" w:hint="eastAsia"/>
                <w:bCs/>
                <w:iCs/>
                <w:color w:val="000000"/>
                <w:kern w:val="0"/>
                <w:sz w:val="24"/>
              </w:rPr>
              <w:t>万元，同比减少</w:t>
            </w:r>
            <w:r>
              <w:rPr>
                <w:rFonts w:ascii="宋体" w:hAnsi="宋体"/>
                <w:bCs/>
                <w:iCs/>
                <w:color w:val="000000"/>
                <w:kern w:val="0"/>
                <w:sz w:val="24"/>
              </w:rPr>
              <w:t>13.55%</w:t>
            </w:r>
            <w:r>
              <w:rPr>
                <w:rFonts w:ascii="宋体" w:hAnsi="宋体" w:hint="eastAsia"/>
                <w:bCs/>
                <w:iCs/>
                <w:color w:val="000000"/>
                <w:kern w:val="0"/>
                <w:sz w:val="24"/>
              </w:rPr>
              <w:t>。</w:t>
            </w:r>
            <w:r>
              <w:rPr>
                <w:rFonts w:ascii="宋体" w:hAnsi="宋体" w:hint="eastAsia"/>
                <w:bCs/>
                <w:iCs/>
                <w:color w:val="000000"/>
                <w:kern w:val="0"/>
                <w:sz w:val="24"/>
              </w:rPr>
              <w:t>2025</w:t>
            </w:r>
            <w:r>
              <w:rPr>
                <w:rFonts w:ascii="宋体" w:hAnsi="宋体" w:hint="eastAsia"/>
                <w:bCs/>
                <w:iCs/>
                <w:color w:val="000000"/>
                <w:kern w:val="0"/>
                <w:sz w:val="24"/>
              </w:rPr>
              <w:t>年一季度，公司实现营业收入</w:t>
            </w:r>
            <w:r>
              <w:rPr>
                <w:rFonts w:ascii="宋体" w:hAnsi="宋体" w:hint="eastAsia"/>
                <w:bCs/>
                <w:iCs/>
                <w:color w:val="000000"/>
                <w:kern w:val="0"/>
                <w:sz w:val="24"/>
              </w:rPr>
              <w:t>2.00</w:t>
            </w:r>
            <w:r>
              <w:rPr>
                <w:rFonts w:ascii="宋体" w:hAnsi="宋体" w:hint="eastAsia"/>
                <w:bCs/>
                <w:iCs/>
                <w:color w:val="000000"/>
                <w:kern w:val="0"/>
                <w:sz w:val="24"/>
              </w:rPr>
              <w:t>亿元，同比增加</w:t>
            </w:r>
            <w:r>
              <w:rPr>
                <w:rFonts w:ascii="宋体" w:hAnsi="宋体" w:hint="eastAsia"/>
                <w:bCs/>
                <w:iCs/>
                <w:color w:val="000000"/>
                <w:kern w:val="0"/>
                <w:sz w:val="24"/>
              </w:rPr>
              <w:t>10.09%</w:t>
            </w:r>
            <w:r>
              <w:rPr>
                <w:rFonts w:ascii="宋体" w:hAnsi="宋体" w:hint="eastAsia"/>
                <w:bCs/>
                <w:iCs/>
                <w:color w:val="000000"/>
                <w:kern w:val="0"/>
                <w:sz w:val="24"/>
              </w:rPr>
              <w:t>；实现归母净利润</w:t>
            </w:r>
            <w:r>
              <w:rPr>
                <w:rFonts w:ascii="宋体" w:hAnsi="宋体" w:hint="eastAsia"/>
                <w:bCs/>
                <w:iCs/>
                <w:color w:val="000000"/>
                <w:kern w:val="0"/>
                <w:sz w:val="24"/>
              </w:rPr>
              <w:t>869</w:t>
            </w:r>
            <w:r>
              <w:rPr>
                <w:rFonts w:ascii="宋体" w:hAnsi="宋体" w:hint="eastAsia"/>
                <w:bCs/>
                <w:iCs/>
                <w:color w:val="000000"/>
                <w:kern w:val="0"/>
                <w:sz w:val="24"/>
              </w:rPr>
              <w:t>万元，同比下降</w:t>
            </w:r>
            <w:r>
              <w:rPr>
                <w:rFonts w:ascii="宋体" w:hAnsi="宋体" w:hint="eastAsia"/>
                <w:bCs/>
                <w:iCs/>
                <w:color w:val="000000"/>
                <w:kern w:val="0"/>
                <w:sz w:val="24"/>
              </w:rPr>
              <w:t>71.52%</w:t>
            </w:r>
            <w:r>
              <w:rPr>
                <w:rFonts w:ascii="宋体" w:hAnsi="宋体" w:hint="eastAsia"/>
                <w:bCs/>
                <w:iCs/>
                <w:color w:val="000000"/>
                <w:kern w:val="0"/>
                <w:sz w:val="24"/>
              </w:rPr>
              <w:t>。</w:t>
            </w:r>
          </w:p>
          <w:p w14:paraId="0EFCE9E0" w14:textId="77777777" w:rsidR="00D60BA6" w:rsidRDefault="00C5108E">
            <w:pPr>
              <w:adjustRightInd w:val="0"/>
              <w:snapToGrid w:val="0"/>
              <w:spacing w:line="460" w:lineRule="exact"/>
              <w:ind w:firstLineChars="200" w:firstLine="480"/>
              <w:rPr>
                <w:rFonts w:ascii="宋体" w:hAnsi="宋体"/>
                <w:bCs/>
                <w:iCs/>
                <w:color w:val="000000"/>
                <w:kern w:val="0"/>
                <w:sz w:val="24"/>
              </w:rPr>
            </w:pPr>
            <w:r>
              <w:rPr>
                <w:rFonts w:ascii="宋体" w:hAnsi="宋体" w:hint="eastAsia"/>
                <w:bCs/>
                <w:iCs/>
                <w:color w:val="000000"/>
                <w:kern w:val="0"/>
                <w:sz w:val="24"/>
              </w:rPr>
              <w:t>2024</w:t>
            </w:r>
            <w:r>
              <w:rPr>
                <w:rFonts w:ascii="宋体" w:hAnsi="宋体" w:hint="eastAsia"/>
                <w:bCs/>
                <w:iCs/>
                <w:color w:val="000000"/>
                <w:kern w:val="0"/>
                <w:sz w:val="24"/>
              </w:rPr>
              <w:t>年，公司持续加大研发投入，全年研发费用达</w:t>
            </w:r>
            <w:r>
              <w:rPr>
                <w:rFonts w:ascii="宋体" w:hAnsi="宋体" w:hint="eastAsia"/>
                <w:bCs/>
                <w:iCs/>
                <w:color w:val="000000"/>
                <w:kern w:val="0"/>
                <w:sz w:val="24"/>
              </w:rPr>
              <w:t>4,868</w:t>
            </w:r>
            <w:r>
              <w:rPr>
                <w:rFonts w:ascii="宋体" w:hAnsi="宋体" w:hint="eastAsia"/>
                <w:bCs/>
                <w:iCs/>
                <w:color w:val="000000"/>
                <w:kern w:val="0"/>
                <w:sz w:val="24"/>
              </w:rPr>
              <w:t>万元，较上年同期增长</w:t>
            </w:r>
            <w:r>
              <w:rPr>
                <w:rFonts w:ascii="宋体" w:hAnsi="宋体" w:hint="eastAsia"/>
                <w:bCs/>
                <w:iCs/>
                <w:color w:val="000000"/>
                <w:kern w:val="0"/>
                <w:sz w:val="24"/>
              </w:rPr>
              <w:t>33.05%</w:t>
            </w:r>
            <w:r>
              <w:rPr>
                <w:rFonts w:ascii="宋体" w:hAnsi="宋体" w:hint="eastAsia"/>
                <w:bCs/>
                <w:iCs/>
                <w:color w:val="000000"/>
                <w:kern w:val="0"/>
                <w:sz w:val="24"/>
              </w:rPr>
              <w:t>，以进一步巩固自身竞争力，形成较强的拳头产品及核心工艺技术，与此同时，研发费用</w:t>
            </w:r>
            <w:r>
              <w:rPr>
                <w:rFonts w:ascii="宋体" w:hAnsi="宋体" w:hint="eastAsia"/>
                <w:bCs/>
                <w:iCs/>
                <w:color w:val="000000"/>
                <w:kern w:val="0"/>
                <w:sz w:val="24"/>
              </w:rPr>
              <w:t>同比</w:t>
            </w:r>
            <w:r>
              <w:rPr>
                <w:rFonts w:ascii="宋体" w:hAnsi="宋体" w:hint="eastAsia"/>
                <w:bCs/>
                <w:iCs/>
                <w:color w:val="000000"/>
                <w:kern w:val="0"/>
                <w:sz w:val="24"/>
              </w:rPr>
              <w:t>增长</w:t>
            </w:r>
            <w:r>
              <w:rPr>
                <w:rFonts w:ascii="宋体" w:hAnsi="宋体" w:hint="eastAsia"/>
                <w:bCs/>
                <w:iCs/>
                <w:color w:val="000000"/>
                <w:kern w:val="0"/>
                <w:sz w:val="24"/>
              </w:rPr>
              <w:t>1,100</w:t>
            </w:r>
            <w:r>
              <w:rPr>
                <w:rFonts w:ascii="宋体" w:hAnsi="宋体" w:hint="eastAsia"/>
                <w:bCs/>
                <w:iCs/>
                <w:color w:val="000000"/>
                <w:kern w:val="0"/>
                <w:sz w:val="24"/>
              </w:rPr>
              <w:t>万，对</w:t>
            </w:r>
            <w:r>
              <w:rPr>
                <w:rFonts w:ascii="宋体" w:hAnsi="宋体" w:hint="eastAsia"/>
                <w:bCs/>
                <w:iCs/>
                <w:color w:val="000000"/>
                <w:kern w:val="0"/>
                <w:sz w:val="24"/>
              </w:rPr>
              <w:t>2024</w:t>
            </w:r>
            <w:r>
              <w:rPr>
                <w:rFonts w:ascii="宋体" w:hAnsi="宋体" w:hint="eastAsia"/>
                <w:bCs/>
                <w:iCs/>
                <w:color w:val="000000"/>
                <w:kern w:val="0"/>
                <w:sz w:val="24"/>
              </w:rPr>
              <w:t>年度归母净利润产生影响。</w:t>
            </w:r>
          </w:p>
          <w:p w14:paraId="50905548" w14:textId="0191C0CC" w:rsidR="00D60BA6" w:rsidRDefault="00C5108E">
            <w:pPr>
              <w:adjustRightInd w:val="0"/>
              <w:snapToGrid w:val="0"/>
              <w:spacing w:line="460" w:lineRule="exact"/>
              <w:ind w:firstLineChars="200" w:firstLine="480"/>
              <w:rPr>
                <w:rFonts w:ascii="宋体" w:hAnsi="宋体"/>
                <w:bCs/>
                <w:iCs/>
                <w:color w:val="000000"/>
                <w:kern w:val="0"/>
                <w:sz w:val="24"/>
              </w:rPr>
            </w:pPr>
            <w:r>
              <w:rPr>
                <w:rFonts w:ascii="宋体" w:hAnsi="宋体" w:hint="eastAsia"/>
                <w:bCs/>
                <w:iCs/>
                <w:color w:val="000000"/>
                <w:kern w:val="0"/>
                <w:sz w:val="24"/>
              </w:rPr>
              <w:t>2024</w:t>
            </w:r>
            <w:r>
              <w:rPr>
                <w:rFonts w:ascii="宋体" w:hAnsi="宋体" w:hint="eastAsia"/>
                <w:bCs/>
                <w:iCs/>
                <w:color w:val="000000"/>
                <w:kern w:val="0"/>
                <w:sz w:val="24"/>
              </w:rPr>
              <w:t>年，公司直面</w:t>
            </w:r>
            <w:r>
              <w:rPr>
                <w:rFonts w:ascii="宋体" w:hAnsi="宋体" w:hint="eastAsia"/>
                <w:bCs/>
                <w:iCs/>
                <w:color w:val="000000"/>
                <w:kern w:val="0"/>
                <w:sz w:val="24"/>
              </w:rPr>
              <w:t>竞争，主动</w:t>
            </w:r>
            <w:r>
              <w:rPr>
                <w:rFonts w:ascii="宋体" w:hAnsi="宋体" w:hint="eastAsia"/>
                <w:bCs/>
                <w:iCs/>
                <w:color w:val="000000"/>
                <w:kern w:val="0"/>
                <w:sz w:val="24"/>
              </w:rPr>
              <w:t>调整部分产品价格</w:t>
            </w:r>
            <w:r>
              <w:rPr>
                <w:rFonts w:ascii="宋体" w:hAnsi="宋体" w:hint="eastAsia"/>
                <w:bCs/>
                <w:iCs/>
                <w:color w:val="000000"/>
                <w:kern w:val="0"/>
                <w:sz w:val="24"/>
              </w:rPr>
              <w:t>，另新扩有源及车规产线、</w:t>
            </w:r>
            <w:r>
              <w:rPr>
                <w:rFonts w:ascii="宋体" w:hAnsi="宋体" w:hint="eastAsia"/>
                <w:bCs/>
                <w:iCs/>
                <w:color w:val="000000"/>
                <w:kern w:val="0"/>
                <w:sz w:val="24"/>
              </w:rPr>
              <w:t>CNAS</w:t>
            </w:r>
            <w:r>
              <w:rPr>
                <w:rFonts w:ascii="宋体" w:hAnsi="宋体" w:hint="eastAsia"/>
                <w:bCs/>
                <w:iCs/>
                <w:color w:val="000000"/>
                <w:kern w:val="0"/>
                <w:sz w:val="24"/>
              </w:rPr>
              <w:t>实验室、高基频光刻车间等落地，</w:t>
            </w:r>
            <w:r>
              <w:rPr>
                <w:rFonts w:ascii="宋体" w:hAnsi="宋体" w:hint="eastAsia"/>
                <w:bCs/>
                <w:iCs/>
                <w:color w:val="000000"/>
                <w:kern w:val="0"/>
                <w:sz w:val="24"/>
              </w:rPr>
              <w:t>新投产线</w:t>
            </w:r>
            <w:r>
              <w:rPr>
                <w:rFonts w:ascii="宋体" w:hAnsi="宋体" w:hint="eastAsia"/>
                <w:bCs/>
                <w:iCs/>
                <w:color w:val="000000"/>
                <w:kern w:val="0"/>
                <w:sz w:val="24"/>
              </w:rPr>
              <w:t>陆续接受重点</w:t>
            </w:r>
            <w:r>
              <w:rPr>
                <w:rFonts w:ascii="宋体" w:hAnsi="宋体" w:hint="eastAsia"/>
                <w:bCs/>
                <w:iCs/>
                <w:color w:val="000000"/>
                <w:kern w:val="0"/>
                <w:sz w:val="24"/>
              </w:rPr>
              <w:t>客户验收定点，</w:t>
            </w:r>
            <w:r>
              <w:rPr>
                <w:rFonts w:ascii="宋体" w:hAnsi="宋体" w:hint="eastAsia"/>
                <w:bCs/>
                <w:iCs/>
                <w:color w:val="000000"/>
                <w:kern w:val="0"/>
                <w:sz w:val="24"/>
              </w:rPr>
              <w:t>产能尚未释放，</w:t>
            </w:r>
            <w:r>
              <w:rPr>
                <w:rFonts w:ascii="宋体" w:hAnsi="宋体" w:hint="eastAsia"/>
                <w:bCs/>
                <w:iCs/>
                <w:color w:val="000000"/>
                <w:kern w:val="0"/>
                <w:sz w:val="24"/>
              </w:rPr>
              <w:t>固定资产投资增多带来的费用折旧增大，人力成本增长，</w:t>
            </w:r>
            <w:r>
              <w:rPr>
                <w:rFonts w:ascii="宋体" w:hAnsi="宋体" w:hint="eastAsia"/>
                <w:bCs/>
                <w:iCs/>
                <w:color w:val="000000"/>
                <w:kern w:val="0"/>
                <w:sz w:val="24"/>
              </w:rPr>
              <w:t>成本端上涨，影响毛利率</w:t>
            </w:r>
            <w:r>
              <w:rPr>
                <w:rFonts w:ascii="宋体" w:hAnsi="宋体" w:hint="eastAsia"/>
                <w:bCs/>
                <w:iCs/>
                <w:color w:val="000000"/>
                <w:kern w:val="0"/>
                <w:sz w:val="24"/>
              </w:rPr>
              <w:t>，</w:t>
            </w:r>
            <w:r>
              <w:rPr>
                <w:rFonts w:ascii="宋体" w:hAnsi="宋体" w:hint="eastAsia"/>
                <w:bCs/>
                <w:iCs/>
                <w:color w:val="000000"/>
                <w:kern w:val="0"/>
                <w:sz w:val="24"/>
              </w:rPr>
              <w:t>同时，</w:t>
            </w:r>
            <w:r>
              <w:rPr>
                <w:rFonts w:ascii="宋体" w:hAnsi="宋体" w:hint="eastAsia"/>
                <w:bCs/>
                <w:iCs/>
                <w:color w:val="000000"/>
                <w:kern w:val="0"/>
                <w:sz w:val="24"/>
              </w:rPr>
              <w:t>2024</w:t>
            </w:r>
            <w:r>
              <w:rPr>
                <w:rFonts w:ascii="宋体" w:hAnsi="宋体" w:hint="eastAsia"/>
                <w:bCs/>
                <w:iCs/>
                <w:color w:val="000000"/>
                <w:kern w:val="0"/>
                <w:sz w:val="24"/>
              </w:rPr>
              <w:t>年</w:t>
            </w:r>
            <w:r>
              <w:rPr>
                <w:rFonts w:ascii="宋体" w:hAnsi="宋体" w:hint="eastAsia"/>
                <w:bCs/>
                <w:iCs/>
                <w:color w:val="000000"/>
                <w:kern w:val="0"/>
                <w:sz w:val="24"/>
              </w:rPr>
              <w:t>9</w:t>
            </w:r>
            <w:r>
              <w:rPr>
                <w:rFonts w:ascii="宋体" w:hAnsi="宋体" w:hint="eastAsia"/>
                <w:bCs/>
                <w:iCs/>
                <w:color w:val="000000"/>
                <w:kern w:val="0"/>
                <w:sz w:val="24"/>
              </w:rPr>
              <w:t>月，公司施行员工持股计划，对优秀人才进行激励，股份支付费用从</w:t>
            </w:r>
            <w:r>
              <w:rPr>
                <w:rFonts w:ascii="宋体" w:hAnsi="宋体" w:hint="eastAsia"/>
                <w:bCs/>
                <w:iCs/>
                <w:color w:val="000000"/>
                <w:kern w:val="0"/>
                <w:sz w:val="24"/>
              </w:rPr>
              <w:t>2024</w:t>
            </w:r>
            <w:r>
              <w:rPr>
                <w:rFonts w:ascii="宋体" w:hAnsi="宋体" w:hint="eastAsia"/>
                <w:bCs/>
                <w:iCs/>
                <w:color w:val="000000"/>
                <w:kern w:val="0"/>
                <w:sz w:val="24"/>
              </w:rPr>
              <w:t>年四季度开始计提，影响</w:t>
            </w:r>
            <w:r>
              <w:rPr>
                <w:rFonts w:ascii="宋体" w:hAnsi="宋体" w:hint="eastAsia"/>
                <w:bCs/>
                <w:iCs/>
                <w:color w:val="000000"/>
                <w:kern w:val="0"/>
                <w:sz w:val="24"/>
              </w:rPr>
              <w:t>2024</w:t>
            </w:r>
            <w:r>
              <w:rPr>
                <w:rFonts w:ascii="宋体" w:hAnsi="宋体" w:hint="eastAsia"/>
                <w:bCs/>
                <w:iCs/>
                <w:color w:val="000000"/>
                <w:kern w:val="0"/>
                <w:sz w:val="24"/>
              </w:rPr>
              <w:t>年四季度净利润</w:t>
            </w:r>
            <w:r>
              <w:rPr>
                <w:rFonts w:ascii="宋体" w:hAnsi="宋体" w:hint="eastAsia"/>
                <w:bCs/>
                <w:iCs/>
                <w:color w:val="000000"/>
                <w:kern w:val="0"/>
                <w:sz w:val="24"/>
              </w:rPr>
              <w:t>543</w:t>
            </w:r>
            <w:r>
              <w:rPr>
                <w:rFonts w:ascii="宋体" w:hAnsi="宋体" w:hint="eastAsia"/>
                <w:bCs/>
                <w:iCs/>
                <w:color w:val="000000"/>
                <w:kern w:val="0"/>
                <w:sz w:val="24"/>
              </w:rPr>
              <w:t>万，</w:t>
            </w:r>
            <w:r>
              <w:rPr>
                <w:rFonts w:ascii="宋体" w:hAnsi="宋体" w:hint="eastAsia"/>
                <w:bCs/>
                <w:iCs/>
                <w:color w:val="000000"/>
                <w:kern w:val="0"/>
                <w:sz w:val="24"/>
              </w:rPr>
              <w:t>2025</w:t>
            </w:r>
            <w:r>
              <w:rPr>
                <w:rFonts w:ascii="宋体" w:hAnsi="宋体" w:hint="eastAsia"/>
                <w:bCs/>
                <w:iCs/>
                <w:color w:val="000000"/>
                <w:kern w:val="0"/>
                <w:sz w:val="24"/>
              </w:rPr>
              <w:t>年一季度</w:t>
            </w:r>
            <w:r>
              <w:rPr>
                <w:rFonts w:ascii="宋体" w:hAnsi="宋体" w:hint="eastAsia"/>
                <w:bCs/>
                <w:iCs/>
                <w:color w:val="000000"/>
                <w:kern w:val="0"/>
                <w:sz w:val="24"/>
              </w:rPr>
              <w:t>650</w:t>
            </w:r>
            <w:r>
              <w:rPr>
                <w:rFonts w:ascii="宋体" w:hAnsi="宋体" w:hint="eastAsia"/>
                <w:bCs/>
                <w:iCs/>
                <w:color w:val="000000"/>
                <w:kern w:val="0"/>
                <w:sz w:val="24"/>
              </w:rPr>
              <w:t>万</w:t>
            </w:r>
            <w:r>
              <w:rPr>
                <w:rFonts w:ascii="宋体" w:hAnsi="宋体" w:hint="eastAsia"/>
                <w:bCs/>
                <w:iCs/>
                <w:color w:val="000000"/>
                <w:kern w:val="0"/>
                <w:sz w:val="24"/>
              </w:rPr>
              <w:t>，</w:t>
            </w:r>
            <w:r>
              <w:rPr>
                <w:rFonts w:ascii="宋体" w:hAnsi="宋体" w:hint="eastAsia"/>
                <w:bCs/>
                <w:iCs/>
                <w:color w:val="000000"/>
                <w:kern w:val="0"/>
                <w:sz w:val="24"/>
              </w:rPr>
              <w:t>对利润产生一定影响，但</w:t>
            </w:r>
            <w:r>
              <w:rPr>
                <w:rFonts w:ascii="宋体" w:hAnsi="宋体" w:hint="eastAsia"/>
                <w:bCs/>
                <w:iCs/>
                <w:color w:val="000000"/>
                <w:kern w:val="0"/>
                <w:sz w:val="24"/>
              </w:rPr>
              <w:t>这些</w:t>
            </w:r>
            <w:r>
              <w:rPr>
                <w:rFonts w:ascii="宋体" w:hAnsi="宋体" w:hint="eastAsia"/>
                <w:bCs/>
                <w:iCs/>
                <w:color w:val="000000"/>
                <w:kern w:val="0"/>
                <w:sz w:val="24"/>
              </w:rPr>
              <w:t>成本，</w:t>
            </w:r>
            <w:r>
              <w:rPr>
                <w:rFonts w:ascii="宋体" w:hAnsi="宋体" w:hint="eastAsia"/>
                <w:bCs/>
                <w:iCs/>
                <w:color w:val="000000"/>
                <w:kern w:val="0"/>
                <w:sz w:val="24"/>
              </w:rPr>
              <w:t>都</w:t>
            </w:r>
            <w:r>
              <w:rPr>
                <w:rFonts w:ascii="宋体" w:hAnsi="宋体" w:hint="eastAsia"/>
                <w:bCs/>
                <w:iCs/>
                <w:color w:val="000000"/>
                <w:kern w:val="0"/>
                <w:sz w:val="24"/>
              </w:rPr>
              <w:t>是公司未来高质量发展</w:t>
            </w:r>
            <w:r>
              <w:rPr>
                <w:rFonts w:ascii="宋体" w:hAnsi="宋体" w:hint="eastAsia"/>
                <w:bCs/>
                <w:iCs/>
                <w:color w:val="000000"/>
                <w:kern w:val="0"/>
                <w:sz w:val="24"/>
              </w:rPr>
              <w:t>布局</w:t>
            </w:r>
            <w:r>
              <w:rPr>
                <w:rFonts w:ascii="宋体" w:hAnsi="宋体" w:hint="eastAsia"/>
                <w:bCs/>
                <w:iCs/>
                <w:color w:val="000000"/>
                <w:kern w:val="0"/>
                <w:sz w:val="24"/>
              </w:rPr>
              <w:t>的重要安排。</w:t>
            </w:r>
          </w:p>
          <w:p w14:paraId="51BA80BA" w14:textId="77777777" w:rsidR="00D60BA6" w:rsidRDefault="00D60BA6">
            <w:pPr>
              <w:adjustRightInd w:val="0"/>
              <w:snapToGrid w:val="0"/>
              <w:spacing w:line="460" w:lineRule="exact"/>
              <w:rPr>
                <w:rFonts w:ascii="宋体" w:hAnsi="宋体"/>
                <w:bCs/>
                <w:iCs/>
                <w:color w:val="000000"/>
                <w:kern w:val="0"/>
                <w:sz w:val="24"/>
              </w:rPr>
            </w:pPr>
          </w:p>
          <w:p w14:paraId="49229786" w14:textId="77777777" w:rsidR="00D60BA6" w:rsidRDefault="00C5108E">
            <w:pPr>
              <w:numPr>
                <w:ilvl w:val="0"/>
                <w:numId w:val="1"/>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未来展望</w:t>
            </w:r>
          </w:p>
          <w:p w14:paraId="47C02DF6" w14:textId="77777777" w:rsidR="00D60BA6" w:rsidRDefault="00C5108E">
            <w:pPr>
              <w:numPr>
                <w:ilvl w:val="0"/>
                <w:numId w:val="2"/>
              </w:numPr>
              <w:adjustRightInd w:val="0"/>
              <w:snapToGrid w:val="0"/>
              <w:spacing w:line="460" w:lineRule="exact"/>
              <w:rPr>
                <w:rFonts w:ascii="宋体" w:hAnsi="宋体"/>
                <w:bCs/>
                <w:iCs/>
                <w:color w:val="000000"/>
                <w:kern w:val="0"/>
                <w:sz w:val="24"/>
              </w:rPr>
            </w:pPr>
            <w:r>
              <w:rPr>
                <w:rFonts w:ascii="宋体" w:hAnsi="宋体"/>
                <w:bCs/>
                <w:iCs/>
                <w:color w:val="000000"/>
                <w:kern w:val="0"/>
                <w:sz w:val="24"/>
              </w:rPr>
              <w:t>行业格局正在出清，优胜劣汰的演化趋势下，将更有利于公司提升市占率。晶振行业竞争愈发激烈，市场正经历加速出清的过程。未来随着行业竞争的加剧，部分中小企业将因技术瓶颈、资金压力等问题逐渐退出市场，大客户在导入过程中也将考虑产品质控能力、供应稳定性，市场份额将向头部企业集中。在这一背景下，泰晶科技作为龙头企业，凭借领先的技术积累、完善的产品布局以及优质的客户资源，将充分受益于行业格局的优化。</w:t>
            </w:r>
          </w:p>
          <w:p w14:paraId="544881AA" w14:textId="77777777" w:rsidR="00D60BA6" w:rsidRDefault="00C5108E">
            <w:pPr>
              <w:numPr>
                <w:ilvl w:val="0"/>
                <w:numId w:val="2"/>
              </w:numPr>
              <w:adjustRightInd w:val="0"/>
              <w:snapToGrid w:val="0"/>
              <w:spacing w:line="460" w:lineRule="exact"/>
              <w:rPr>
                <w:rFonts w:ascii="宋体" w:hAnsi="宋体"/>
                <w:bCs/>
                <w:iCs/>
                <w:color w:val="000000"/>
                <w:kern w:val="0"/>
                <w:sz w:val="24"/>
              </w:rPr>
            </w:pPr>
            <w:r>
              <w:rPr>
                <w:rFonts w:ascii="宋体" w:hAnsi="宋体"/>
                <w:bCs/>
                <w:iCs/>
                <w:color w:val="000000"/>
                <w:kern w:val="0"/>
                <w:sz w:val="24"/>
              </w:rPr>
              <w:t>高端化</w:t>
            </w:r>
            <w:r>
              <w:rPr>
                <w:rFonts w:ascii="宋体" w:hAnsi="宋体" w:hint="eastAsia"/>
                <w:bCs/>
                <w:iCs/>
                <w:color w:val="000000"/>
                <w:kern w:val="0"/>
                <w:sz w:val="24"/>
              </w:rPr>
              <w:t>投入将迎来战略收获期</w:t>
            </w:r>
            <w:r>
              <w:rPr>
                <w:rFonts w:ascii="宋体" w:hAnsi="宋体"/>
                <w:bCs/>
                <w:iCs/>
                <w:color w:val="000000"/>
                <w:kern w:val="0"/>
                <w:sz w:val="24"/>
              </w:rPr>
              <w:t>。</w:t>
            </w:r>
            <w:r>
              <w:rPr>
                <w:rFonts w:ascii="宋体" w:hAnsi="宋体" w:hint="eastAsia"/>
                <w:bCs/>
                <w:iCs/>
                <w:color w:val="000000"/>
                <w:kern w:val="0"/>
                <w:sz w:val="24"/>
              </w:rPr>
              <w:t>2024</w:t>
            </w:r>
            <w:r>
              <w:rPr>
                <w:rFonts w:ascii="宋体" w:hAnsi="宋体" w:hint="eastAsia"/>
                <w:bCs/>
                <w:iCs/>
                <w:color w:val="000000"/>
                <w:kern w:val="0"/>
                <w:sz w:val="24"/>
              </w:rPr>
              <w:t>年</w:t>
            </w:r>
            <w:r>
              <w:rPr>
                <w:rFonts w:ascii="宋体" w:hAnsi="宋体"/>
                <w:bCs/>
                <w:iCs/>
                <w:color w:val="000000"/>
                <w:kern w:val="0"/>
                <w:sz w:val="24"/>
              </w:rPr>
              <w:t>公司持续加大研发</w:t>
            </w:r>
            <w:r>
              <w:rPr>
                <w:rFonts w:ascii="宋体" w:hAnsi="宋体"/>
                <w:bCs/>
                <w:iCs/>
                <w:color w:val="000000"/>
                <w:kern w:val="0"/>
                <w:sz w:val="24"/>
              </w:rPr>
              <w:lastRenderedPageBreak/>
              <w:t>投入，积极推进高端化战略布局，并取得了显著成效。在全域产品布局中，巩</w:t>
            </w:r>
            <w:r>
              <w:rPr>
                <w:rFonts w:ascii="宋体" w:hAnsi="宋体"/>
                <w:bCs/>
                <w:iCs/>
                <w:color w:val="000000"/>
                <w:kern w:val="0"/>
                <w:sz w:val="24"/>
              </w:rPr>
              <w:t>固</w:t>
            </w:r>
            <w:r>
              <w:rPr>
                <w:rFonts w:ascii="宋体" w:hAnsi="宋体"/>
                <w:bCs/>
                <w:iCs/>
                <w:color w:val="000000"/>
                <w:kern w:val="0"/>
                <w:sz w:val="24"/>
              </w:rPr>
              <w:t>kHz</w:t>
            </w:r>
            <w:r>
              <w:rPr>
                <w:rFonts w:ascii="宋体" w:hAnsi="宋体"/>
                <w:bCs/>
                <w:iCs/>
                <w:color w:val="000000"/>
                <w:kern w:val="0"/>
                <w:sz w:val="24"/>
              </w:rPr>
              <w:t>晶振、</w:t>
            </w:r>
            <w:r>
              <w:rPr>
                <w:rFonts w:ascii="宋体" w:hAnsi="宋体"/>
                <w:bCs/>
                <w:iCs/>
                <w:color w:val="000000"/>
                <w:kern w:val="0"/>
                <w:sz w:val="24"/>
              </w:rPr>
              <w:t>RTC</w:t>
            </w:r>
            <w:r>
              <w:rPr>
                <w:rFonts w:ascii="宋体" w:hAnsi="宋体"/>
                <w:bCs/>
                <w:iCs/>
                <w:color w:val="000000"/>
                <w:kern w:val="0"/>
                <w:sz w:val="24"/>
              </w:rPr>
              <w:t>领域技术优势和市场竞争优势；继续推动微小尺寸、超高基频全产业链的自主可控，在</w:t>
            </w:r>
            <w:r>
              <w:rPr>
                <w:rFonts w:ascii="宋体" w:hAnsi="宋体"/>
                <w:bCs/>
                <w:iCs/>
                <w:color w:val="000000"/>
                <w:kern w:val="0"/>
                <w:sz w:val="24"/>
              </w:rPr>
              <w:t>2024</w:t>
            </w:r>
            <w:r>
              <w:rPr>
                <w:rFonts w:ascii="宋体" w:hAnsi="宋体"/>
                <w:bCs/>
                <w:iCs/>
                <w:color w:val="000000"/>
                <w:kern w:val="0"/>
                <w:sz w:val="24"/>
              </w:rPr>
              <w:t>年超高频光刻车间扩产基础上，</w:t>
            </w:r>
            <w:r>
              <w:rPr>
                <w:rFonts w:ascii="宋体" w:hAnsi="宋体"/>
                <w:bCs/>
                <w:iCs/>
                <w:color w:val="000000"/>
                <w:kern w:val="0"/>
                <w:sz w:val="24"/>
              </w:rPr>
              <w:t>100M</w:t>
            </w:r>
            <w:r>
              <w:rPr>
                <w:rFonts w:ascii="宋体" w:hAnsi="宋体"/>
                <w:bCs/>
                <w:iCs/>
                <w:color w:val="000000"/>
                <w:kern w:val="0"/>
                <w:sz w:val="24"/>
              </w:rPr>
              <w:t>以上面向</w:t>
            </w:r>
            <w:r>
              <w:rPr>
                <w:rFonts w:ascii="宋体" w:hAnsi="宋体"/>
                <w:bCs/>
                <w:iCs/>
                <w:color w:val="000000"/>
                <w:kern w:val="0"/>
                <w:sz w:val="24"/>
              </w:rPr>
              <w:t>6G</w:t>
            </w:r>
            <w:r>
              <w:rPr>
                <w:rFonts w:ascii="宋体" w:hAnsi="宋体"/>
                <w:bCs/>
                <w:iCs/>
                <w:color w:val="000000"/>
                <w:kern w:val="0"/>
                <w:sz w:val="24"/>
              </w:rPr>
              <w:t>、光模块、服务器等应用场景配套稳定量产，产出良率和产销量逐步提升；</w:t>
            </w:r>
            <w:r>
              <w:rPr>
                <w:rFonts w:ascii="宋体" w:hAnsi="宋体"/>
                <w:bCs/>
                <w:iCs/>
                <w:color w:val="000000"/>
                <w:kern w:val="0"/>
                <w:sz w:val="24"/>
              </w:rPr>
              <w:t>2025</w:t>
            </w:r>
            <w:r>
              <w:rPr>
                <w:rFonts w:ascii="宋体" w:hAnsi="宋体"/>
                <w:bCs/>
                <w:iCs/>
                <w:color w:val="000000"/>
                <w:kern w:val="0"/>
                <w:sz w:val="24"/>
              </w:rPr>
              <w:t>年，继续加大车规产线投资，推动有源产品、</w:t>
            </w:r>
            <w:r>
              <w:rPr>
                <w:rFonts w:ascii="宋体" w:hAnsi="宋体"/>
                <w:bCs/>
                <w:iCs/>
                <w:color w:val="000000"/>
                <w:kern w:val="0"/>
                <w:sz w:val="24"/>
              </w:rPr>
              <w:t>XO</w:t>
            </w:r>
            <w:r>
              <w:rPr>
                <w:rFonts w:ascii="宋体" w:hAnsi="宋体"/>
                <w:bCs/>
                <w:iCs/>
                <w:color w:val="000000"/>
                <w:kern w:val="0"/>
                <w:sz w:val="24"/>
              </w:rPr>
              <w:t>产线的全面投产，提高高精度、高可靠性和高稳定性产品产能及占比，提升高毛利率产品产出效益比。</w:t>
            </w:r>
          </w:p>
          <w:p w14:paraId="5EFE6E46" w14:textId="4F9E00CA" w:rsidR="00D60BA6" w:rsidRDefault="00C5108E">
            <w:pPr>
              <w:numPr>
                <w:ilvl w:val="0"/>
                <w:numId w:val="2"/>
              </w:numPr>
              <w:adjustRightInd w:val="0"/>
              <w:snapToGrid w:val="0"/>
              <w:spacing w:line="460" w:lineRule="exact"/>
              <w:rPr>
                <w:rFonts w:ascii="宋体" w:hAnsi="宋体"/>
                <w:bCs/>
                <w:iCs/>
                <w:color w:val="000000"/>
                <w:kern w:val="0"/>
                <w:sz w:val="24"/>
              </w:rPr>
            </w:pPr>
            <w:r>
              <w:rPr>
                <w:rFonts w:ascii="宋体" w:hAnsi="宋体"/>
                <w:bCs/>
                <w:iCs/>
                <w:color w:val="000000"/>
                <w:kern w:val="0"/>
                <w:sz w:val="24"/>
              </w:rPr>
              <w:t>2025</w:t>
            </w:r>
            <w:r>
              <w:rPr>
                <w:rFonts w:ascii="宋体" w:hAnsi="宋体"/>
                <w:bCs/>
                <w:iCs/>
                <w:color w:val="000000"/>
                <w:kern w:val="0"/>
                <w:sz w:val="24"/>
              </w:rPr>
              <w:t>年，围绕大客户发展战略，抢占关键市场，构筑竞争壁垒</w:t>
            </w:r>
            <w:r>
              <w:rPr>
                <w:rFonts w:ascii="宋体" w:hAnsi="宋体" w:hint="eastAsia"/>
                <w:bCs/>
                <w:iCs/>
                <w:color w:val="000000"/>
                <w:kern w:val="0"/>
                <w:sz w:val="24"/>
              </w:rPr>
              <w:t>。</w:t>
            </w:r>
            <w:r>
              <w:rPr>
                <w:rFonts w:ascii="宋体" w:hAnsi="宋体"/>
                <w:bCs/>
                <w:iCs/>
                <w:color w:val="000000"/>
                <w:kern w:val="0"/>
                <w:sz w:val="24"/>
              </w:rPr>
              <w:t>在物联网、移动终端、工业控制、电力能源等市场，利用国内在成本控制、供应链本地化服务和快速</w:t>
            </w:r>
            <w:r>
              <w:rPr>
                <w:rFonts w:ascii="宋体" w:hAnsi="宋体"/>
                <w:bCs/>
                <w:iCs/>
                <w:color w:val="000000"/>
                <w:kern w:val="0"/>
                <w:sz w:val="24"/>
              </w:rPr>
              <w:t>响应优势，进一步提升行业头部客户的市场渗透，聚焦高价值高可靠性车规级晶振、工业级</w:t>
            </w:r>
            <w:r>
              <w:rPr>
                <w:rFonts w:ascii="宋体" w:hAnsi="宋体"/>
                <w:bCs/>
                <w:iCs/>
                <w:color w:val="000000"/>
                <w:kern w:val="0"/>
                <w:sz w:val="24"/>
              </w:rPr>
              <w:t>XO</w:t>
            </w:r>
            <w:r>
              <w:rPr>
                <w:rFonts w:ascii="宋体" w:hAnsi="宋体"/>
                <w:bCs/>
                <w:iCs/>
                <w:color w:val="000000"/>
                <w:kern w:val="0"/>
                <w:sz w:val="24"/>
              </w:rPr>
              <w:t>差分振荡器，服务器和数据中心对超高基频、高精度晶振的需求增长，以及卫星导航、智能物联、光通信等对高稳定性晶振需求，配套主流芯片厂商升级与日系保持技术水平的一致性，实现从国产替代到全球配套，共建生态场景落地。</w:t>
            </w:r>
          </w:p>
          <w:p w14:paraId="51885725" w14:textId="77777777" w:rsidR="00D60BA6" w:rsidRDefault="00C5108E">
            <w:pPr>
              <w:numPr>
                <w:ilvl w:val="0"/>
                <w:numId w:val="2"/>
              </w:numPr>
              <w:adjustRightInd w:val="0"/>
              <w:snapToGrid w:val="0"/>
              <w:spacing w:line="460" w:lineRule="exact"/>
              <w:rPr>
                <w:rFonts w:ascii="宋体" w:hAnsi="宋体"/>
                <w:bCs/>
                <w:iCs/>
                <w:color w:val="000000"/>
                <w:kern w:val="0"/>
                <w:sz w:val="24"/>
              </w:rPr>
            </w:pPr>
            <w:r>
              <w:rPr>
                <w:rFonts w:ascii="宋体" w:hAnsi="宋体"/>
                <w:bCs/>
                <w:iCs/>
                <w:color w:val="000000"/>
                <w:kern w:val="0"/>
                <w:sz w:val="24"/>
              </w:rPr>
              <w:t>新兴市场多点开拓</w:t>
            </w:r>
            <w:r>
              <w:rPr>
                <w:rFonts w:ascii="宋体" w:hAnsi="宋体" w:hint="eastAsia"/>
                <w:bCs/>
                <w:iCs/>
                <w:color w:val="000000"/>
                <w:kern w:val="0"/>
                <w:sz w:val="24"/>
              </w:rPr>
              <w:t>。</w:t>
            </w:r>
            <w:r>
              <w:rPr>
                <w:rFonts w:ascii="宋体" w:hAnsi="宋体"/>
                <w:bCs/>
                <w:iCs/>
                <w:color w:val="000000"/>
                <w:kern w:val="0"/>
                <w:sz w:val="24"/>
              </w:rPr>
              <w:t>AI</w:t>
            </w:r>
            <w:r>
              <w:rPr>
                <w:rFonts w:ascii="宋体" w:hAnsi="宋体"/>
                <w:bCs/>
                <w:iCs/>
                <w:color w:val="000000"/>
                <w:kern w:val="0"/>
                <w:sz w:val="24"/>
              </w:rPr>
              <w:t>的兴起为晶振市场带来了新的机遇。端侧</w:t>
            </w:r>
            <w:r>
              <w:rPr>
                <w:rFonts w:ascii="宋体" w:hAnsi="宋体"/>
                <w:bCs/>
                <w:iCs/>
                <w:color w:val="000000"/>
                <w:kern w:val="0"/>
                <w:sz w:val="24"/>
              </w:rPr>
              <w:t>AI</w:t>
            </w:r>
            <w:r>
              <w:rPr>
                <w:rFonts w:ascii="宋体" w:hAnsi="宋体"/>
                <w:bCs/>
                <w:iCs/>
                <w:color w:val="000000"/>
                <w:kern w:val="0"/>
                <w:sz w:val="24"/>
              </w:rPr>
              <w:t>的发展，使得各类</w:t>
            </w:r>
            <w:r>
              <w:rPr>
                <w:rFonts w:ascii="宋体" w:hAnsi="宋体"/>
                <w:bCs/>
                <w:iCs/>
                <w:color w:val="000000"/>
                <w:kern w:val="0"/>
                <w:sz w:val="24"/>
              </w:rPr>
              <w:t>AI</w:t>
            </w:r>
            <w:r>
              <w:rPr>
                <w:rFonts w:ascii="宋体" w:hAnsi="宋体"/>
                <w:bCs/>
                <w:iCs/>
                <w:color w:val="000000"/>
                <w:kern w:val="0"/>
                <w:sz w:val="24"/>
              </w:rPr>
              <w:t>终端对晶振需求大增。相关应用如智能驾驶、</w:t>
            </w:r>
            <w:r>
              <w:rPr>
                <w:rFonts w:ascii="宋体" w:hAnsi="宋体"/>
                <w:bCs/>
                <w:iCs/>
                <w:color w:val="000000"/>
                <w:kern w:val="0"/>
                <w:sz w:val="24"/>
              </w:rPr>
              <w:t>AI</w:t>
            </w:r>
            <w:r>
              <w:rPr>
                <w:rFonts w:ascii="宋体" w:hAnsi="宋体"/>
                <w:bCs/>
                <w:iCs/>
                <w:color w:val="000000"/>
                <w:kern w:val="0"/>
                <w:sz w:val="24"/>
              </w:rPr>
              <w:t>眼镜、</w:t>
            </w:r>
            <w:r>
              <w:rPr>
                <w:rFonts w:ascii="宋体" w:hAnsi="宋体"/>
                <w:bCs/>
                <w:iCs/>
                <w:color w:val="000000"/>
                <w:kern w:val="0"/>
                <w:sz w:val="24"/>
              </w:rPr>
              <w:t>AI</w:t>
            </w:r>
            <w:r>
              <w:rPr>
                <w:rFonts w:ascii="宋体" w:hAnsi="宋体"/>
                <w:bCs/>
                <w:iCs/>
                <w:color w:val="000000"/>
                <w:kern w:val="0"/>
                <w:sz w:val="24"/>
              </w:rPr>
              <w:t>玩具、算力服务器、人形机器人等都将为公司产品带来新的消费场景。公司作为全球少数具备算</w:t>
            </w:r>
            <w:r>
              <w:rPr>
                <w:rFonts w:ascii="宋体" w:hAnsi="宋体"/>
                <w:bCs/>
                <w:iCs/>
                <w:color w:val="000000"/>
                <w:kern w:val="0"/>
                <w:sz w:val="24"/>
              </w:rPr>
              <w:t>力芯片配套能力的晶体厂商以及全域产品生产能力，产品具备先发优势，同时，</w:t>
            </w:r>
            <w:r>
              <w:rPr>
                <w:rFonts w:ascii="宋体" w:hAnsi="宋体"/>
                <w:bCs/>
                <w:iCs/>
                <w:color w:val="000000"/>
                <w:kern w:val="0"/>
                <w:sz w:val="24"/>
              </w:rPr>
              <w:t>6G</w:t>
            </w:r>
            <w:r>
              <w:rPr>
                <w:rFonts w:ascii="宋体" w:hAnsi="宋体"/>
                <w:bCs/>
                <w:iCs/>
                <w:color w:val="000000"/>
                <w:kern w:val="0"/>
                <w:sz w:val="24"/>
              </w:rPr>
              <w:t>、北斗、低空飞行器等新兴市场也为晶振行业带来了新的发展方向，公司已落地方案在部分场景中实现应用。公司有望在新兴技术领域卡位和国产替代加速，凭借技术优势和成本优势逐步承接日台系产能转移。</w:t>
            </w:r>
          </w:p>
          <w:p w14:paraId="677F91DD" w14:textId="77777777" w:rsidR="00D60BA6" w:rsidRDefault="00D60BA6">
            <w:pPr>
              <w:adjustRightInd w:val="0"/>
              <w:snapToGrid w:val="0"/>
              <w:spacing w:line="460" w:lineRule="exact"/>
              <w:ind w:firstLineChars="200" w:firstLine="480"/>
              <w:rPr>
                <w:rFonts w:ascii="宋体" w:hAnsi="宋体"/>
                <w:bCs/>
                <w:iCs/>
                <w:color w:val="000000"/>
                <w:kern w:val="0"/>
                <w:sz w:val="24"/>
              </w:rPr>
            </w:pPr>
          </w:p>
          <w:p w14:paraId="493A26BD" w14:textId="77777777" w:rsidR="00D60BA6" w:rsidRDefault="00C5108E">
            <w:pPr>
              <w:numPr>
                <w:ilvl w:val="0"/>
                <w:numId w:val="1"/>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问答环节：</w:t>
            </w:r>
          </w:p>
          <w:p w14:paraId="18ACE5DD" w14:textId="77777777" w:rsidR="00D60BA6" w:rsidRDefault="00C5108E">
            <w:pPr>
              <w:numPr>
                <w:ilvl w:val="0"/>
                <w:numId w:val="3"/>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2024</w:t>
            </w:r>
            <w:r>
              <w:rPr>
                <w:rFonts w:ascii="宋体" w:hAnsi="宋体" w:hint="eastAsia"/>
                <w:b/>
                <w:iCs/>
                <w:color w:val="000000"/>
                <w:kern w:val="0"/>
                <w:sz w:val="24"/>
              </w:rPr>
              <w:t>年公司车规业整体的表现如何，战略投入期具体遇到了哪些困难，后续如何展望？</w:t>
            </w:r>
          </w:p>
          <w:p w14:paraId="2C454AA5"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lastRenderedPageBreak/>
              <w:t>答：</w:t>
            </w:r>
            <w:r>
              <w:rPr>
                <w:rFonts w:ascii="宋体" w:hAnsi="宋体" w:hint="eastAsia"/>
                <w:bCs/>
                <w:iCs/>
                <w:color w:val="000000"/>
                <w:kern w:val="0"/>
                <w:sz w:val="24"/>
              </w:rPr>
              <w:t>1</w:t>
            </w:r>
            <w:r>
              <w:rPr>
                <w:rFonts w:ascii="宋体" w:hAnsi="宋体" w:hint="eastAsia"/>
                <w:bCs/>
                <w:iCs/>
                <w:color w:val="000000"/>
                <w:kern w:val="0"/>
                <w:sz w:val="24"/>
              </w:rPr>
              <w:t>）</w:t>
            </w:r>
            <w:r>
              <w:rPr>
                <w:rFonts w:ascii="宋体" w:hAnsi="宋体"/>
                <w:bCs/>
                <w:iCs/>
                <w:color w:val="000000"/>
                <w:kern w:val="0"/>
                <w:sz w:val="24"/>
              </w:rPr>
              <w:t>在客户端车规级晶振与芯片同列</w:t>
            </w:r>
            <w:r>
              <w:rPr>
                <w:rFonts w:ascii="宋体" w:hAnsi="宋体" w:hint="eastAsia"/>
                <w:bCs/>
                <w:iCs/>
                <w:color w:val="000000"/>
                <w:kern w:val="0"/>
                <w:sz w:val="24"/>
              </w:rPr>
              <w:t>“</w:t>
            </w:r>
            <w:r>
              <w:rPr>
                <w:rFonts w:ascii="宋体" w:hAnsi="宋体"/>
                <w:bCs/>
                <w:iCs/>
                <w:color w:val="000000"/>
                <w:kern w:val="0"/>
                <w:sz w:val="24"/>
              </w:rPr>
              <w:t>核心器件</w:t>
            </w:r>
            <w:r>
              <w:rPr>
                <w:rFonts w:ascii="宋体" w:hAnsi="宋体" w:hint="eastAsia"/>
                <w:bCs/>
                <w:iCs/>
                <w:color w:val="000000"/>
                <w:kern w:val="0"/>
                <w:sz w:val="24"/>
              </w:rPr>
              <w:t>”</w:t>
            </w:r>
            <w:r>
              <w:rPr>
                <w:rFonts w:ascii="宋体" w:hAnsi="宋体"/>
                <w:bCs/>
                <w:iCs/>
                <w:color w:val="000000"/>
                <w:kern w:val="0"/>
                <w:sz w:val="24"/>
              </w:rPr>
              <w:t>序列。时钟信号是电路系统中频率最高，边缘最陡的信号，最容易受到干扰。晶振出问题</w:t>
            </w:r>
            <w:r>
              <w:rPr>
                <w:rFonts w:ascii="宋体" w:hAnsi="宋体" w:hint="eastAsia"/>
                <w:bCs/>
                <w:iCs/>
                <w:color w:val="000000"/>
                <w:kern w:val="0"/>
                <w:sz w:val="24"/>
              </w:rPr>
              <w:t>将</w:t>
            </w:r>
            <w:r>
              <w:rPr>
                <w:rFonts w:ascii="宋体" w:hAnsi="宋体"/>
                <w:bCs/>
                <w:iCs/>
                <w:color w:val="000000"/>
                <w:kern w:val="0"/>
                <w:sz w:val="24"/>
              </w:rPr>
              <w:t>影响整个系统，所以客户在选择</w:t>
            </w:r>
            <w:r>
              <w:rPr>
                <w:rFonts w:ascii="宋体" w:hAnsi="宋体"/>
                <w:bCs/>
                <w:iCs/>
                <w:color w:val="000000"/>
                <w:kern w:val="0"/>
                <w:sz w:val="24"/>
              </w:rPr>
              <w:t>上会更慎重，对晶振厂商的选择验证周期会更严苛</w:t>
            </w:r>
            <w:r>
              <w:rPr>
                <w:rFonts w:ascii="宋体" w:hAnsi="宋体" w:hint="eastAsia"/>
                <w:bCs/>
                <w:iCs/>
                <w:color w:val="000000"/>
                <w:kern w:val="0"/>
                <w:sz w:val="24"/>
              </w:rPr>
              <w:t>；</w:t>
            </w:r>
          </w:p>
          <w:p w14:paraId="0C9A7B4D"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2</w:t>
            </w:r>
            <w:r>
              <w:rPr>
                <w:rFonts w:ascii="宋体" w:hAnsi="宋体" w:hint="eastAsia"/>
                <w:bCs/>
                <w:iCs/>
                <w:color w:val="000000"/>
                <w:kern w:val="0"/>
                <w:sz w:val="24"/>
              </w:rPr>
              <w:t>）</w:t>
            </w:r>
            <w:r>
              <w:rPr>
                <w:rFonts w:ascii="宋体" w:hAnsi="宋体"/>
                <w:bCs/>
                <w:iCs/>
                <w:color w:val="000000"/>
                <w:kern w:val="0"/>
                <w:sz w:val="24"/>
              </w:rPr>
              <w:t>车规级晶振的难度本质是在高精度与极端环境下实现零缺陷的工业化</w:t>
            </w:r>
            <w:r>
              <w:rPr>
                <w:rFonts w:ascii="宋体" w:hAnsi="宋体" w:hint="eastAsia"/>
                <w:bCs/>
                <w:iCs/>
                <w:color w:val="000000"/>
                <w:kern w:val="0"/>
                <w:sz w:val="24"/>
              </w:rPr>
              <w:t>，</w:t>
            </w:r>
            <w:r>
              <w:rPr>
                <w:rFonts w:ascii="宋体" w:hAnsi="宋体"/>
                <w:bCs/>
                <w:iCs/>
                <w:color w:val="000000"/>
                <w:kern w:val="0"/>
                <w:sz w:val="24"/>
              </w:rPr>
              <w:t>其生产需突破材料极限（如耐高温石英晶体）、工艺极限（零缺陷要求）和可靠性极限（如</w:t>
            </w:r>
            <w:r>
              <w:rPr>
                <w:rFonts w:ascii="宋体" w:hAnsi="宋体"/>
                <w:bCs/>
                <w:iCs/>
                <w:color w:val="000000"/>
                <w:kern w:val="0"/>
                <w:sz w:val="24"/>
              </w:rPr>
              <w:t>15</w:t>
            </w:r>
            <w:r>
              <w:rPr>
                <w:rFonts w:ascii="宋体" w:hAnsi="宋体"/>
                <w:bCs/>
                <w:iCs/>
                <w:color w:val="000000"/>
                <w:kern w:val="0"/>
                <w:sz w:val="24"/>
              </w:rPr>
              <w:t>年寿命），同时满足严苛认证与供应链管理。全球仅少数企业能稳定供应车规晶振，行业壁垒极高，这也是车规晶振价格昂贵、验证周期长的关键</w:t>
            </w:r>
            <w:r>
              <w:rPr>
                <w:rFonts w:ascii="宋体" w:hAnsi="宋体" w:hint="eastAsia"/>
                <w:bCs/>
                <w:iCs/>
                <w:color w:val="000000"/>
                <w:kern w:val="0"/>
                <w:sz w:val="24"/>
              </w:rPr>
              <w:t>因素；</w:t>
            </w:r>
          </w:p>
          <w:p w14:paraId="08092EB2"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3</w:t>
            </w:r>
            <w:r>
              <w:rPr>
                <w:rFonts w:ascii="宋体" w:hAnsi="宋体" w:hint="eastAsia"/>
                <w:bCs/>
                <w:iCs/>
                <w:color w:val="000000"/>
                <w:kern w:val="0"/>
                <w:sz w:val="24"/>
              </w:rPr>
              <w:t>）</w:t>
            </w:r>
            <w:r>
              <w:rPr>
                <w:rFonts w:ascii="宋体" w:hAnsi="宋体"/>
                <w:bCs/>
                <w:iCs/>
                <w:color w:val="000000"/>
                <w:kern w:val="0"/>
                <w:sz w:val="24"/>
              </w:rPr>
              <w:t>大客户要求非常多，且很多是个性化需要</w:t>
            </w:r>
            <w:r>
              <w:rPr>
                <w:rFonts w:ascii="宋体" w:hAnsi="宋体" w:hint="eastAsia"/>
                <w:bCs/>
                <w:iCs/>
                <w:color w:val="000000"/>
                <w:kern w:val="0"/>
                <w:sz w:val="24"/>
              </w:rPr>
              <w:t>，</w:t>
            </w:r>
            <w:r>
              <w:rPr>
                <w:rFonts w:ascii="宋体" w:hAnsi="宋体"/>
                <w:bCs/>
                <w:iCs/>
                <w:color w:val="000000"/>
                <w:kern w:val="0"/>
                <w:sz w:val="24"/>
              </w:rPr>
              <w:t>客户</w:t>
            </w:r>
            <w:r>
              <w:rPr>
                <w:rFonts w:ascii="宋体" w:hAnsi="宋体" w:hint="eastAsia"/>
                <w:bCs/>
                <w:iCs/>
                <w:color w:val="000000"/>
                <w:kern w:val="0"/>
                <w:sz w:val="24"/>
              </w:rPr>
              <w:t>对</w:t>
            </w:r>
            <w:r>
              <w:rPr>
                <w:rFonts w:ascii="宋体" w:hAnsi="宋体"/>
                <w:bCs/>
                <w:iCs/>
                <w:color w:val="000000"/>
                <w:kern w:val="0"/>
                <w:sz w:val="24"/>
              </w:rPr>
              <w:t>物料供应、质量、价格等</w:t>
            </w:r>
            <w:r>
              <w:rPr>
                <w:rFonts w:ascii="宋体" w:hAnsi="宋体" w:hint="eastAsia"/>
                <w:bCs/>
                <w:iCs/>
                <w:color w:val="000000"/>
                <w:kern w:val="0"/>
                <w:sz w:val="24"/>
              </w:rPr>
              <w:t>各</w:t>
            </w:r>
            <w:r>
              <w:rPr>
                <w:rFonts w:ascii="宋体" w:hAnsi="宋体"/>
                <w:bCs/>
                <w:iCs/>
                <w:color w:val="000000"/>
                <w:kern w:val="0"/>
                <w:sz w:val="24"/>
              </w:rPr>
              <w:t>方面的需求</w:t>
            </w:r>
            <w:r>
              <w:rPr>
                <w:rFonts w:ascii="宋体" w:hAnsi="宋体" w:hint="eastAsia"/>
                <w:bCs/>
                <w:iCs/>
                <w:color w:val="000000"/>
                <w:kern w:val="0"/>
                <w:sz w:val="24"/>
              </w:rPr>
              <w:t>，双方需要通过</w:t>
            </w:r>
            <w:r>
              <w:rPr>
                <w:rFonts w:ascii="宋体" w:hAnsi="宋体"/>
                <w:bCs/>
                <w:iCs/>
                <w:color w:val="000000"/>
                <w:kern w:val="0"/>
                <w:sz w:val="24"/>
              </w:rPr>
              <w:t>足够的了解，建立足够的信任</w:t>
            </w:r>
            <w:r>
              <w:rPr>
                <w:rFonts w:ascii="宋体" w:hAnsi="宋体" w:hint="eastAsia"/>
                <w:bCs/>
                <w:iCs/>
                <w:color w:val="000000"/>
                <w:kern w:val="0"/>
                <w:sz w:val="24"/>
              </w:rPr>
              <w:t>后达成合作；</w:t>
            </w:r>
            <w:r>
              <w:rPr>
                <w:rFonts w:ascii="宋体" w:hAnsi="宋体"/>
                <w:bCs/>
                <w:iCs/>
                <w:color w:val="000000"/>
                <w:kern w:val="0"/>
                <w:sz w:val="24"/>
              </w:rPr>
              <w:t>出于产品的超高可靠性要求，汽车及汽车电子客户不会轻易去变更物料或者供应商，前期导入要求非常高，导入周期非常长；</w:t>
            </w:r>
            <w:r>
              <w:rPr>
                <w:rFonts w:ascii="宋体" w:hAnsi="宋体" w:hint="eastAsia"/>
                <w:bCs/>
                <w:iCs/>
                <w:color w:val="000000"/>
                <w:kern w:val="0"/>
                <w:sz w:val="24"/>
              </w:rPr>
              <w:t>而</w:t>
            </w:r>
            <w:r>
              <w:rPr>
                <w:rFonts w:ascii="宋体" w:hAnsi="宋体"/>
                <w:bCs/>
                <w:iCs/>
                <w:color w:val="000000"/>
                <w:kern w:val="0"/>
                <w:sz w:val="24"/>
              </w:rPr>
              <w:t>随着现在汽车智能化、电气化的高速发展以及日渐加剧的竞争，主机厂和</w:t>
            </w:r>
            <w:r>
              <w:rPr>
                <w:rFonts w:ascii="宋体" w:hAnsi="宋体"/>
                <w:bCs/>
                <w:iCs/>
                <w:color w:val="000000"/>
                <w:kern w:val="0"/>
                <w:sz w:val="24"/>
              </w:rPr>
              <w:t>Tier1</w:t>
            </w:r>
            <w:r>
              <w:rPr>
                <w:rFonts w:ascii="宋体" w:hAnsi="宋体"/>
                <w:bCs/>
                <w:iCs/>
                <w:color w:val="000000"/>
                <w:kern w:val="0"/>
                <w:sz w:val="24"/>
              </w:rPr>
              <w:t>企业为了有效控制成本、提高开发速度，越来越多的选择了平台化的方案和设计</w:t>
            </w:r>
            <w:r>
              <w:rPr>
                <w:rFonts w:ascii="宋体" w:hAnsi="宋体" w:hint="eastAsia"/>
                <w:bCs/>
                <w:iCs/>
                <w:color w:val="000000"/>
                <w:kern w:val="0"/>
                <w:sz w:val="24"/>
              </w:rPr>
              <w:t>，</w:t>
            </w:r>
            <w:r>
              <w:rPr>
                <w:rFonts w:ascii="宋体" w:hAnsi="宋体"/>
                <w:bCs/>
                <w:iCs/>
                <w:color w:val="000000"/>
                <w:kern w:val="0"/>
                <w:sz w:val="24"/>
              </w:rPr>
              <w:t>一旦实现批量供应就很难被替换。</w:t>
            </w:r>
          </w:p>
          <w:p w14:paraId="365095BA"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4</w:t>
            </w:r>
            <w:r>
              <w:rPr>
                <w:rFonts w:ascii="宋体" w:hAnsi="宋体" w:hint="eastAsia"/>
                <w:bCs/>
                <w:iCs/>
                <w:color w:val="000000"/>
                <w:kern w:val="0"/>
                <w:sz w:val="24"/>
              </w:rPr>
              <w:t>）</w:t>
            </w:r>
            <w:r>
              <w:rPr>
                <w:rFonts w:ascii="宋体" w:hAnsi="宋体"/>
                <w:bCs/>
                <w:iCs/>
                <w:color w:val="000000"/>
                <w:kern w:val="0"/>
                <w:sz w:val="24"/>
              </w:rPr>
              <w:t>公司在车规方面主要有以下发展布局：</w:t>
            </w:r>
          </w:p>
          <w:p w14:paraId="2C5A4FF2"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w:t>
            </w:r>
            <w:r>
              <w:rPr>
                <w:rFonts w:ascii="宋体" w:hAnsi="宋体"/>
                <w:bCs/>
                <w:iCs/>
                <w:color w:val="000000"/>
                <w:kern w:val="0"/>
                <w:sz w:val="24"/>
              </w:rPr>
              <w:t>1</w:t>
            </w:r>
            <w:r>
              <w:rPr>
                <w:rFonts w:ascii="宋体" w:hAnsi="宋体"/>
                <w:bCs/>
                <w:iCs/>
                <w:color w:val="000000"/>
                <w:kern w:val="0"/>
                <w:sz w:val="24"/>
              </w:rPr>
              <w:t>）</w:t>
            </w:r>
            <w:r>
              <w:rPr>
                <w:rFonts w:ascii="宋体" w:hAnsi="宋体" w:hint="eastAsia"/>
                <w:bCs/>
                <w:iCs/>
                <w:color w:val="000000"/>
                <w:kern w:val="0"/>
                <w:sz w:val="24"/>
              </w:rPr>
              <w:t>成立汽车电子事业部，</w:t>
            </w:r>
            <w:r>
              <w:rPr>
                <w:rFonts w:ascii="宋体" w:hAnsi="宋体"/>
                <w:bCs/>
                <w:iCs/>
                <w:color w:val="000000"/>
                <w:kern w:val="0"/>
                <w:sz w:val="24"/>
              </w:rPr>
              <w:t>建成车规产线及</w:t>
            </w:r>
            <w:r>
              <w:rPr>
                <w:rFonts w:ascii="宋体" w:hAnsi="宋体"/>
                <w:bCs/>
                <w:iCs/>
                <w:color w:val="000000"/>
                <w:kern w:val="0"/>
                <w:sz w:val="24"/>
              </w:rPr>
              <w:t>CNAS</w:t>
            </w:r>
            <w:r>
              <w:rPr>
                <w:rFonts w:ascii="宋体" w:hAnsi="宋体"/>
                <w:bCs/>
                <w:iCs/>
                <w:color w:val="000000"/>
                <w:kern w:val="0"/>
                <w:sz w:val="24"/>
              </w:rPr>
              <w:t>实验室，扩大车规级晶振生产规模，进一步满足客户需求，全系列车规级晶振已顺利通过了权威机构的</w:t>
            </w:r>
            <w:r>
              <w:rPr>
                <w:rFonts w:ascii="宋体" w:hAnsi="宋体"/>
                <w:bCs/>
                <w:iCs/>
                <w:color w:val="000000"/>
                <w:kern w:val="0"/>
                <w:sz w:val="24"/>
              </w:rPr>
              <w:t>AEC-Q200/Q100</w:t>
            </w:r>
            <w:r>
              <w:rPr>
                <w:rFonts w:ascii="宋体" w:hAnsi="宋体"/>
                <w:bCs/>
                <w:iCs/>
                <w:color w:val="000000"/>
                <w:kern w:val="0"/>
                <w:sz w:val="24"/>
              </w:rPr>
              <w:t>认证</w:t>
            </w:r>
            <w:r>
              <w:rPr>
                <w:rFonts w:ascii="宋体" w:hAnsi="宋体" w:hint="eastAsia"/>
                <w:bCs/>
                <w:iCs/>
                <w:color w:val="000000"/>
                <w:kern w:val="0"/>
                <w:sz w:val="24"/>
              </w:rPr>
              <w:t>，同时，车规专线的建成极大提升公司客户导入的进度，缩短审厂和体系认证的时间；</w:t>
            </w:r>
          </w:p>
          <w:p w14:paraId="4B262C18"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w:t>
            </w:r>
            <w:r>
              <w:rPr>
                <w:rFonts w:ascii="宋体" w:hAnsi="宋体"/>
                <w:bCs/>
                <w:iCs/>
                <w:color w:val="000000"/>
                <w:kern w:val="0"/>
                <w:sz w:val="24"/>
              </w:rPr>
              <w:t>2</w:t>
            </w:r>
            <w:r>
              <w:rPr>
                <w:rFonts w:ascii="宋体" w:hAnsi="宋体"/>
                <w:bCs/>
                <w:iCs/>
                <w:color w:val="000000"/>
                <w:kern w:val="0"/>
                <w:sz w:val="24"/>
              </w:rPr>
              <w:t>）车规级产品已开发</w:t>
            </w:r>
            <w:r>
              <w:rPr>
                <w:rFonts w:ascii="宋体" w:hAnsi="宋体"/>
                <w:bCs/>
                <w:iCs/>
                <w:color w:val="000000"/>
                <w:kern w:val="0"/>
                <w:sz w:val="24"/>
              </w:rPr>
              <w:t>2</w:t>
            </w:r>
            <w:r>
              <w:rPr>
                <w:rFonts w:ascii="宋体" w:hAnsi="宋体" w:hint="eastAsia"/>
                <w:bCs/>
                <w:iCs/>
                <w:color w:val="000000"/>
                <w:kern w:val="0"/>
                <w:sz w:val="24"/>
              </w:rPr>
              <w:t>,</w:t>
            </w:r>
            <w:r>
              <w:rPr>
                <w:rFonts w:ascii="宋体" w:hAnsi="宋体"/>
                <w:bCs/>
                <w:iCs/>
                <w:color w:val="000000"/>
                <w:kern w:val="0"/>
                <w:sz w:val="24"/>
              </w:rPr>
              <w:t>000</w:t>
            </w:r>
            <w:r>
              <w:rPr>
                <w:rFonts w:ascii="宋体" w:hAnsi="宋体"/>
                <w:bCs/>
                <w:iCs/>
                <w:color w:val="000000"/>
                <w:kern w:val="0"/>
                <w:sz w:val="24"/>
              </w:rPr>
              <w:t>余款料号，并持续研发升级，产品从无源晶振拓展到有源晶振，在客户认证上，经过前些年公司产线的建设和料号的开发沉淀，已在车身域、智驾域、座舱域、动力域和底盘域等多场景全方位加快市场导入；</w:t>
            </w:r>
          </w:p>
          <w:p w14:paraId="2E83ECBC"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w:t>
            </w:r>
            <w:r>
              <w:rPr>
                <w:rFonts w:ascii="宋体" w:hAnsi="宋体"/>
                <w:bCs/>
                <w:iCs/>
                <w:color w:val="000000"/>
                <w:kern w:val="0"/>
                <w:sz w:val="24"/>
              </w:rPr>
              <w:t>3</w:t>
            </w:r>
            <w:r>
              <w:rPr>
                <w:rFonts w:ascii="宋体" w:hAnsi="宋体"/>
                <w:bCs/>
                <w:iCs/>
                <w:color w:val="000000"/>
                <w:kern w:val="0"/>
                <w:sz w:val="24"/>
              </w:rPr>
              <w:t>）重点针对国产芯片平台完成相应设计工作，车规级产品从芯片厂商认证到主机厂逐步导入</w:t>
            </w:r>
            <w:r>
              <w:rPr>
                <w:rFonts w:ascii="宋体" w:hAnsi="宋体" w:hint="eastAsia"/>
                <w:bCs/>
                <w:iCs/>
                <w:color w:val="000000"/>
                <w:kern w:val="0"/>
                <w:sz w:val="24"/>
              </w:rPr>
              <w:t>，</w:t>
            </w:r>
            <w:r>
              <w:rPr>
                <w:rFonts w:ascii="宋体" w:hAnsi="宋体"/>
                <w:bCs/>
                <w:iCs/>
                <w:color w:val="000000"/>
                <w:kern w:val="0"/>
                <w:sz w:val="24"/>
              </w:rPr>
              <w:t>公司超小尺寸、难度更高，</w:t>
            </w:r>
            <w:r>
              <w:rPr>
                <w:rFonts w:ascii="宋体" w:hAnsi="宋体"/>
                <w:bCs/>
                <w:iCs/>
                <w:color w:val="000000"/>
                <w:kern w:val="0"/>
                <w:sz w:val="24"/>
              </w:rPr>
              <w:lastRenderedPageBreak/>
              <w:t>技术、工艺更为复杂的</w:t>
            </w:r>
            <w:r>
              <w:rPr>
                <w:rFonts w:ascii="宋体" w:hAnsi="宋体"/>
                <w:bCs/>
                <w:iCs/>
                <w:color w:val="000000"/>
                <w:kern w:val="0"/>
                <w:sz w:val="24"/>
              </w:rPr>
              <w:t>76.8MHz</w:t>
            </w:r>
            <w:r>
              <w:rPr>
                <w:rFonts w:ascii="宋体" w:hAnsi="宋体"/>
                <w:bCs/>
                <w:iCs/>
                <w:color w:val="000000"/>
                <w:kern w:val="0"/>
                <w:sz w:val="24"/>
              </w:rPr>
              <w:t>高频热敏晶体谐振器通过高通车规级</w:t>
            </w:r>
            <w:r>
              <w:rPr>
                <w:rFonts w:ascii="宋体" w:hAnsi="宋体"/>
                <w:bCs/>
                <w:iCs/>
                <w:color w:val="000000"/>
                <w:kern w:val="0"/>
                <w:sz w:val="24"/>
              </w:rPr>
              <w:t>5G</w:t>
            </w:r>
            <w:r>
              <w:rPr>
                <w:rFonts w:ascii="宋体" w:hAnsi="宋体"/>
                <w:bCs/>
                <w:iCs/>
                <w:color w:val="000000"/>
                <w:kern w:val="0"/>
                <w:sz w:val="24"/>
              </w:rPr>
              <w:t>平台</w:t>
            </w:r>
            <w:r>
              <w:rPr>
                <w:rFonts w:ascii="宋体" w:hAnsi="宋体"/>
                <w:bCs/>
                <w:iCs/>
                <w:color w:val="000000"/>
                <w:kern w:val="0"/>
                <w:sz w:val="24"/>
              </w:rPr>
              <w:t>SA522</w:t>
            </w:r>
            <w:r>
              <w:rPr>
                <w:rFonts w:ascii="宋体" w:hAnsi="宋体"/>
                <w:bCs/>
                <w:iCs/>
                <w:color w:val="000000"/>
                <w:kern w:val="0"/>
                <w:sz w:val="24"/>
              </w:rPr>
              <w:t>和</w:t>
            </w:r>
            <w:r>
              <w:rPr>
                <w:rFonts w:ascii="宋体" w:hAnsi="宋体"/>
                <w:bCs/>
                <w:iCs/>
                <w:color w:val="000000"/>
                <w:kern w:val="0"/>
                <w:sz w:val="24"/>
              </w:rPr>
              <w:t>SA525</w:t>
            </w:r>
            <w:r>
              <w:rPr>
                <w:rFonts w:ascii="宋体" w:hAnsi="宋体"/>
                <w:bCs/>
                <w:iCs/>
                <w:color w:val="000000"/>
                <w:kern w:val="0"/>
                <w:sz w:val="24"/>
              </w:rPr>
              <w:t>认证，推动公</w:t>
            </w:r>
            <w:r>
              <w:rPr>
                <w:rFonts w:ascii="宋体" w:hAnsi="宋体"/>
                <w:bCs/>
                <w:iCs/>
                <w:color w:val="000000"/>
                <w:kern w:val="0"/>
                <w:sz w:val="24"/>
              </w:rPr>
              <w:t>司在主流芯片车规级平台认证的新高度；</w:t>
            </w:r>
          </w:p>
          <w:p w14:paraId="231FFE4F"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w:t>
            </w:r>
            <w:r>
              <w:rPr>
                <w:rFonts w:ascii="宋体" w:hAnsi="宋体"/>
                <w:bCs/>
                <w:iCs/>
                <w:color w:val="000000"/>
                <w:kern w:val="0"/>
                <w:sz w:val="24"/>
              </w:rPr>
              <w:t>4</w:t>
            </w:r>
            <w:r>
              <w:rPr>
                <w:rFonts w:ascii="宋体" w:hAnsi="宋体"/>
                <w:bCs/>
                <w:iCs/>
                <w:color w:val="000000"/>
                <w:kern w:val="0"/>
                <w:sz w:val="24"/>
              </w:rPr>
              <w:t>）体系的进一步完善，</w:t>
            </w:r>
            <w:r>
              <w:rPr>
                <w:rFonts w:ascii="宋体" w:hAnsi="宋体" w:hint="eastAsia"/>
                <w:bCs/>
                <w:iCs/>
                <w:color w:val="000000"/>
                <w:kern w:val="0"/>
                <w:sz w:val="24"/>
              </w:rPr>
              <w:t>提高品控管理能力，达成客户“零缺陷”要求，</w:t>
            </w:r>
            <w:r>
              <w:rPr>
                <w:rFonts w:ascii="宋体" w:hAnsi="宋体"/>
                <w:bCs/>
                <w:iCs/>
                <w:color w:val="000000"/>
                <w:kern w:val="0"/>
                <w:sz w:val="24"/>
              </w:rPr>
              <w:t>客户导入速度加快，质量过硬、类型丰富的车规级晶振产品，已获得了大量的国际、国内知名主机厂和</w:t>
            </w:r>
            <w:r>
              <w:rPr>
                <w:rFonts w:ascii="宋体" w:hAnsi="宋体"/>
                <w:bCs/>
                <w:iCs/>
                <w:color w:val="000000"/>
                <w:kern w:val="0"/>
                <w:sz w:val="24"/>
              </w:rPr>
              <w:t>Tier1</w:t>
            </w:r>
            <w:r>
              <w:rPr>
                <w:rFonts w:ascii="宋体" w:hAnsi="宋体"/>
                <w:bCs/>
                <w:iCs/>
                <w:color w:val="000000"/>
                <w:kern w:val="0"/>
                <w:sz w:val="24"/>
              </w:rPr>
              <w:t>企业的项目定点。</w:t>
            </w:r>
            <w:r>
              <w:rPr>
                <w:rFonts w:ascii="宋体" w:hAnsi="宋体" w:hint="eastAsia"/>
                <w:bCs/>
                <w:iCs/>
                <w:color w:val="000000"/>
                <w:kern w:val="0"/>
                <w:sz w:val="24"/>
              </w:rPr>
              <w:t>车规级软硬件质量同时提升，为车规级晶振从量变到质变打下坚实基础。</w:t>
            </w:r>
          </w:p>
          <w:p w14:paraId="1BDABE49" w14:textId="77777777" w:rsidR="00D60BA6" w:rsidRDefault="00D60BA6">
            <w:pPr>
              <w:adjustRightInd w:val="0"/>
              <w:snapToGrid w:val="0"/>
              <w:spacing w:line="460" w:lineRule="exact"/>
              <w:rPr>
                <w:rFonts w:ascii="宋体" w:hAnsi="宋体"/>
                <w:bCs/>
                <w:iCs/>
                <w:color w:val="000000"/>
                <w:kern w:val="0"/>
                <w:sz w:val="24"/>
              </w:rPr>
            </w:pPr>
          </w:p>
          <w:p w14:paraId="7890B087" w14:textId="77777777" w:rsidR="00D60BA6" w:rsidRDefault="00C5108E">
            <w:pPr>
              <w:numPr>
                <w:ilvl w:val="0"/>
                <w:numId w:val="3"/>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如何看待后续行业出清的趋势？</w:t>
            </w:r>
          </w:p>
          <w:p w14:paraId="53B4D460"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将继续贯彻占市场、保交付、保销量的经营发展策略，以技术创新和产品差异化、多样化，进一步提升市场竞争力。未来市场需求将呈现结构化升级，即更小尺寸、更高频率、更稳定性产品需求量的提升。一方面</w:t>
            </w:r>
            <w:r>
              <w:rPr>
                <w:rFonts w:ascii="宋体" w:hAnsi="宋体" w:hint="eastAsia"/>
                <w:bCs/>
                <w:iCs/>
                <w:color w:val="000000"/>
                <w:kern w:val="0"/>
                <w:sz w:val="24"/>
              </w:rPr>
              <w:t>，增加通用料号的竞争，出清部分供给产能，发挥成本优势，保障高品质产品的销量，让国内晶振市场能有更好的供应环境，特别是当前国内大客户量级的增长，泰晶先拔头筹保障好国产品牌的产品品质和售后。另一方面，保障高端料号的研发，研发端持续配合，确保高端需求的稳定持续配套供给。</w:t>
            </w:r>
          </w:p>
          <w:p w14:paraId="07188FFC" w14:textId="77777777" w:rsidR="00D60BA6" w:rsidRDefault="00D60BA6">
            <w:pPr>
              <w:adjustRightInd w:val="0"/>
              <w:snapToGrid w:val="0"/>
              <w:spacing w:line="460" w:lineRule="exact"/>
              <w:rPr>
                <w:rFonts w:ascii="宋体" w:hAnsi="宋体"/>
                <w:bCs/>
                <w:iCs/>
                <w:color w:val="000000"/>
                <w:kern w:val="0"/>
                <w:sz w:val="24"/>
              </w:rPr>
            </w:pPr>
          </w:p>
          <w:p w14:paraId="594A7EBE" w14:textId="77777777" w:rsidR="00D60BA6" w:rsidRDefault="00C5108E">
            <w:pPr>
              <w:numPr>
                <w:ilvl w:val="0"/>
                <w:numId w:val="3"/>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上游基座等涨价对公司毛利率有何影响？</w:t>
            </w:r>
          </w:p>
          <w:p w14:paraId="0D0294CA" w14:textId="7B912570"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答：部分基座供应商有涨价，原材料的涨价对于行业来说属于正常的现象，公司与重要供应商保持着密切的互动，公司具备</w:t>
            </w:r>
            <w:r>
              <w:rPr>
                <w:rFonts w:ascii="宋体" w:hAnsi="宋体" w:hint="eastAsia"/>
                <w:bCs/>
                <w:iCs/>
                <w:color w:val="000000"/>
                <w:kern w:val="0"/>
                <w:sz w:val="24"/>
              </w:rPr>
              <w:t>优于同行的</w:t>
            </w:r>
            <w:r>
              <w:rPr>
                <w:rFonts w:ascii="宋体" w:hAnsi="宋体" w:hint="eastAsia"/>
                <w:bCs/>
                <w:iCs/>
                <w:color w:val="000000"/>
                <w:kern w:val="0"/>
                <w:sz w:val="24"/>
              </w:rPr>
              <w:t>规模优势和先进制程能力及产品成本端的管控优势，</w:t>
            </w:r>
            <w:r>
              <w:rPr>
                <w:rFonts w:ascii="宋体" w:hAnsi="宋体" w:hint="eastAsia"/>
                <w:bCs/>
                <w:iCs/>
                <w:color w:val="000000"/>
                <w:kern w:val="0"/>
                <w:sz w:val="24"/>
              </w:rPr>
              <w:t>部分产品料号的基座涨价分摊到单个产品上的单位成本影响可控。</w:t>
            </w:r>
            <w:r>
              <w:rPr>
                <w:rFonts w:ascii="宋体" w:hAnsi="宋体" w:hint="eastAsia"/>
                <w:bCs/>
                <w:iCs/>
                <w:color w:val="000000"/>
                <w:kern w:val="0"/>
                <w:sz w:val="24"/>
              </w:rPr>
              <w:t>按以往经验，上游</w:t>
            </w:r>
            <w:r>
              <w:rPr>
                <w:rFonts w:ascii="宋体" w:hAnsi="宋体" w:hint="eastAsia"/>
                <w:bCs/>
                <w:iCs/>
                <w:color w:val="000000"/>
                <w:kern w:val="0"/>
                <w:sz w:val="24"/>
              </w:rPr>
              <w:t>原材料</w:t>
            </w:r>
            <w:r>
              <w:rPr>
                <w:rFonts w:ascii="宋体" w:hAnsi="宋体" w:hint="eastAsia"/>
                <w:bCs/>
                <w:iCs/>
                <w:color w:val="000000"/>
                <w:kern w:val="0"/>
                <w:sz w:val="24"/>
              </w:rPr>
              <w:t>涨价会逐步传导至客户端，但需要一定的过程</w:t>
            </w:r>
            <w:r>
              <w:rPr>
                <w:rFonts w:ascii="宋体" w:hAnsi="宋体" w:hint="eastAsia"/>
                <w:bCs/>
                <w:iCs/>
                <w:color w:val="000000"/>
                <w:kern w:val="0"/>
                <w:sz w:val="24"/>
              </w:rPr>
              <w:t>。</w:t>
            </w:r>
          </w:p>
          <w:p w14:paraId="2BC8CCED" w14:textId="77777777" w:rsidR="00D60BA6" w:rsidRDefault="00D60BA6">
            <w:pPr>
              <w:adjustRightInd w:val="0"/>
              <w:snapToGrid w:val="0"/>
              <w:spacing w:line="460" w:lineRule="exact"/>
              <w:rPr>
                <w:rFonts w:ascii="宋体" w:hAnsi="宋体"/>
                <w:bCs/>
                <w:iCs/>
                <w:color w:val="000000"/>
                <w:kern w:val="0"/>
                <w:sz w:val="24"/>
              </w:rPr>
            </w:pPr>
          </w:p>
          <w:p w14:paraId="3F933F90" w14:textId="77777777" w:rsidR="00D60BA6" w:rsidRDefault="00C5108E">
            <w:pPr>
              <w:numPr>
                <w:ilvl w:val="0"/>
                <w:numId w:val="3"/>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如何展望后续毛利率走势？</w:t>
            </w:r>
          </w:p>
          <w:p w14:paraId="42BE6038"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答：公司新扩有源产线及车规产线等，小尺寸、高基频、高稳</w:t>
            </w:r>
            <w:r>
              <w:rPr>
                <w:rFonts w:ascii="宋体" w:hAnsi="宋体" w:hint="eastAsia"/>
                <w:bCs/>
                <w:iCs/>
                <w:color w:val="000000"/>
                <w:kern w:val="0"/>
                <w:sz w:val="24"/>
              </w:rPr>
              <w:lastRenderedPageBreak/>
              <w:t>定性、高精度等高附加值产品结构调优，叠加光刻工艺高壁垒产品增量上行，公司也将把握</w:t>
            </w:r>
            <w:r>
              <w:rPr>
                <w:rFonts w:ascii="宋体" w:hAnsi="宋体" w:hint="eastAsia"/>
                <w:bCs/>
                <w:iCs/>
                <w:color w:val="000000"/>
                <w:kern w:val="0"/>
                <w:sz w:val="24"/>
              </w:rPr>
              <w:t>6G</w:t>
            </w:r>
            <w:r>
              <w:rPr>
                <w:rFonts w:ascii="宋体" w:hAnsi="宋体" w:hint="eastAsia"/>
                <w:bCs/>
                <w:iCs/>
                <w:color w:val="000000"/>
                <w:kern w:val="0"/>
                <w:sz w:val="24"/>
              </w:rPr>
              <w:t>、光通讯、</w:t>
            </w:r>
            <w:r>
              <w:rPr>
                <w:rFonts w:ascii="宋体" w:hAnsi="宋体" w:hint="eastAsia"/>
                <w:bCs/>
                <w:iCs/>
                <w:color w:val="000000"/>
                <w:kern w:val="0"/>
                <w:sz w:val="24"/>
              </w:rPr>
              <w:t>AI</w:t>
            </w:r>
            <w:r>
              <w:rPr>
                <w:rFonts w:ascii="宋体" w:hAnsi="宋体" w:hint="eastAsia"/>
                <w:bCs/>
                <w:iCs/>
                <w:color w:val="000000"/>
                <w:kern w:val="0"/>
                <w:sz w:val="24"/>
              </w:rPr>
              <w:t>、低空飞行等新兴市场带来的发展机遇，高毛利率产品占比有望逐步提升。</w:t>
            </w:r>
          </w:p>
          <w:p w14:paraId="4CD8F262" w14:textId="77777777" w:rsidR="00D60BA6" w:rsidRDefault="00D60BA6">
            <w:pPr>
              <w:adjustRightInd w:val="0"/>
              <w:snapToGrid w:val="0"/>
              <w:spacing w:line="460" w:lineRule="exact"/>
              <w:rPr>
                <w:rFonts w:ascii="宋体" w:hAnsi="宋体"/>
                <w:bCs/>
                <w:iCs/>
                <w:color w:val="000000"/>
                <w:kern w:val="0"/>
                <w:sz w:val="24"/>
              </w:rPr>
            </w:pPr>
          </w:p>
          <w:p w14:paraId="33F9DC8A" w14:textId="77777777" w:rsidR="00D60BA6" w:rsidRDefault="00C5108E">
            <w:pPr>
              <w:numPr>
                <w:ilvl w:val="0"/>
                <w:numId w:val="3"/>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服务器、交换机等领域国产诉求比较高，主要是哪些客户的哪些相关产品，收入量级和增速如何展望？</w:t>
            </w:r>
          </w:p>
          <w:p w14:paraId="63BB256F"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在中美关系博弈、国家自主可控的长期需求下，包括服务器、交换机等对国内的供应链需求明显的增多，公司适配服务器、交换机、路由器等国产需求，高频差分振荡器、高稳定性高精度产品产销量提升，在新业务、新产</w:t>
            </w:r>
            <w:r>
              <w:rPr>
                <w:rFonts w:ascii="宋体" w:hAnsi="宋体" w:hint="eastAsia"/>
                <w:bCs/>
                <w:iCs/>
                <w:color w:val="000000"/>
                <w:kern w:val="0"/>
                <w:sz w:val="24"/>
              </w:rPr>
              <w:t>品上贡献价值增量，终端客户及高端产品占比提升。面对国产化诉求，公司积极响应服务器、云厂、</w:t>
            </w:r>
            <w:r>
              <w:rPr>
                <w:rFonts w:ascii="宋体" w:hAnsi="宋体" w:hint="eastAsia"/>
                <w:bCs/>
                <w:iCs/>
                <w:color w:val="000000"/>
                <w:kern w:val="0"/>
                <w:sz w:val="24"/>
              </w:rPr>
              <w:t>AI</w:t>
            </w:r>
            <w:r>
              <w:rPr>
                <w:rFonts w:ascii="宋体" w:hAnsi="宋体" w:hint="eastAsia"/>
                <w:bCs/>
                <w:iCs/>
                <w:color w:val="000000"/>
                <w:kern w:val="0"/>
                <w:sz w:val="24"/>
              </w:rPr>
              <w:t>应用等国产化更高频率更高精度的产品需求，精准发力，更高基频、更高精度国产晶振有望得到广泛适配与应用。</w:t>
            </w:r>
          </w:p>
          <w:p w14:paraId="4A410683" w14:textId="77777777" w:rsidR="00D60BA6" w:rsidRDefault="00D60BA6">
            <w:pPr>
              <w:adjustRightInd w:val="0"/>
              <w:snapToGrid w:val="0"/>
              <w:spacing w:line="460" w:lineRule="exact"/>
              <w:rPr>
                <w:rFonts w:ascii="宋体" w:hAnsi="宋体"/>
                <w:bCs/>
                <w:iCs/>
                <w:color w:val="000000"/>
                <w:kern w:val="0"/>
                <w:sz w:val="24"/>
              </w:rPr>
            </w:pPr>
          </w:p>
          <w:p w14:paraId="63C427BF" w14:textId="77777777" w:rsidR="00D60BA6" w:rsidRDefault="00C5108E">
            <w:pPr>
              <w:numPr>
                <w:ilvl w:val="0"/>
                <w:numId w:val="3"/>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如何看待光模块市场，光模块中晶振的用量和价值量能有多少？</w:t>
            </w:r>
          </w:p>
          <w:p w14:paraId="3A8A4257" w14:textId="0E59ABCA"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w:t>
            </w:r>
            <w:r>
              <w:rPr>
                <w:rFonts w:ascii="宋体" w:hAnsi="宋体" w:hint="eastAsia"/>
                <w:bCs/>
                <w:iCs/>
                <w:color w:val="000000"/>
                <w:kern w:val="0"/>
                <w:sz w:val="24"/>
              </w:rPr>
              <w:t>2025</w:t>
            </w:r>
            <w:r>
              <w:rPr>
                <w:rFonts w:ascii="宋体" w:hAnsi="宋体" w:hint="eastAsia"/>
                <w:bCs/>
                <w:iCs/>
                <w:color w:val="000000"/>
                <w:kern w:val="0"/>
                <w:sz w:val="24"/>
              </w:rPr>
              <w:t>年预计是</w:t>
            </w:r>
            <w:r>
              <w:rPr>
                <w:rFonts w:ascii="宋体" w:hAnsi="宋体" w:hint="eastAsia"/>
                <w:bCs/>
                <w:iCs/>
                <w:color w:val="000000"/>
                <w:kern w:val="0"/>
                <w:sz w:val="24"/>
              </w:rPr>
              <w:t>400G</w:t>
            </w:r>
            <w:r>
              <w:rPr>
                <w:rFonts w:ascii="宋体" w:hAnsi="宋体" w:hint="eastAsia"/>
                <w:bCs/>
                <w:iCs/>
                <w:color w:val="000000"/>
                <w:kern w:val="0"/>
                <w:sz w:val="24"/>
              </w:rPr>
              <w:t>光模块元年，</w:t>
            </w:r>
            <w:r>
              <w:rPr>
                <w:rFonts w:ascii="宋体" w:hAnsi="宋体" w:hint="eastAsia"/>
                <w:bCs/>
                <w:iCs/>
                <w:color w:val="000000"/>
                <w:kern w:val="0"/>
                <w:sz w:val="24"/>
              </w:rPr>
              <w:t>100</w:t>
            </w:r>
            <w:r w:rsidR="00840FF0">
              <w:rPr>
                <w:rFonts w:ascii="宋体" w:hAnsi="宋体" w:hint="eastAsia"/>
                <w:bCs/>
                <w:iCs/>
                <w:color w:val="000000"/>
                <w:kern w:val="0"/>
                <w:sz w:val="24"/>
              </w:rPr>
              <w:t>G</w:t>
            </w:r>
            <w:r>
              <w:rPr>
                <w:rFonts w:ascii="宋体" w:hAnsi="宋体" w:hint="eastAsia"/>
                <w:bCs/>
                <w:iCs/>
                <w:color w:val="000000"/>
                <w:kern w:val="0"/>
                <w:sz w:val="24"/>
              </w:rPr>
              <w:t>、</w:t>
            </w:r>
            <w:r>
              <w:rPr>
                <w:rFonts w:ascii="宋体" w:hAnsi="宋体" w:hint="eastAsia"/>
                <w:bCs/>
                <w:iCs/>
                <w:color w:val="000000"/>
                <w:kern w:val="0"/>
                <w:sz w:val="24"/>
              </w:rPr>
              <w:t>200G</w:t>
            </w:r>
            <w:r>
              <w:rPr>
                <w:rFonts w:ascii="宋体" w:hAnsi="宋体" w:hint="eastAsia"/>
                <w:bCs/>
                <w:iCs/>
                <w:color w:val="000000"/>
                <w:kern w:val="0"/>
                <w:sz w:val="24"/>
              </w:rPr>
              <w:t>的越来越少，</w:t>
            </w:r>
            <w:r>
              <w:rPr>
                <w:rFonts w:ascii="宋体" w:hAnsi="宋体" w:hint="eastAsia"/>
                <w:bCs/>
                <w:iCs/>
                <w:color w:val="000000"/>
                <w:kern w:val="0"/>
                <w:sz w:val="24"/>
              </w:rPr>
              <w:t>400G</w:t>
            </w:r>
            <w:r>
              <w:rPr>
                <w:rFonts w:ascii="宋体" w:hAnsi="宋体" w:hint="eastAsia"/>
                <w:bCs/>
                <w:iCs/>
                <w:color w:val="000000"/>
                <w:kern w:val="0"/>
                <w:sz w:val="24"/>
              </w:rPr>
              <w:t>、</w:t>
            </w:r>
            <w:r>
              <w:rPr>
                <w:rFonts w:ascii="宋体" w:hAnsi="宋体" w:hint="eastAsia"/>
                <w:bCs/>
                <w:iCs/>
                <w:color w:val="000000"/>
                <w:kern w:val="0"/>
                <w:sz w:val="24"/>
              </w:rPr>
              <w:t>800G</w:t>
            </w:r>
            <w:r>
              <w:rPr>
                <w:rFonts w:ascii="宋体" w:hAnsi="宋体" w:hint="eastAsia"/>
                <w:bCs/>
                <w:iCs/>
                <w:color w:val="000000"/>
                <w:kern w:val="0"/>
                <w:sz w:val="24"/>
              </w:rPr>
              <w:t>的会增多。公司针对光通信</w:t>
            </w:r>
            <w:r>
              <w:rPr>
                <w:rFonts w:ascii="宋体" w:hAnsi="宋体" w:hint="eastAsia"/>
                <w:bCs/>
                <w:iCs/>
                <w:color w:val="000000"/>
                <w:kern w:val="0"/>
                <w:sz w:val="24"/>
              </w:rPr>
              <w:t>200G</w:t>
            </w:r>
            <w:r>
              <w:rPr>
                <w:rFonts w:ascii="宋体" w:hAnsi="宋体" w:hint="eastAsia"/>
                <w:bCs/>
                <w:iCs/>
                <w:color w:val="000000"/>
                <w:kern w:val="0"/>
                <w:sz w:val="24"/>
              </w:rPr>
              <w:t>、</w:t>
            </w:r>
            <w:r>
              <w:rPr>
                <w:rFonts w:ascii="宋体" w:hAnsi="宋体" w:hint="eastAsia"/>
                <w:bCs/>
                <w:iCs/>
                <w:color w:val="000000"/>
                <w:kern w:val="0"/>
                <w:sz w:val="24"/>
              </w:rPr>
              <w:t>400G</w:t>
            </w:r>
            <w:r>
              <w:rPr>
                <w:rFonts w:ascii="宋体" w:hAnsi="宋体" w:hint="eastAsia"/>
                <w:bCs/>
                <w:iCs/>
                <w:color w:val="000000"/>
                <w:kern w:val="0"/>
                <w:sz w:val="24"/>
              </w:rPr>
              <w:t>、</w:t>
            </w:r>
            <w:r>
              <w:rPr>
                <w:rFonts w:ascii="宋体" w:hAnsi="宋体" w:hint="eastAsia"/>
                <w:bCs/>
                <w:iCs/>
                <w:color w:val="000000"/>
                <w:kern w:val="0"/>
                <w:sz w:val="24"/>
              </w:rPr>
              <w:t>800G</w:t>
            </w:r>
            <w:r>
              <w:rPr>
                <w:rFonts w:ascii="宋体" w:hAnsi="宋体" w:hint="eastAsia"/>
                <w:bCs/>
                <w:iCs/>
                <w:color w:val="000000"/>
                <w:kern w:val="0"/>
                <w:sz w:val="24"/>
              </w:rPr>
              <w:t>市场推出了高基频、高精度、低相噪</w:t>
            </w:r>
            <w:r>
              <w:rPr>
                <w:rFonts w:ascii="宋体" w:hAnsi="宋体" w:hint="eastAsia"/>
                <w:bCs/>
                <w:iCs/>
                <w:color w:val="000000"/>
                <w:kern w:val="0"/>
                <w:sz w:val="24"/>
              </w:rPr>
              <w:t>CMOS</w:t>
            </w:r>
            <w:r>
              <w:rPr>
                <w:rFonts w:ascii="宋体" w:hAnsi="宋体" w:hint="eastAsia"/>
                <w:bCs/>
                <w:iCs/>
                <w:color w:val="000000"/>
                <w:kern w:val="0"/>
                <w:sz w:val="24"/>
              </w:rPr>
              <w:t>、</w:t>
            </w:r>
            <w:r>
              <w:rPr>
                <w:rFonts w:ascii="宋体" w:hAnsi="宋体" w:hint="eastAsia"/>
                <w:bCs/>
                <w:iCs/>
                <w:color w:val="000000"/>
                <w:kern w:val="0"/>
                <w:sz w:val="24"/>
              </w:rPr>
              <w:t>LVDS</w:t>
            </w:r>
            <w:r>
              <w:rPr>
                <w:rFonts w:ascii="宋体" w:hAnsi="宋体" w:hint="eastAsia"/>
                <w:bCs/>
                <w:iCs/>
                <w:color w:val="000000"/>
                <w:kern w:val="0"/>
                <w:sz w:val="24"/>
              </w:rPr>
              <w:t>差分输出时钟解决方案，随着光模块传输速率升级，对应使用超高频、差分时钟</w:t>
            </w:r>
            <w:r>
              <w:rPr>
                <w:rFonts w:ascii="宋体" w:hAnsi="宋体" w:hint="eastAsia"/>
                <w:bCs/>
                <w:iCs/>
                <w:color w:val="000000"/>
                <w:kern w:val="0"/>
                <w:sz w:val="24"/>
              </w:rPr>
              <w:t>产品，在技术上提出更高性能匹配要求。随着终端全光网络的普及及</w:t>
            </w:r>
            <w:r>
              <w:rPr>
                <w:rFonts w:ascii="宋体" w:hAnsi="宋体" w:hint="eastAsia"/>
                <w:bCs/>
                <w:iCs/>
                <w:color w:val="000000"/>
                <w:kern w:val="0"/>
                <w:sz w:val="24"/>
              </w:rPr>
              <w:t>AI</w:t>
            </w:r>
            <w:r>
              <w:rPr>
                <w:rFonts w:ascii="宋体" w:hAnsi="宋体" w:hint="eastAsia"/>
                <w:bCs/>
                <w:iCs/>
                <w:color w:val="000000"/>
                <w:kern w:val="0"/>
                <w:sz w:val="24"/>
              </w:rPr>
              <w:t>人工智能对算力的要求增加，公司高稳产品将形成很好的增长态势，从而带来新的增</w:t>
            </w:r>
            <w:bookmarkStart w:id="0" w:name="_GoBack"/>
            <w:bookmarkEnd w:id="0"/>
            <w:r>
              <w:rPr>
                <w:rFonts w:ascii="宋体" w:hAnsi="宋体" w:hint="eastAsia"/>
                <w:bCs/>
                <w:iCs/>
                <w:color w:val="000000"/>
                <w:kern w:val="0"/>
                <w:sz w:val="24"/>
              </w:rPr>
              <w:t>长点。根据频点和性能参数来定义价格，价值量相对较高。</w:t>
            </w:r>
          </w:p>
          <w:p w14:paraId="0C96725E" w14:textId="77777777" w:rsidR="00D60BA6" w:rsidRDefault="00D60BA6">
            <w:pPr>
              <w:adjustRightInd w:val="0"/>
              <w:snapToGrid w:val="0"/>
              <w:spacing w:line="460" w:lineRule="exact"/>
              <w:rPr>
                <w:rFonts w:ascii="宋体" w:hAnsi="宋体"/>
                <w:bCs/>
                <w:iCs/>
                <w:color w:val="000000"/>
                <w:kern w:val="0"/>
                <w:sz w:val="24"/>
              </w:rPr>
            </w:pPr>
          </w:p>
          <w:p w14:paraId="558B81C5" w14:textId="77777777" w:rsidR="00D60BA6" w:rsidRDefault="00C5108E">
            <w:pPr>
              <w:numPr>
                <w:ilvl w:val="0"/>
                <w:numId w:val="3"/>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AI</w:t>
            </w:r>
            <w:r>
              <w:rPr>
                <w:rFonts w:ascii="宋体" w:hAnsi="宋体" w:hint="eastAsia"/>
                <w:b/>
                <w:iCs/>
                <w:color w:val="000000"/>
                <w:kern w:val="0"/>
                <w:sz w:val="24"/>
              </w:rPr>
              <w:t>端侧应用落地会给公司带来哪些新的机会？在</w:t>
            </w:r>
            <w:r>
              <w:rPr>
                <w:rFonts w:ascii="宋体" w:hAnsi="宋体" w:hint="eastAsia"/>
                <w:b/>
                <w:iCs/>
                <w:color w:val="000000"/>
                <w:kern w:val="0"/>
                <w:sz w:val="24"/>
              </w:rPr>
              <w:t>AI</w:t>
            </w:r>
            <w:r>
              <w:rPr>
                <w:rFonts w:ascii="宋体" w:hAnsi="宋体" w:hint="eastAsia"/>
                <w:b/>
                <w:iCs/>
                <w:color w:val="000000"/>
                <w:kern w:val="0"/>
                <w:sz w:val="24"/>
              </w:rPr>
              <w:t>相关应用领域，公司有典型的客户或实质认证吗？</w:t>
            </w:r>
          </w:p>
          <w:p w14:paraId="7F2DBF6E" w14:textId="77777777"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w:t>
            </w:r>
            <w:r>
              <w:rPr>
                <w:rFonts w:ascii="宋体" w:hAnsi="宋体" w:hint="eastAsia"/>
                <w:bCs/>
                <w:iCs/>
                <w:color w:val="000000"/>
                <w:kern w:val="0"/>
                <w:sz w:val="24"/>
              </w:rPr>
              <w:t>AI</w:t>
            </w:r>
            <w:r>
              <w:rPr>
                <w:rFonts w:ascii="宋体" w:hAnsi="宋体" w:hint="eastAsia"/>
                <w:bCs/>
                <w:iCs/>
                <w:color w:val="000000"/>
                <w:kern w:val="0"/>
                <w:sz w:val="24"/>
              </w:rPr>
              <w:t>推动移动终端智能化，相关应用如</w:t>
            </w:r>
            <w:r>
              <w:rPr>
                <w:rFonts w:ascii="宋体" w:hAnsi="宋体" w:hint="eastAsia"/>
                <w:bCs/>
                <w:iCs/>
                <w:color w:val="000000"/>
                <w:kern w:val="0"/>
                <w:sz w:val="24"/>
              </w:rPr>
              <w:t>AI</w:t>
            </w:r>
            <w:r>
              <w:rPr>
                <w:rFonts w:ascii="宋体" w:hAnsi="宋体" w:hint="eastAsia"/>
                <w:bCs/>
                <w:iCs/>
                <w:color w:val="000000"/>
                <w:kern w:val="0"/>
                <w:sz w:val="24"/>
              </w:rPr>
              <w:t>眼镜、</w:t>
            </w:r>
            <w:r>
              <w:rPr>
                <w:rFonts w:ascii="宋体" w:hAnsi="宋体" w:hint="eastAsia"/>
                <w:bCs/>
                <w:iCs/>
                <w:color w:val="000000"/>
                <w:kern w:val="0"/>
                <w:sz w:val="24"/>
              </w:rPr>
              <w:t>AI</w:t>
            </w:r>
            <w:r>
              <w:rPr>
                <w:rFonts w:ascii="宋体" w:hAnsi="宋体" w:hint="eastAsia"/>
                <w:bCs/>
                <w:iCs/>
                <w:color w:val="000000"/>
                <w:kern w:val="0"/>
                <w:sz w:val="24"/>
              </w:rPr>
              <w:t>手机等渗透量显著提升，带动高性能晶振用量同步提升，且相比于传</w:t>
            </w:r>
            <w:r>
              <w:rPr>
                <w:rFonts w:ascii="宋体" w:hAnsi="宋体" w:hint="eastAsia"/>
                <w:bCs/>
                <w:iCs/>
                <w:color w:val="000000"/>
                <w:kern w:val="0"/>
                <w:sz w:val="24"/>
              </w:rPr>
              <w:lastRenderedPageBreak/>
              <w:t>统终端，</w:t>
            </w:r>
            <w:r>
              <w:rPr>
                <w:rFonts w:ascii="宋体" w:hAnsi="宋体" w:hint="eastAsia"/>
                <w:bCs/>
                <w:iCs/>
                <w:color w:val="000000"/>
                <w:kern w:val="0"/>
                <w:sz w:val="24"/>
              </w:rPr>
              <w:t>AI</w:t>
            </w:r>
            <w:r>
              <w:rPr>
                <w:rFonts w:ascii="宋体" w:hAnsi="宋体" w:hint="eastAsia"/>
                <w:bCs/>
                <w:iCs/>
                <w:color w:val="000000"/>
                <w:kern w:val="0"/>
                <w:sz w:val="24"/>
              </w:rPr>
              <w:t>终端或将具备更多接口、传感器，无线</w:t>
            </w:r>
            <w:r>
              <w:rPr>
                <w:rFonts w:ascii="宋体" w:hAnsi="宋体" w:hint="eastAsia"/>
                <w:bCs/>
                <w:iCs/>
                <w:color w:val="000000"/>
                <w:kern w:val="0"/>
                <w:sz w:val="24"/>
              </w:rPr>
              <w:t>SOC</w:t>
            </w:r>
            <w:r>
              <w:rPr>
                <w:rFonts w:ascii="宋体" w:hAnsi="宋体" w:hint="eastAsia"/>
                <w:bCs/>
                <w:iCs/>
                <w:color w:val="000000"/>
                <w:kern w:val="0"/>
                <w:sz w:val="24"/>
              </w:rPr>
              <w:t>实现“连接</w:t>
            </w:r>
            <w:r>
              <w:rPr>
                <w:rFonts w:ascii="宋体" w:hAnsi="宋体" w:hint="eastAsia"/>
                <w:bCs/>
                <w:iCs/>
                <w:color w:val="000000"/>
                <w:kern w:val="0"/>
                <w:sz w:val="24"/>
              </w:rPr>
              <w:t>+</w:t>
            </w:r>
            <w:r>
              <w:rPr>
                <w:rFonts w:ascii="宋体" w:hAnsi="宋体" w:hint="eastAsia"/>
                <w:bCs/>
                <w:iCs/>
                <w:color w:val="000000"/>
                <w:kern w:val="0"/>
                <w:sz w:val="24"/>
              </w:rPr>
              <w:t>处理”。公司作为</w:t>
            </w:r>
            <w:r>
              <w:rPr>
                <w:rFonts w:ascii="宋体" w:hAnsi="宋体" w:hint="eastAsia"/>
                <w:bCs/>
                <w:iCs/>
                <w:color w:val="000000"/>
                <w:kern w:val="0"/>
                <w:sz w:val="24"/>
              </w:rPr>
              <w:t>AIoT</w:t>
            </w:r>
            <w:r>
              <w:rPr>
                <w:rFonts w:ascii="宋体" w:hAnsi="宋体" w:hint="eastAsia"/>
                <w:bCs/>
                <w:iCs/>
                <w:color w:val="000000"/>
                <w:kern w:val="0"/>
                <w:sz w:val="24"/>
              </w:rPr>
              <w:t>上游元器件制造商，搭载蜂</w:t>
            </w:r>
            <w:r>
              <w:rPr>
                <w:rFonts w:ascii="宋体" w:hAnsi="宋体" w:hint="eastAsia"/>
                <w:bCs/>
                <w:iCs/>
                <w:color w:val="000000"/>
                <w:kern w:val="0"/>
                <w:sz w:val="24"/>
              </w:rPr>
              <w:t>窝类及无线通讯模组主芯片方案，并作为全球少数具备</w:t>
            </w:r>
            <w:r>
              <w:rPr>
                <w:rFonts w:ascii="宋体" w:hAnsi="宋体" w:hint="eastAsia"/>
                <w:bCs/>
                <w:iCs/>
                <w:color w:val="000000"/>
                <w:kern w:val="0"/>
                <w:sz w:val="24"/>
              </w:rPr>
              <w:t>AI</w:t>
            </w:r>
            <w:r>
              <w:rPr>
                <w:rFonts w:ascii="宋体" w:hAnsi="宋体" w:hint="eastAsia"/>
                <w:bCs/>
                <w:iCs/>
                <w:color w:val="000000"/>
                <w:kern w:val="0"/>
                <w:sz w:val="24"/>
              </w:rPr>
              <w:t>算力芯片对智能硬件性能提升及低功耗要求配套能力的晶体厂商，公司的高基频、超精度、小尺寸产品具备先发优势、将成为国产替代产业链相关晶振选型的首要参与者和受益者。</w:t>
            </w:r>
          </w:p>
          <w:p w14:paraId="242B4649" w14:textId="77777777" w:rsidR="00D60BA6" w:rsidRDefault="00D60BA6">
            <w:pPr>
              <w:adjustRightInd w:val="0"/>
              <w:snapToGrid w:val="0"/>
              <w:spacing w:line="460" w:lineRule="exact"/>
              <w:rPr>
                <w:rFonts w:ascii="宋体" w:hAnsi="宋体"/>
                <w:bCs/>
                <w:iCs/>
                <w:color w:val="000000"/>
                <w:kern w:val="0"/>
                <w:sz w:val="24"/>
              </w:rPr>
            </w:pPr>
          </w:p>
          <w:p w14:paraId="477C9BF7" w14:textId="77777777" w:rsidR="00D60BA6" w:rsidRDefault="00C5108E">
            <w:pPr>
              <w:numPr>
                <w:ilvl w:val="0"/>
                <w:numId w:val="3"/>
              </w:numPr>
              <w:adjustRightInd w:val="0"/>
              <w:snapToGrid w:val="0"/>
              <w:spacing w:line="460" w:lineRule="exact"/>
              <w:rPr>
                <w:rFonts w:ascii="宋体" w:hAnsi="宋体"/>
                <w:b/>
                <w:iCs/>
                <w:color w:val="000000"/>
                <w:kern w:val="0"/>
                <w:sz w:val="24"/>
              </w:rPr>
            </w:pPr>
            <w:r>
              <w:rPr>
                <w:rFonts w:ascii="宋体" w:hAnsi="宋体" w:hint="eastAsia"/>
                <w:b/>
                <w:iCs/>
                <w:color w:val="000000"/>
                <w:kern w:val="0"/>
                <w:sz w:val="24"/>
              </w:rPr>
              <w:t>如何看待硅晶振替代石英晶振的可行性？</w:t>
            </w:r>
          </w:p>
          <w:p w14:paraId="65085901" w14:textId="5966563C" w:rsidR="00D60BA6" w:rsidRDefault="00C5108E">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答：硅晶振无法替代石英晶振，替代的成本比较高。第一，硅晶振物理特性天然的</w:t>
            </w:r>
            <w:r>
              <w:rPr>
                <w:rFonts w:ascii="宋体" w:hAnsi="宋体" w:hint="eastAsia"/>
                <w:bCs/>
                <w:iCs/>
                <w:color w:val="000000"/>
                <w:kern w:val="0"/>
                <w:sz w:val="24"/>
              </w:rPr>
              <w:t>Q</w:t>
            </w:r>
            <w:r>
              <w:rPr>
                <w:rFonts w:ascii="宋体" w:hAnsi="宋体" w:hint="eastAsia"/>
                <w:bCs/>
                <w:iCs/>
                <w:color w:val="000000"/>
                <w:kern w:val="0"/>
                <w:sz w:val="24"/>
              </w:rPr>
              <w:t>值不好，能耗</w:t>
            </w:r>
            <w:r>
              <w:rPr>
                <w:rFonts w:ascii="宋体" w:hAnsi="宋体" w:hint="eastAsia"/>
                <w:bCs/>
                <w:iCs/>
                <w:color w:val="000000"/>
                <w:kern w:val="0"/>
                <w:sz w:val="24"/>
              </w:rPr>
              <w:t>较</w:t>
            </w:r>
            <w:r>
              <w:rPr>
                <w:rFonts w:ascii="宋体" w:hAnsi="宋体" w:hint="eastAsia"/>
                <w:bCs/>
                <w:iCs/>
                <w:color w:val="000000"/>
                <w:kern w:val="0"/>
                <w:sz w:val="24"/>
              </w:rPr>
              <w:t>高，</w:t>
            </w:r>
            <w:r>
              <w:rPr>
                <w:rFonts w:ascii="宋体" w:hAnsi="宋体" w:hint="eastAsia"/>
                <w:bCs/>
                <w:iCs/>
                <w:color w:val="000000"/>
                <w:kern w:val="0"/>
                <w:sz w:val="24"/>
              </w:rPr>
              <w:t>频率</w:t>
            </w:r>
            <w:r>
              <w:rPr>
                <w:rFonts w:ascii="宋体" w:hAnsi="宋体" w:hint="eastAsia"/>
                <w:bCs/>
                <w:iCs/>
                <w:color w:val="000000"/>
                <w:kern w:val="0"/>
                <w:sz w:val="24"/>
              </w:rPr>
              <w:t>短稳</w:t>
            </w:r>
            <w:r>
              <w:rPr>
                <w:rFonts w:ascii="宋体" w:hAnsi="宋体" w:hint="eastAsia"/>
                <w:bCs/>
                <w:iCs/>
                <w:color w:val="000000"/>
                <w:kern w:val="0"/>
                <w:sz w:val="24"/>
              </w:rPr>
              <w:t>差，易产生温漂，在</w:t>
            </w:r>
            <w:r>
              <w:rPr>
                <w:rFonts w:ascii="宋体" w:hAnsi="宋体" w:hint="eastAsia"/>
                <w:bCs/>
                <w:iCs/>
                <w:color w:val="000000"/>
                <w:kern w:val="0"/>
                <w:sz w:val="24"/>
              </w:rPr>
              <w:t>5G</w:t>
            </w:r>
            <w:r>
              <w:rPr>
                <w:rFonts w:ascii="宋体" w:hAnsi="宋体" w:hint="eastAsia"/>
                <w:bCs/>
                <w:iCs/>
                <w:color w:val="000000"/>
                <w:kern w:val="0"/>
                <w:sz w:val="24"/>
              </w:rPr>
              <w:t>通信中误码率高，</w:t>
            </w:r>
            <w:r>
              <w:rPr>
                <w:rFonts w:ascii="宋体" w:hAnsi="宋体" w:hint="eastAsia"/>
                <w:bCs/>
                <w:iCs/>
                <w:color w:val="000000"/>
                <w:kern w:val="0"/>
                <w:sz w:val="24"/>
              </w:rPr>
              <w:t>从而</w:t>
            </w:r>
            <w:r>
              <w:rPr>
                <w:rFonts w:ascii="宋体" w:hAnsi="宋体" w:hint="eastAsia"/>
                <w:bCs/>
                <w:iCs/>
                <w:color w:val="000000"/>
                <w:kern w:val="0"/>
                <w:sz w:val="24"/>
              </w:rPr>
              <w:t>影响使用体验感。硅晶振的应用原理是软件定义硬件，就材料本身性质而言，硅晶</w:t>
            </w:r>
            <w:r>
              <w:rPr>
                <w:rFonts w:ascii="宋体" w:hAnsi="宋体" w:hint="eastAsia"/>
                <w:bCs/>
                <w:iCs/>
                <w:color w:val="000000"/>
                <w:kern w:val="0"/>
                <w:sz w:val="24"/>
              </w:rPr>
              <w:t>振</w:t>
            </w:r>
            <w:r>
              <w:rPr>
                <w:rFonts w:ascii="宋体" w:hAnsi="宋体" w:hint="eastAsia"/>
                <w:bCs/>
                <w:iCs/>
                <w:color w:val="000000"/>
                <w:kern w:val="0"/>
                <w:sz w:val="24"/>
              </w:rPr>
              <w:t>与石英晶</w:t>
            </w:r>
            <w:r>
              <w:rPr>
                <w:rFonts w:ascii="宋体" w:hAnsi="宋体" w:hint="eastAsia"/>
                <w:bCs/>
                <w:iCs/>
                <w:color w:val="000000"/>
                <w:kern w:val="0"/>
                <w:sz w:val="24"/>
              </w:rPr>
              <w:t>振</w:t>
            </w:r>
            <w:r>
              <w:rPr>
                <w:rFonts w:ascii="宋体" w:hAnsi="宋体" w:hint="eastAsia"/>
                <w:bCs/>
                <w:iCs/>
                <w:color w:val="000000"/>
                <w:kern w:val="0"/>
                <w:sz w:val="24"/>
              </w:rPr>
              <w:t>相比，频率的高</w:t>
            </w:r>
            <w:r>
              <w:rPr>
                <w:rFonts w:ascii="宋体" w:hAnsi="宋体" w:hint="eastAsia"/>
                <w:bCs/>
                <w:iCs/>
                <w:color w:val="000000"/>
                <w:kern w:val="0"/>
                <w:sz w:val="24"/>
              </w:rPr>
              <w:t>Q</w:t>
            </w:r>
            <w:r>
              <w:rPr>
                <w:rFonts w:ascii="宋体" w:hAnsi="宋体" w:hint="eastAsia"/>
                <w:bCs/>
                <w:iCs/>
                <w:color w:val="000000"/>
                <w:kern w:val="0"/>
                <w:sz w:val="24"/>
              </w:rPr>
              <w:t>值及稳定性存在本质差距。第二，大家关注到应该是因为海外终端品牌在考虑使用硅晶振，但硅基材的晶振在一定频率上，消耗的功率比石英晶</w:t>
            </w:r>
            <w:r>
              <w:rPr>
                <w:rFonts w:ascii="宋体" w:hAnsi="宋体" w:hint="eastAsia"/>
                <w:bCs/>
                <w:iCs/>
                <w:color w:val="000000"/>
                <w:kern w:val="0"/>
                <w:sz w:val="24"/>
              </w:rPr>
              <w:t>振</w:t>
            </w:r>
            <w:r>
              <w:rPr>
                <w:rFonts w:ascii="宋体" w:hAnsi="宋体" w:hint="eastAsia"/>
                <w:bCs/>
                <w:iCs/>
                <w:color w:val="000000"/>
                <w:kern w:val="0"/>
                <w:sz w:val="24"/>
              </w:rPr>
              <w:t>大，在抖动和延迟上的表现比石英晶体弱。市场上选用硅基材晶振的方案比较少，客户不敢轻易采纳。因为定了选型后，后续交付的问题会比较大。目前硅晶振的路线并没有被广泛采纳。综合来看，硅晶振受到性能局限（低</w:t>
            </w:r>
            <w:r>
              <w:rPr>
                <w:rFonts w:ascii="宋体" w:hAnsi="宋体" w:hint="eastAsia"/>
                <w:bCs/>
                <w:iCs/>
                <w:color w:val="000000"/>
                <w:kern w:val="0"/>
                <w:sz w:val="24"/>
              </w:rPr>
              <w:t>Q</w:t>
            </w:r>
            <w:r>
              <w:rPr>
                <w:rFonts w:ascii="宋体" w:hAnsi="宋体" w:hint="eastAsia"/>
                <w:bCs/>
                <w:iCs/>
                <w:color w:val="000000"/>
                <w:kern w:val="0"/>
                <w:sz w:val="24"/>
              </w:rPr>
              <w:t>值、高</w:t>
            </w:r>
            <w:r>
              <w:rPr>
                <w:rFonts w:ascii="宋体" w:hAnsi="宋体" w:hint="eastAsia"/>
                <w:bCs/>
                <w:iCs/>
                <w:color w:val="000000"/>
                <w:kern w:val="0"/>
                <w:sz w:val="24"/>
              </w:rPr>
              <w:t>能</w:t>
            </w:r>
            <w:r>
              <w:rPr>
                <w:rFonts w:ascii="宋体" w:hAnsi="宋体" w:hint="eastAsia"/>
                <w:bCs/>
                <w:iCs/>
                <w:color w:val="000000"/>
                <w:kern w:val="0"/>
                <w:sz w:val="24"/>
              </w:rPr>
              <w:t>耗）与成本问题制约其普及。石英晶振凭借成熟工艺和性能优势仍是主流。</w:t>
            </w:r>
          </w:p>
        </w:tc>
      </w:tr>
      <w:tr w:rsidR="00D60BA6" w14:paraId="7A0B4D43" w14:textId="77777777">
        <w:tc>
          <w:tcPr>
            <w:tcW w:w="1121" w:type="pct"/>
            <w:vAlign w:val="center"/>
          </w:tcPr>
          <w:p w14:paraId="0C8CEC75" w14:textId="77777777" w:rsidR="00D60BA6" w:rsidRDefault="00C5108E">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14:paraId="14FAEDA9" w14:textId="77777777" w:rsidR="00D60BA6" w:rsidRDefault="00D60BA6">
            <w:pPr>
              <w:spacing w:line="480" w:lineRule="atLeast"/>
              <w:rPr>
                <w:rFonts w:ascii="宋体" w:hAnsi="宋体"/>
                <w:bCs/>
                <w:iCs/>
                <w:color w:val="000000"/>
                <w:sz w:val="24"/>
              </w:rPr>
            </w:pPr>
          </w:p>
        </w:tc>
      </w:tr>
      <w:tr w:rsidR="00D60BA6" w14:paraId="634D69B2" w14:textId="77777777">
        <w:tc>
          <w:tcPr>
            <w:tcW w:w="1121" w:type="pct"/>
            <w:vAlign w:val="center"/>
          </w:tcPr>
          <w:p w14:paraId="61B4D07C" w14:textId="77777777" w:rsidR="00D60BA6" w:rsidRDefault="00C5108E">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14:paraId="5CD6BB2C" w14:textId="77777777" w:rsidR="00D60BA6" w:rsidRDefault="00C5108E">
            <w:pPr>
              <w:spacing w:line="480" w:lineRule="atLeast"/>
              <w:rPr>
                <w:rFonts w:ascii="宋体" w:hAnsi="宋体"/>
                <w:bCs/>
                <w:iCs/>
                <w:color w:val="000000"/>
                <w:sz w:val="24"/>
              </w:rPr>
            </w:pPr>
            <w:r>
              <w:rPr>
                <w:rFonts w:ascii="宋体" w:hAnsi="宋体" w:hint="eastAsia"/>
                <w:bCs/>
                <w:iCs/>
                <w:color w:val="000000"/>
                <w:sz w:val="24"/>
              </w:rPr>
              <w:t>2025</w:t>
            </w:r>
            <w:r>
              <w:rPr>
                <w:rFonts w:ascii="宋体" w:hAnsi="宋体" w:hint="eastAsia"/>
                <w:bCs/>
                <w:iCs/>
                <w:color w:val="000000"/>
                <w:sz w:val="24"/>
              </w:rPr>
              <w:t>年</w:t>
            </w:r>
            <w:r>
              <w:rPr>
                <w:rFonts w:ascii="宋体" w:hAnsi="宋体" w:hint="eastAsia"/>
                <w:bCs/>
                <w:iCs/>
                <w:color w:val="000000"/>
                <w:sz w:val="24"/>
              </w:rPr>
              <w:t>5</w:t>
            </w:r>
            <w:r>
              <w:rPr>
                <w:rFonts w:ascii="宋体" w:hAnsi="宋体" w:hint="eastAsia"/>
                <w:bCs/>
                <w:iCs/>
                <w:color w:val="000000"/>
                <w:sz w:val="24"/>
              </w:rPr>
              <w:t>月</w:t>
            </w:r>
            <w:r>
              <w:rPr>
                <w:rFonts w:ascii="宋体" w:hAnsi="宋体" w:hint="eastAsia"/>
                <w:bCs/>
                <w:iCs/>
                <w:color w:val="000000"/>
                <w:sz w:val="24"/>
              </w:rPr>
              <w:t>6</w:t>
            </w:r>
            <w:r>
              <w:rPr>
                <w:rFonts w:ascii="宋体" w:hAnsi="宋体" w:hint="eastAsia"/>
                <w:bCs/>
                <w:iCs/>
                <w:color w:val="000000"/>
                <w:sz w:val="24"/>
              </w:rPr>
              <w:t>日</w:t>
            </w:r>
          </w:p>
        </w:tc>
      </w:tr>
    </w:tbl>
    <w:p w14:paraId="09411795" w14:textId="77777777" w:rsidR="00D60BA6" w:rsidRDefault="00D60BA6"/>
    <w:sectPr w:rsidR="00D60BA6">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D56F8" w14:textId="77777777" w:rsidR="00C5108E" w:rsidRDefault="00C5108E">
      <w:r>
        <w:separator/>
      </w:r>
    </w:p>
  </w:endnote>
  <w:endnote w:type="continuationSeparator" w:id="0">
    <w:p w14:paraId="26A780CB" w14:textId="77777777" w:rsidR="00C5108E" w:rsidRDefault="00C5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3792" w14:textId="77777777" w:rsidR="00D60BA6" w:rsidRDefault="00C5108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9DD201B" w14:textId="77777777" w:rsidR="00D60BA6" w:rsidRDefault="00D60BA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0D7D2" w14:textId="77777777" w:rsidR="00D60BA6" w:rsidRDefault="00C5108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40FF0">
      <w:rPr>
        <w:rStyle w:val="ab"/>
        <w:noProof/>
      </w:rPr>
      <w:t>7</w:t>
    </w:r>
    <w:r>
      <w:rPr>
        <w:rStyle w:val="ab"/>
      </w:rPr>
      <w:fldChar w:fldCharType="end"/>
    </w:r>
  </w:p>
  <w:p w14:paraId="1E56FCF1" w14:textId="77777777" w:rsidR="00D60BA6" w:rsidRDefault="00D60B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00C75" w14:textId="77777777" w:rsidR="00C5108E" w:rsidRDefault="00C5108E">
      <w:r>
        <w:separator/>
      </w:r>
    </w:p>
  </w:footnote>
  <w:footnote w:type="continuationSeparator" w:id="0">
    <w:p w14:paraId="2EF8C550" w14:textId="77777777" w:rsidR="00C5108E" w:rsidRDefault="00C51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A740"/>
    <w:multiLevelType w:val="singleLevel"/>
    <w:tmpl w:val="1126A740"/>
    <w:lvl w:ilvl="0">
      <w:start w:val="1"/>
      <w:numFmt w:val="chineseCounting"/>
      <w:suff w:val="nothing"/>
      <w:lvlText w:val="%1、"/>
      <w:lvlJc w:val="left"/>
      <w:rPr>
        <w:rFonts w:hint="eastAsia"/>
      </w:rPr>
    </w:lvl>
  </w:abstractNum>
  <w:abstractNum w:abstractNumId="1">
    <w:nsid w:val="47418ED5"/>
    <w:multiLevelType w:val="singleLevel"/>
    <w:tmpl w:val="47418ED5"/>
    <w:lvl w:ilvl="0">
      <w:start w:val="1"/>
      <w:numFmt w:val="decimal"/>
      <w:suff w:val="nothing"/>
      <w:lvlText w:val="%1、"/>
      <w:lvlJc w:val="left"/>
    </w:lvl>
  </w:abstractNum>
  <w:abstractNum w:abstractNumId="2">
    <w:nsid w:val="7A29BF14"/>
    <w:multiLevelType w:val="singleLevel"/>
    <w:tmpl w:val="7A29BF14"/>
    <w:lvl w:ilvl="0">
      <w:start w:val="1"/>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KD-晓辉">
    <w15:presenceInfo w15:providerId="WPS Office" w15:userId="551428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MWEyZWQ4YzU1ZWFhYmNlMjBlYTM2OTA5ZDYzOTUifQ=="/>
  </w:docVars>
  <w:rsids>
    <w:rsidRoot w:val="006D3EAE"/>
    <w:rsid w:val="BFFEA70A"/>
    <w:rsid w:val="CA2E461F"/>
    <w:rsid w:val="E37754E1"/>
    <w:rsid w:val="0002422A"/>
    <w:rsid w:val="00033C92"/>
    <w:rsid w:val="0003665E"/>
    <w:rsid w:val="00036FD6"/>
    <w:rsid w:val="00043DCC"/>
    <w:rsid w:val="00047EEB"/>
    <w:rsid w:val="00047FA7"/>
    <w:rsid w:val="00051DA3"/>
    <w:rsid w:val="000543A1"/>
    <w:rsid w:val="0005449B"/>
    <w:rsid w:val="0005533C"/>
    <w:rsid w:val="00057CD6"/>
    <w:rsid w:val="000616BE"/>
    <w:rsid w:val="0009696E"/>
    <w:rsid w:val="000A2A2C"/>
    <w:rsid w:val="000B5B6F"/>
    <w:rsid w:val="000B667B"/>
    <w:rsid w:val="000E41A1"/>
    <w:rsid w:val="000F35A4"/>
    <w:rsid w:val="0010130E"/>
    <w:rsid w:val="00106EC0"/>
    <w:rsid w:val="001310A0"/>
    <w:rsid w:val="00141115"/>
    <w:rsid w:val="0014131A"/>
    <w:rsid w:val="00142E04"/>
    <w:rsid w:val="00147F5B"/>
    <w:rsid w:val="00157A8B"/>
    <w:rsid w:val="00167C66"/>
    <w:rsid w:val="00171E30"/>
    <w:rsid w:val="00176FF8"/>
    <w:rsid w:val="00180343"/>
    <w:rsid w:val="0019600F"/>
    <w:rsid w:val="001A09E6"/>
    <w:rsid w:val="001A316E"/>
    <w:rsid w:val="001C00AD"/>
    <w:rsid w:val="001C5C2F"/>
    <w:rsid w:val="001C762D"/>
    <w:rsid w:val="001C7DCB"/>
    <w:rsid w:val="001E730A"/>
    <w:rsid w:val="001F04BB"/>
    <w:rsid w:val="001F3B91"/>
    <w:rsid w:val="001F5821"/>
    <w:rsid w:val="00214DB5"/>
    <w:rsid w:val="00216E2E"/>
    <w:rsid w:val="00221A7E"/>
    <w:rsid w:val="00232E0F"/>
    <w:rsid w:val="00242BEE"/>
    <w:rsid w:val="00247BBA"/>
    <w:rsid w:val="00257533"/>
    <w:rsid w:val="00263AFD"/>
    <w:rsid w:val="002B1423"/>
    <w:rsid w:val="002B4AD2"/>
    <w:rsid w:val="002B4F9C"/>
    <w:rsid w:val="002B57B2"/>
    <w:rsid w:val="002C1730"/>
    <w:rsid w:val="002C4958"/>
    <w:rsid w:val="002C5738"/>
    <w:rsid w:val="002E361B"/>
    <w:rsid w:val="002E36B7"/>
    <w:rsid w:val="002F3046"/>
    <w:rsid w:val="0030389F"/>
    <w:rsid w:val="0030404F"/>
    <w:rsid w:val="00312F73"/>
    <w:rsid w:val="00320509"/>
    <w:rsid w:val="00322C39"/>
    <w:rsid w:val="00325388"/>
    <w:rsid w:val="00325583"/>
    <w:rsid w:val="0032615B"/>
    <w:rsid w:val="00330EDD"/>
    <w:rsid w:val="00335AE1"/>
    <w:rsid w:val="00345BC6"/>
    <w:rsid w:val="00346D53"/>
    <w:rsid w:val="00350BFB"/>
    <w:rsid w:val="003532D4"/>
    <w:rsid w:val="00354292"/>
    <w:rsid w:val="0035766A"/>
    <w:rsid w:val="00357DFC"/>
    <w:rsid w:val="00363D10"/>
    <w:rsid w:val="00366A68"/>
    <w:rsid w:val="00370F04"/>
    <w:rsid w:val="003710A4"/>
    <w:rsid w:val="00382598"/>
    <w:rsid w:val="00385F75"/>
    <w:rsid w:val="00387D2F"/>
    <w:rsid w:val="003B2121"/>
    <w:rsid w:val="003B3123"/>
    <w:rsid w:val="003C1748"/>
    <w:rsid w:val="003C3BED"/>
    <w:rsid w:val="003C60A3"/>
    <w:rsid w:val="003D4D0E"/>
    <w:rsid w:val="003D7C62"/>
    <w:rsid w:val="003F3780"/>
    <w:rsid w:val="004002A9"/>
    <w:rsid w:val="00401400"/>
    <w:rsid w:val="004153AC"/>
    <w:rsid w:val="0043564B"/>
    <w:rsid w:val="0044301E"/>
    <w:rsid w:val="00463543"/>
    <w:rsid w:val="00463E59"/>
    <w:rsid w:val="00470347"/>
    <w:rsid w:val="0047119B"/>
    <w:rsid w:val="00481D3A"/>
    <w:rsid w:val="00481D43"/>
    <w:rsid w:val="004912B8"/>
    <w:rsid w:val="00492E27"/>
    <w:rsid w:val="00495030"/>
    <w:rsid w:val="004A2DAC"/>
    <w:rsid w:val="004A688C"/>
    <w:rsid w:val="004B1329"/>
    <w:rsid w:val="004B69DB"/>
    <w:rsid w:val="004C47F2"/>
    <w:rsid w:val="004C58E5"/>
    <w:rsid w:val="004C7DCB"/>
    <w:rsid w:val="004D0059"/>
    <w:rsid w:val="004D15AE"/>
    <w:rsid w:val="004F59DC"/>
    <w:rsid w:val="004F60C0"/>
    <w:rsid w:val="00504DD5"/>
    <w:rsid w:val="0051032A"/>
    <w:rsid w:val="0051122E"/>
    <w:rsid w:val="005149BF"/>
    <w:rsid w:val="00517A0F"/>
    <w:rsid w:val="00522531"/>
    <w:rsid w:val="00531225"/>
    <w:rsid w:val="005321F4"/>
    <w:rsid w:val="005435A0"/>
    <w:rsid w:val="00551635"/>
    <w:rsid w:val="005540E9"/>
    <w:rsid w:val="005676AC"/>
    <w:rsid w:val="00570E8D"/>
    <w:rsid w:val="00593B4D"/>
    <w:rsid w:val="0059676E"/>
    <w:rsid w:val="00597970"/>
    <w:rsid w:val="005A2AF7"/>
    <w:rsid w:val="005A352D"/>
    <w:rsid w:val="005A5431"/>
    <w:rsid w:val="005B433E"/>
    <w:rsid w:val="005B5F6A"/>
    <w:rsid w:val="005C39A6"/>
    <w:rsid w:val="005D10DD"/>
    <w:rsid w:val="005D32C3"/>
    <w:rsid w:val="005D7CBD"/>
    <w:rsid w:val="005E6AC2"/>
    <w:rsid w:val="005F1208"/>
    <w:rsid w:val="005F79E8"/>
    <w:rsid w:val="00601016"/>
    <w:rsid w:val="006027B3"/>
    <w:rsid w:val="00604426"/>
    <w:rsid w:val="00607BB4"/>
    <w:rsid w:val="00613D5F"/>
    <w:rsid w:val="00613F24"/>
    <w:rsid w:val="00625DE2"/>
    <w:rsid w:val="006272FE"/>
    <w:rsid w:val="00633B17"/>
    <w:rsid w:val="00636279"/>
    <w:rsid w:val="00641194"/>
    <w:rsid w:val="00641695"/>
    <w:rsid w:val="006522B8"/>
    <w:rsid w:val="0066149A"/>
    <w:rsid w:val="00670D1B"/>
    <w:rsid w:val="006763DD"/>
    <w:rsid w:val="006777B0"/>
    <w:rsid w:val="006A04D0"/>
    <w:rsid w:val="006C2CE9"/>
    <w:rsid w:val="006D3EAE"/>
    <w:rsid w:val="006D578A"/>
    <w:rsid w:val="006F6237"/>
    <w:rsid w:val="00700F05"/>
    <w:rsid w:val="007144EE"/>
    <w:rsid w:val="007157EC"/>
    <w:rsid w:val="00735759"/>
    <w:rsid w:val="00747B7E"/>
    <w:rsid w:val="00752EE3"/>
    <w:rsid w:val="00755A0C"/>
    <w:rsid w:val="00755DDB"/>
    <w:rsid w:val="00763D2B"/>
    <w:rsid w:val="00765033"/>
    <w:rsid w:val="00774D04"/>
    <w:rsid w:val="007805FC"/>
    <w:rsid w:val="0078463F"/>
    <w:rsid w:val="007907E7"/>
    <w:rsid w:val="007944D2"/>
    <w:rsid w:val="007A4560"/>
    <w:rsid w:val="007B0188"/>
    <w:rsid w:val="007B32FC"/>
    <w:rsid w:val="007B4198"/>
    <w:rsid w:val="007B49CE"/>
    <w:rsid w:val="007B5C70"/>
    <w:rsid w:val="007C7A19"/>
    <w:rsid w:val="007C7D5E"/>
    <w:rsid w:val="007D742A"/>
    <w:rsid w:val="007F3B7A"/>
    <w:rsid w:val="0080147C"/>
    <w:rsid w:val="00812E24"/>
    <w:rsid w:val="0081588F"/>
    <w:rsid w:val="00817065"/>
    <w:rsid w:val="008201E5"/>
    <w:rsid w:val="00823E6B"/>
    <w:rsid w:val="0082651C"/>
    <w:rsid w:val="0083480F"/>
    <w:rsid w:val="0083688F"/>
    <w:rsid w:val="00840FF0"/>
    <w:rsid w:val="00843C3B"/>
    <w:rsid w:val="00854E29"/>
    <w:rsid w:val="00856A41"/>
    <w:rsid w:val="008826C0"/>
    <w:rsid w:val="00891075"/>
    <w:rsid w:val="0089146B"/>
    <w:rsid w:val="008B43E2"/>
    <w:rsid w:val="008B5F10"/>
    <w:rsid w:val="008C20AF"/>
    <w:rsid w:val="008C34BC"/>
    <w:rsid w:val="008C5B65"/>
    <w:rsid w:val="008F1EB3"/>
    <w:rsid w:val="008F4171"/>
    <w:rsid w:val="00911955"/>
    <w:rsid w:val="00920634"/>
    <w:rsid w:val="00924394"/>
    <w:rsid w:val="0092739B"/>
    <w:rsid w:val="0093216C"/>
    <w:rsid w:val="00943AC2"/>
    <w:rsid w:val="00944D8B"/>
    <w:rsid w:val="00955BE1"/>
    <w:rsid w:val="009604BD"/>
    <w:rsid w:val="009611CE"/>
    <w:rsid w:val="0096393C"/>
    <w:rsid w:val="0096623E"/>
    <w:rsid w:val="009741DB"/>
    <w:rsid w:val="009A0B3E"/>
    <w:rsid w:val="009B13DC"/>
    <w:rsid w:val="009B30D7"/>
    <w:rsid w:val="009C731D"/>
    <w:rsid w:val="009D4111"/>
    <w:rsid w:val="009D53CE"/>
    <w:rsid w:val="009D7A54"/>
    <w:rsid w:val="009E2BF0"/>
    <w:rsid w:val="009E42B8"/>
    <w:rsid w:val="009F1528"/>
    <w:rsid w:val="009F4F58"/>
    <w:rsid w:val="00A05754"/>
    <w:rsid w:val="00A063F1"/>
    <w:rsid w:val="00A10DF3"/>
    <w:rsid w:val="00A16C48"/>
    <w:rsid w:val="00A17CD3"/>
    <w:rsid w:val="00A20995"/>
    <w:rsid w:val="00A2208C"/>
    <w:rsid w:val="00A33775"/>
    <w:rsid w:val="00A33820"/>
    <w:rsid w:val="00A35BB3"/>
    <w:rsid w:val="00A43CBC"/>
    <w:rsid w:val="00A44D66"/>
    <w:rsid w:val="00A70D39"/>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E4A91"/>
    <w:rsid w:val="00AF6BEE"/>
    <w:rsid w:val="00B02803"/>
    <w:rsid w:val="00B11DA7"/>
    <w:rsid w:val="00B16F4E"/>
    <w:rsid w:val="00B23444"/>
    <w:rsid w:val="00B237FB"/>
    <w:rsid w:val="00B422E7"/>
    <w:rsid w:val="00B44335"/>
    <w:rsid w:val="00B456D0"/>
    <w:rsid w:val="00B53A57"/>
    <w:rsid w:val="00B605A2"/>
    <w:rsid w:val="00B67697"/>
    <w:rsid w:val="00B77C55"/>
    <w:rsid w:val="00B965C3"/>
    <w:rsid w:val="00BA2BD2"/>
    <w:rsid w:val="00BA3CA8"/>
    <w:rsid w:val="00BC298D"/>
    <w:rsid w:val="00BC775B"/>
    <w:rsid w:val="00BD1688"/>
    <w:rsid w:val="00C1196D"/>
    <w:rsid w:val="00C12F9B"/>
    <w:rsid w:val="00C14FDD"/>
    <w:rsid w:val="00C17AE6"/>
    <w:rsid w:val="00C27ED8"/>
    <w:rsid w:val="00C36F59"/>
    <w:rsid w:val="00C40C2E"/>
    <w:rsid w:val="00C5108E"/>
    <w:rsid w:val="00C56AE8"/>
    <w:rsid w:val="00C63EB0"/>
    <w:rsid w:val="00CB1508"/>
    <w:rsid w:val="00CB32FA"/>
    <w:rsid w:val="00CB65CD"/>
    <w:rsid w:val="00CC143B"/>
    <w:rsid w:val="00CC681C"/>
    <w:rsid w:val="00CD1FD8"/>
    <w:rsid w:val="00CD5726"/>
    <w:rsid w:val="00CE427E"/>
    <w:rsid w:val="00CF7981"/>
    <w:rsid w:val="00D05BF4"/>
    <w:rsid w:val="00D1174A"/>
    <w:rsid w:val="00D14D9D"/>
    <w:rsid w:val="00D157FC"/>
    <w:rsid w:val="00D17C96"/>
    <w:rsid w:val="00D22EB3"/>
    <w:rsid w:val="00D50963"/>
    <w:rsid w:val="00D567D6"/>
    <w:rsid w:val="00D5685D"/>
    <w:rsid w:val="00D573A6"/>
    <w:rsid w:val="00D60BA6"/>
    <w:rsid w:val="00D635A7"/>
    <w:rsid w:val="00D667B8"/>
    <w:rsid w:val="00D7647E"/>
    <w:rsid w:val="00D767B8"/>
    <w:rsid w:val="00D9541B"/>
    <w:rsid w:val="00DA1DAC"/>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43209"/>
    <w:rsid w:val="00E57587"/>
    <w:rsid w:val="00E61D35"/>
    <w:rsid w:val="00E63899"/>
    <w:rsid w:val="00E82133"/>
    <w:rsid w:val="00E85887"/>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F01BC5"/>
    <w:rsid w:val="00F028B0"/>
    <w:rsid w:val="00F062FA"/>
    <w:rsid w:val="00F0631C"/>
    <w:rsid w:val="00F17D5E"/>
    <w:rsid w:val="00F311CC"/>
    <w:rsid w:val="00F3457C"/>
    <w:rsid w:val="00F3565E"/>
    <w:rsid w:val="00F56DE4"/>
    <w:rsid w:val="00F6128B"/>
    <w:rsid w:val="00F6576C"/>
    <w:rsid w:val="00F704A0"/>
    <w:rsid w:val="00F712BF"/>
    <w:rsid w:val="00F7132E"/>
    <w:rsid w:val="00F74BBC"/>
    <w:rsid w:val="00F7647B"/>
    <w:rsid w:val="00F85D5C"/>
    <w:rsid w:val="00F93508"/>
    <w:rsid w:val="00FA0D63"/>
    <w:rsid w:val="00FA2443"/>
    <w:rsid w:val="00FB1FA9"/>
    <w:rsid w:val="00FB26D3"/>
    <w:rsid w:val="00FE1E16"/>
    <w:rsid w:val="00FE379D"/>
    <w:rsid w:val="00FE6076"/>
    <w:rsid w:val="00FE7261"/>
    <w:rsid w:val="02BA156B"/>
    <w:rsid w:val="02DB0E83"/>
    <w:rsid w:val="049B0F0E"/>
    <w:rsid w:val="04AC7907"/>
    <w:rsid w:val="05B73983"/>
    <w:rsid w:val="06E84AEE"/>
    <w:rsid w:val="072C3C39"/>
    <w:rsid w:val="098B7BA9"/>
    <w:rsid w:val="0AAA023B"/>
    <w:rsid w:val="0C1A0F6B"/>
    <w:rsid w:val="0C1F3122"/>
    <w:rsid w:val="0D687B7F"/>
    <w:rsid w:val="0E145E21"/>
    <w:rsid w:val="0E327D5A"/>
    <w:rsid w:val="0E5921C9"/>
    <w:rsid w:val="0FE31A15"/>
    <w:rsid w:val="10555F51"/>
    <w:rsid w:val="107230EC"/>
    <w:rsid w:val="12962CA8"/>
    <w:rsid w:val="12AD205A"/>
    <w:rsid w:val="13047219"/>
    <w:rsid w:val="13B34E50"/>
    <w:rsid w:val="14D03406"/>
    <w:rsid w:val="155737F2"/>
    <w:rsid w:val="158B3DCB"/>
    <w:rsid w:val="15FC7644"/>
    <w:rsid w:val="161B43A6"/>
    <w:rsid w:val="1D3F434C"/>
    <w:rsid w:val="1F1D3483"/>
    <w:rsid w:val="201547FC"/>
    <w:rsid w:val="205B48AC"/>
    <w:rsid w:val="217907FA"/>
    <w:rsid w:val="21EC0C19"/>
    <w:rsid w:val="22F9741B"/>
    <w:rsid w:val="234C24BC"/>
    <w:rsid w:val="23F3266D"/>
    <w:rsid w:val="242F07B1"/>
    <w:rsid w:val="24970DA1"/>
    <w:rsid w:val="24A73F1B"/>
    <w:rsid w:val="24B91D24"/>
    <w:rsid w:val="24E40DF5"/>
    <w:rsid w:val="253054F7"/>
    <w:rsid w:val="25BA5E8D"/>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1BB73F6"/>
    <w:rsid w:val="32795A71"/>
    <w:rsid w:val="34A05EB8"/>
    <w:rsid w:val="3531163A"/>
    <w:rsid w:val="35BD1BF4"/>
    <w:rsid w:val="36FF3403"/>
    <w:rsid w:val="387029F0"/>
    <w:rsid w:val="39356E0C"/>
    <w:rsid w:val="39420539"/>
    <w:rsid w:val="39D25CCB"/>
    <w:rsid w:val="3B0077D0"/>
    <w:rsid w:val="3C5C4729"/>
    <w:rsid w:val="3CBB0E0C"/>
    <w:rsid w:val="3E427765"/>
    <w:rsid w:val="3EDE0A5E"/>
    <w:rsid w:val="3EDF23FB"/>
    <w:rsid w:val="3F590348"/>
    <w:rsid w:val="42052447"/>
    <w:rsid w:val="42245B1A"/>
    <w:rsid w:val="42A261A4"/>
    <w:rsid w:val="43F84A84"/>
    <w:rsid w:val="462B1E7A"/>
    <w:rsid w:val="463523CF"/>
    <w:rsid w:val="46386956"/>
    <w:rsid w:val="483726A7"/>
    <w:rsid w:val="4A4E273B"/>
    <w:rsid w:val="4AEC6753"/>
    <w:rsid w:val="4B4A0F2C"/>
    <w:rsid w:val="4C3949FE"/>
    <w:rsid w:val="4CD41005"/>
    <w:rsid w:val="4E5D5E37"/>
    <w:rsid w:val="4F1215C4"/>
    <w:rsid w:val="4FBF3BA0"/>
    <w:rsid w:val="50687D49"/>
    <w:rsid w:val="50947199"/>
    <w:rsid w:val="50E035A2"/>
    <w:rsid w:val="5147196C"/>
    <w:rsid w:val="53B16DA2"/>
    <w:rsid w:val="558665D4"/>
    <w:rsid w:val="55DD63C6"/>
    <w:rsid w:val="56B66209"/>
    <w:rsid w:val="583F2D3F"/>
    <w:rsid w:val="59284319"/>
    <w:rsid w:val="592D6FFC"/>
    <w:rsid w:val="596A0661"/>
    <w:rsid w:val="59BD7A38"/>
    <w:rsid w:val="5A273D56"/>
    <w:rsid w:val="5B3100DB"/>
    <w:rsid w:val="5B876F90"/>
    <w:rsid w:val="5C0C5BB4"/>
    <w:rsid w:val="5CB91C04"/>
    <w:rsid w:val="5D1A7ECF"/>
    <w:rsid w:val="5FC36030"/>
    <w:rsid w:val="61650F99"/>
    <w:rsid w:val="617751E6"/>
    <w:rsid w:val="64552958"/>
    <w:rsid w:val="66406CDE"/>
    <w:rsid w:val="66D36752"/>
    <w:rsid w:val="670F2044"/>
    <w:rsid w:val="676B56B8"/>
    <w:rsid w:val="67DB6E18"/>
    <w:rsid w:val="68CE07B6"/>
    <w:rsid w:val="68EE6649"/>
    <w:rsid w:val="6910174A"/>
    <w:rsid w:val="6AE30619"/>
    <w:rsid w:val="6B5313CF"/>
    <w:rsid w:val="6B917008"/>
    <w:rsid w:val="6BB20C8A"/>
    <w:rsid w:val="6DB27580"/>
    <w:rsid w:val="6E696CE8"/>
    <w:rsid w:val="701C431A"/>
    <w:rsid w:val="71980D60"/>
    <w:rsid w:val="71D360BD"/>
    <w:rsid w:val="72521545"/>
    <w:rsid w:val="736D1450"/>
    <w:rsid w:val="7410303A"/>
    <w:rsid w:val="7431594E"/>
    <w:rsid w:val="74D66AE8"/>
    <w:rsid w:val="75790509"/>
    <w:rsid w:val="766B432B"/>
    <w:rsid w:val="7692084F"/>
    <w:rsid w:val="77086B72"/>
    <w:rsid w:val="78687992"/>
    <w:rsid w:val="7C5B571D"/>
    <w:rsid w:val="7D2C7423"/>
    <w:rsid w:val="7ECB7924"/>
    <w:rsid w:val="7FBDB9CD"/>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semiHidden/>
    <w:unhideWhenUsed/>
    <w:qFormat/>
    <w:rPr>
      <w:color w:val="0000FF"/>
      <w:u w:val="single"/>
    </w:rPr>
  </w:style>
  <w:style w:type="character" w:styleId="ae">
    <w:name w:val="annotation reference"/>
    <w:basedOn w:val="a0"/>
    <w:semiHidden/>
    <w:qFormat/>
    <w:rPr>
      <w:sz w:val="21"/>
      <w:szCs w:val="21"/>
    </w:rPr>
  </w:style>
  <w:style w:type="paragraph" w:styleId="af">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semiHidden/>
    <w:unhideWhenUsed/>
    <w:qFormat/>
    <w:rPr>
      <w:color w:val="0000FF"/>
      <w:u w:val="single"/>
    </w:rPr>
  </w:style>
  <w:style w:type="character" w:styleId="ae">
    <w:name w:val="annotation reference"/>
    <w:basedOn w:val="a0"/>
    <w:semiHidden/>
    <w:qFormat/>
    <w:rPr>
      <w:sz w:val="21"/>
      <w:szCs w:val="21"/>
    </w:rPr>
  </w:style>
  <w:style w:type="paragraph" w:styleId="af">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Fifth Edition" SelectedStyle="\APA.XSL"/>
</file>

<file path=customXml/itemProps1.xml><?xml version="1.0" encoding="utf-8"?>
<ds:datastoreItem xmlns:ds="http://schemas.openxmlformats.org/officeDocument/2006/customXml" ds:itemID="{B76C5976-0A41-4944-AB5F-687321DF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2115</Words>
  <Characters>2687</Characters>
  <Application>Microsoft Office Word</Application>
  <DocSecurity>0</DocSecurity>
  <Lines>298</Lines>
  <Paragraphs>282</Paragraphs>
  <ScaleCrop>false</ScaleCrop>
  <Company>szse</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29</cp:revision>
  <cp:lastPrinted>2018-07-03T22:35:00Z</cp:lastPrinted>
  <dcterms:created xsi:type="dcterms:W3CDTF">2018-07-03T22:32:00Z</dcterms:created>
  <dcterms:modified xsi:type="dcterms:W3CDTF">2025-05-08T06:55:00Z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7D83EB71C15C472E88EDDAE5E449AABF_13</vt:lpwstr>
  </property>
  <property fmtid="{D5CDD505-2E9C-101B-9397-08002B2CF9AE}" pid="4" name="KSOTemplateDocerSaveRecord">
    <vt:lpwstr>eyJoZGlkIjoiZjQ4MWEyZWQ4YzU1ZWFhYmNlMjBlYTM2OTA5ZDYzOTUiLCJ1c2VySWQiOiIzMDY1OTM1NDQifQ==</vt:lpwstr>
  </property>
</Properties>
</file>