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6EA6">
      <w:pPr>
        <w:pStyle w:val="15"/>
        <w:jc w:val="center"/>
        <w:rPr>
          <w:rFonts w:ascii="宋体" w:hAnsi="宋体" w:eastAsia="宋体" w:cs="宋体"/>
          <w:b/>
          <w:bCs/>
          <w:color w:val="auto"/>
          <w:szCs w:val="28"/>
        </w:rPr>
      </w:pPr>
      <w:r>
        <w:rPr>
          <w:rFonts w:hint="eastAsia" w:ascii="宋体" w:hAnsi="宋体" w:eastAsia="宋体" w:cs="宋体"/>
          <w:b/>
          <w:bCs/>
          <w:color w:val="auto"/>
          <w:szCs w:val="28"/>
          <w:lang w:eastAsia="zh-Hans"/>
        </w:rPr>
        <w:t>金科环境</w:t>
      </w:r>
      <w:r>
        <w:rPr>
          <w:rFonts w:hint="eastAsia" w:ascii="宋体" w:hAnsi="宋体" w:eastAsia="宋体" w:cs="宋体"/>
          <w:b/>
          <w:bCs/>
          <w:color w:val="auto"/>
          <w:szCs w:val="28"/>
        </w:rPr>
        <w:t>股份有限公司</w:t>
      </w:r>
    </w:p>
    <w:p w14:paraId="29E2CA38">
      <w:pPr>
        <w:pStyle w:val="15"/>
        <w:jc w:val="center"/>
        <w:rPr>
          <w:rFonts w:ascii="宋体" w:hAnsi="宋体" w:eastAsia="宋体" w:cs="宋体"/>
          <w:b/>
          <w:bCs/>
          <w:color w:val="auto"/>
          <w:szCs w:val="28"/>
        </w:rPr>
      </w:pPr>
      <w:r>
        <w:rPr>
          <w:rFonts w:hint="eastAsia" w:ascii="宋体" w:hAnsi="宋体" w:eastAsia="宋体" w:cs="宋体"/>
          <w:b/>
          <w:bCs/>
          <w:color w:val="auto"/>
          <w:szCs w:val="28"/>
        </w:rPr>
        <w:t>投资者关系活动记录表</w:t>
      </w:r>
    </w:p>
    <w:p w14:paraId="7C74A02E">
      <w:pPr>
        <w:wordWrap w:val="0"/>
        <w:jc w:val="right"/>
        <w:rPr>
          <w:rFonts w:hint="eastAsia" w:ascii="宋体" w:hAnsi="宋体" w:eastAsia="宋体" w:cs="Times New Roman"/>
          <w:sz w:val="24"/>
          <w:lang w:eastAsia="zh-CN"/>
        </w:rPr>
      </w:pPr>
      <w:r>
        <w:rPr>
          <w:rFonts w:hint="eastAsia" w:ascii="宋体" w:hAnsi="宋体" w:eastAsia="宋体" w:cs="Times New Roman"/>
        </w:rPr>
        <w:t>编号</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02</w:t>
      </w:r>
      <w:r>
        <w:rPr>
          <w:rFonts w:hint="eastAsia" w:ascii="宋体" w:hAnsi="宋体" w:eastAsia="宋体" w:cs="Times New Roman"/>
          <w:lang w:val="en-US" w:eastAsia="zh-CN"/>
        </w:rPr>
        <w:t>5</w:t>
      </w:r>
      <w:r>
        <w:rPr>
          <w:rFonts w:hint="eastAsia" w:ascii="宋体" w:hAnsi="宋体" w:eastAsia="宋体" w:cs="Times New Roman"/>
        </w:rPr>
        <w:t>-0</w:t>
      </w:r>
      <w:r>
        <w:rPr>
          <w:rFonts w:hint="eastAsia" w:ascii="宋体" w:hAnsi="宋体" w:eastAsia="宋体" w:cs="Times New Roman"/>
          <w:lang w:val="en-US" w:eastAsia="zh-CN"/>
        </w:rPr>
        <w:t>3</w:t>
      </w:r>
    </w:p>
    <w:tbl>
      <w:tblPr>
        <w:tblStyle w:val="16"/>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7229"/>
      </w:tblGrid>
      <w:tr w14:paraId="3C3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844" w:type="dxa"/>
            <w:vAlign w:val="center"/>
          </w:tcPr>
          <w:p w14:paraId="2131FCC0">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投资者关系活动类别</w:t>
            </w:r>
          </w:p>
        </w:tc>
        <w:tc>
          <w:tcPr>
            <w:tcW w:w="7229" w:type="dxa"/>
            <w:vAlign w:val="center"/>
          </w:tcPr>
          <w:p w14:paraId="15BA04EE">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□特定对象调研     □分析师会议</w:t>
            </w:r>
          </w:p>
          <w:p w14:paraId="1C5BD443">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 xml:space="preserve">媒体采访         </w:t>
            </w: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业绩说明会</w:t>
            </w:r>
          </w:p>
          <w:p w14:paraId="09EAD1DB">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kern w:val="0"/>
                <w:szCs w:val="21"/>
                <w:u w:val="none"/>
              </w:rPr>
              <w:t xml:space="preserve">□新闻发布会       </w:t>
            </w: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路演活动</w:t>
            </w:r>
          </w:p>
          <w:p w14:paraId="108164ED">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□现场参观</w:t>
            </w:r>
          </w:p>
          <w:p w14:paraId="4F098B93">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□其他（请文字说明）</w:t>
            </w:r>
          </w:p>
        </w:tc>
      </w:tr>
      <w:tr w14:paraId="02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844" w:type="dxa"/>
            <w:vAlign w:val="center"/>
          </w:tcPr>
          <w:p w14:paraId="720BAA4A">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参与单位</w:t>
            </w:r>
          </w:p>
        </w:tc>
        <w:tc>
          <w:tcPr>
            <w:tcW w:w="7229" w:type="dxa"/>
            <w:vAlign w:val="center"/>
          </w:tcPr>
          <w:p w14:paraId="4490CD79">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东吴证券股份有限公司、</w:t>
            </w:r>
            <w:r>
              <w:rPr>
                <w:rFonts w:hint="eastAsia" w:ascii="宋体" w:hAnsi="宋体" w:eastAsia="宋体" w:cs="宋体"/>
                <w:color w:val="auto"/>
                <w:szCs w:val="21"/>
                <w:u w:val="none"/>
                <w:lang w:val="en-US" w:eastAsia="zh-CN"/>
              </w:rPr>
              <w:t>交银国际证券有限公司、民生加银基金管理有限公司、南华基金管理有限公司、富国基金管理有限公司、深圳市中泓汇富资产管理有限公司、源乐晟资产管理有限公司、上海天猊投资管理有限公司、上海厚坡私募基金管理有限公司</w:t>
            </w:r>
            <w:r>
              <w:rPr>
                <w:rFonts w:hint="eastAsia" w:ascii="宋体" w:hAnsi="宋体" w:eastAsia="宋体" w:cs="宋体"/>
                <w:color w:val="auto"/>
                <w:szCs w:val="21"/>
                <w:u w:val="none"/>
              </w:rPr>
              <w:t>（以上机构排名不分先后）</w:t>
            </w:r>
          </w:p>
        </w:tc>
      </w:tr>
      <w:tr w14:paraId="075D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44" w:type="dxa"/>
            <w:vAlign w:val="center"/>
          </w:tcPr>
          <w:p w14:paraId="3C9C2018">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公司接待人员姓名及职务</w:t>
            </w:r>
          </w:p>
        </w:tc>
        <w:tc>
          <w:tcPr>
            <w:tcW w:w="7229" w:type="dxa"/>
            <w:vAlign w:val="center"/>
          </w:tcPr>
          <w:p w14:paraId="1C4B1478">
            <w:pPr>
              <w:spacing w:line="240" w:lineRule="auto"/>
              <w:rPr>
                <w:rFonts w:hint="eastAsia" w:ascii="宋体" w:hAnsi="宋体" w:eastAsia="宋体" w:cs="宋体"/>
                <w:color w:val="auto"/>
                <w:szCs w:val="21"/>
                <w:u w:val="none"/>
                <w:lang w:eastAsia="zh-Hans"/>
              </w:rPr>
            </w:pPr>
            <w:r>
              <w:rPr>
                <w:rFonts w:hint="eastAsia" w:ascii="宋体" w:hAnsi="宋体" w:eastAsia="宋体" w:cs="宋体"/>
                <w:color w:val="auto"/>
                <w:szCs w:val="21"/>
                <w:u w:val="none"/>
              </w:rPr>
              <w:t>公司副总经理、董事会秘书</w:t>
            </w:r>
            <w:r>
              <w:rPr>
                <w:rFonts w:hint="eastAsia" w:ascii="宋体" w:hAnsi="宋体" w:eastAsia="宋体" w:cs="宋体"/>
                <w:color w:val="auto"/>
                <w:szCs w:val="21"/>
                <w:u w:val="none"/>
                <w:lang w:eastAsia="zh-Hans"/>
              </w:rPr>
              <w:t>陈安娜</w:t>
            </w:r>
            <w:r>
              <w:rPr>
                <w:rFonts w:hint="eastAsia" w:ascii="宋体" w:hAnsi="宋体" w:eastAsia="宋体" w:cs="宋体"/>
                <w:color w:val="auto"/>
                <w:szCs w:val="21"/>
                <w:u w:val="none"/>
              </w:rPr>
              <w:t>女士</w:t>
            </w:r>
          </w:p>
        </w:tc>
      </w:tr>
      <w:tr w14:paraId="199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44" w:type="dxa"/>
            <w:vAlign w:val="center"/>
          </w:tcPr>
          <w:p w14:paraId="17A8BFE4">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时间</w:t>
            </w:r>
          </w:p>
        </w:tc>
        <w:tc>
          <w:tcPr>
            <w:tcW w:w="7229" w:type="dxa"/>
            <w:vAlign w:val="center"/>
          </w:tcPr>
          <w:p w14:paraId="3FD64161">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202</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年</w:t>
            </w:r>
            <w:r>
              <w:rPr>
                <w:rFonts w:hint="eastAsia" w:ascii="宋体" w:hAnsi="宋体" w:eastAsia="宋体" w:cs="宋体"/>
                <w:color w:val="auto"/>
                <w:szCs w:val="21"/>
                <w:u w:val="none"/>
                <w:lang w:val="en-US" w:eastAsia="zh-CN"/>
              </w:rPr>
              <w:t>4</w:t>
            </w:r>
            <w:r>
              <w:rPr>
                <w:rFonts w:hint="eastAsia" w:ascii="宋体" w:hAnsi="宋体" w:eastAsia="宋体" w:cs="宋体"/>
                <w:color w:val="auto"/>
                <w:szCs w:val="21"/>
                <w:u w:val="none"/>
              </w:rPr>
              <w:t>月28日</w:t>
            </w:r>
          </w:p>
        </w:tc>
      </w:tr>
      <w:tr w14:paraId="19E6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44" w:type="dxa"/>
            <w:vAlign w:val="center"/>
          </w:tcPr>
          <w:p w14:paraId="50BCD302">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地点</w:t>
            </w:r>
          </w:p>
        </w:tc>
        <w:tc>
          <w:tcPr>
            <w:tcW w:w="7229" w:type="dxa"/>
            <w:vAlign w:val="center"/>
          </w:tcPr>
          <w:p w14:paraId="76F7C253">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电话会议</w:t>
            </w:r>
          </w:p>
        </w:tc>
      </w:tr>
      <w:tr w14:paraId="3A0A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44" w:type="dxa"/>
            <w:vAlign w:val="center"/>
          </w:tcPr>
          <w:p w14:paraId="4815F51F">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投资者关系活动主要内容介绍</w:t>
            </w:r>
          </w:p>
        </w:tc>
        <w:tc>
          <w:tcPr>
            <w:tcW w:w="7229" w:type="dxa"/>
          </w:tcPr>
          <w:p w14:paraId="4198326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color w:val="auto"/>
                <w:szCs w:val="21"/>
                <w:u w:val="none"/>
                <w:lang w:val="en-US" w:eastAsia="zh-CN"/>
              </w:rPr>
            </w:pPr>
          </w:p>
          <w:p w14:paraId="5ACC4DB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default" w:ascii="宋体" w:hAnsi="宋体" w:eastAsia="宋体" w:cs="宋体"/>
                <w:b/>
                <w:color w:val="auto"/>
                <w:szCs w:val="21"/>
                <w:u w:val="none"/>
                <w:lang w:val="en-US" w:eastAsia="zh-CN"/>
              </w:rPr>
            </w:pPr>
            <w:r>
              <w:rPr>
                <w:rFonts w:hint="eastAsia" w:ascii="宋体" w:hAnsi="宋体" w:eastAsia="宋体" w:cs="宋体"/>
                <w:b/>
                <w:color w:val="auto"/>
                <w:szCs w:val="21"/>
                <w:u w:val="none"/>
                <w:lang w:val="en-US" w:eastAsia="zh-CN"/>
              </w:rPr>
              <w:t>第一部分：公司经营情况介绍</w:t>
            </w:r>
          </w:p>
          <w:p w14:paraId="21F5D856">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color w:val="auto"/>
                <w:szCs w:val="21"/>
                <w:u w:val="none"/>
                <w:lang w:val="en-US" w:eastAsia="zh-CN"/>
              </w:rPr>
            </w:pPr>
          </w:p>
          <w:p w14:paraId="2C9578DC">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outlineLvl w:val="0"/>
              <w:rPr>
                <w:rFonts w:hint="eastAsia" w:ascii="宋体" w:hAnsi="宋体" w:eastAsia="宋体" w:cs="宋体"/>
                <w:b/>
                <w:color w:val="auto"/>
                <w:szCs w:val="21"/>
                <w:u w:val="none"/>
                <w:lang w:val="en-US" w:eastAsia="zh-CN"/>
              </w:rPr>
            </w:pPr>
            <w:r>
              <w:rPr>
                <w:rFonts w:hint="eastAsia" w:ascii="宋体" w:hAnsi="宋体" w:eastAsia="宋体" w:cs="宋体"/>
                <w:b/>
                <w:color w:val="auto"/>
                <w:szCs w:val="21"/>
                <w:u w:val="none"/>
              </w:rPr>
              <w:t>一、公司2024年</w:t>
            </w:r>
            <w:r>
              <w:rPr>
                <w:rFonts w:hint="eastAsia" w:ascii="宋体" w:hAnsi="宋体" w:eastAsia="宋体" w:cs="宋体"/>
                <w:b/>
                <w:color w:val="auto"/>
                <w:szCs w:val="21"/>
                <w:u w:val="none"/>
                <w:lang w:val="en-US" w:eastAsia="zh-CN"/>
              </w:rPr>
              <w:t>年度财务数据</w:t>
            </w:r>
          </w:p>
          <w:p w14:paraId="731EE796">
            <w:pPr>
              <w:spacing w:line="240" w:lineRule="auto"/>
              <w:ind w:firstLine="422" w:firstLineChars="200"/>
              <w:jc w:val="both"/>
              <w:rPr>
                <w:rFonts w:hint="eastAsia" w:ascii="宋体" w:hAnsi="宋体" w:eastAsia="宋体" w:cs="宋体"/>
                <w:b/>
                <w:bCs/>
                <w:color w:val="auto"/>
                <w:u w:val="none"/>
                <w:lang w:val="en-US" w:eastAsia="zh-CN"/>
              </w:rPr>
            </w:pPr>
            <w:r>
              <w:rPr>
                <w:rFonts w:hint="eastAsia" w:ascii="宋体" w:hAnsi="宋体" w:eastAsia="宋体" w:cs="宋体"/>
                <w:b/>
                <w:bCs/>
                <w:color w:val="auto"/>
                <w:kern w:val="0"/>
                <w:szCs w:val="24"/>
                <w:u w:val="none"/>
                <w:lang w:val="en-US" w:eastAsia="zh-CN"/>
              </w:rPr>
              <w:t>（一）</w:t>
            </w:r>
            <w:r>
              <w:rPr>
                <w:rFonts w:hint="eastAsia" w:ascii="宋体" w:hAnsi="宋体" w:eastAsia="宋体" w:cs="宋体"/>
                <w:b/>
                <w:bCs/>
                <w:color w:val="auto"/>
                <w:u w:val="none"/>
                <w:lang w:eastAsia="zh-CN"/>
              </w:rPr>
              <w:t>收入方面：</w:t>
            </w:r>
            <w:r>
              <w:rPr>
                <w:rFonts w:hint="eastAsia" w:ascii="宋体" w:hAnsi="宋体" w:eastAsia="宋体" w:cs="宋体"/>
                <w:b/>
                <w:bCs/>
                <w:color w:val="auto"/>
                <w:u w:val="none"/>
                <w:lang w:val="en-US" w:eastAsia="zh-CN"/>
              </w:rPr>
              <w:t>2024年全年营业收入同比增长7.74%，中长期业务收入同比增加 43.90%，2025年一季度营业收入增长，客户类型及领域整体保持均衡发展。</w:t>
            </w:r>
          </w:p>
          <w:p w14:paraId="7E8EF8A7">
            <w:pPr>
              <w:keepNext w:val="0"/>
              <w:keepLines w:val="0"/>
              <w:widowControl/>
              <w:suppressLineNumbers w:val="0"/>
              <w:spacing w:before="0" w:beforeAutospacing="0" w:after="0" w:afterAutospacing="0" w:line="240" w:lineRule="auto"/>
              <w:ind w:left="0" w:right="0" w:firstLine="420" w:firstLineChars="200"/>
              <w:jc w:val="left"/>
              <w:rPr>
                <w:rFonts w:hint="eastAsia" w:ascii="宋体" w:hAnsi="宋体" w:eastAsia="宋体" w:cs="宋体"/>
                <w:b w:val="0"/>
                <w:bCs w:val="0"/>
                <w:color w:val="auto"/>
                <w:u w:val="none"/>
                <w:lang w:eastAsia="zh-CN"/>
              </w:rPr>
            </w:pPr>
            <w:r>
              <w:rPr>
                <w:rFonts w:hint="eastAsia" w:ascii="宋体" w:hAnsi="宋体" w:eastAsia="宋体" w:cs="宋体"/>
                <w:b w:val="0"/>
                <w:bCs w:val="0"/>
                <w:color w:val="auto"/>
                <w:kern w:val="0"/>
                <w:sz w:val="21"/>
                <w:szCs w:val="24"/>
                <w:u w:val="none"/>
                <w:lang w:val="en-US" w:eastAsia="zh-CN" w:bidi="ar"/>
              </w:rPr>
              <w:t>2024年度，公司实现营业收入61,710.53万元，同比增加7.74%。</w:t>
            </w:r>
            <w:r>
              <w:rPr>
                <w:rFonts w:hint="eastAsia" w:ascii="宋体" w:hAnsi="宋体" w:eastAsia="宋体" w:cs="宋体"/>
                <w:b w:val="0"/>
                <w:bCs w:val="0"/>
                <w:color w:val="auto"/>
                <w:u w:val="none"/>
              </w:rPr>
              <w:t>截至2024年12月31日，公司在手订单合计67,072.86万元</w:t>
            </w:r>
            <w:r>
              <w:rPr>
                <w:rFonts w:hint="eastAsia" w:ascii="宋体" w:hAnsi="宋体" w:eastAsia="宋体" w:cs="宋体"/>
                <w:b w:val="0"/>
                <w:bCs w:val="0"/>
                <w:color w:val="auto"/>
                <w:u w:val="none"/>
                <w:lang w:eastAsia="zh-CN"/>
              </w:rPr>
              <w:t>；</w:t>
            </w:r>
          </w:p>
          <w:p w14:paraId="47AA12BD">
            <w:pPr>
              <w:keepNext w:val="0"/>
              <w:keepLines w:val="0"/>
              <w:widowControl/>
              <w:suppressLineNumbers w:val="0"/>
              <w:spacing w:before="0" w:beforeAutospacing="0" w:after="0" w:afterAutospacing="0" w:line="240" w:lineRule="auto"/>
              <w:ind w:left="0" w:right="0" w:firstLine="420" w:firstLineChars="200"/>
              <w:jc w:val="left"/>
              <w:rPr>
                <w:rFonts w:hint="eastAsia" w:ascii="宋体" w:hAnsi="宋体" w:eastAsia="宋体" w:cs="宋体"/>
                <w:b w:val="0"/>
                <w:bCs w:val="0"/>
                <w:color w:val="auto"/>
                <w:kern w:val="0"/>
                <w:sz w:val="21"/>
                <w:szCs w:val="24"/>
                <w:u w:val="none"/>
                <w:lang w:val="en-US" w:eastAsia="zh-CN" w:bidi="ar"/>
              </w:rPr>
            </w:pPr>
            <w:r>
              <w:rPr>
                <w:rFonts w:hint="eastAsia" w:ascii="宋体" w:hAnsi="宋体" w:eastAsia="宋体" w:cs="宋体"/>
                <w:b w:val="0"/>
                <w:bCs w:val="0"/>
                <w:color w:val="auto"/>
                <w:kern w:val="0"/>
                <w:sz w:val="21"/>
                <w:szCs w:val="24"/>
                <w:u w:val="none"/>
                <w:lang w:val="en-US" w:eastAsia="zh-CN" w:bidi="ar"/>
              </w:rPr>
              <w:t>2025年一季度，公司实现营业收入12,937.81万元，同比增加17.17%。截至2025年3月31日，公司在手订单合计70,873.25万元，同比增长3.06%。</w:t>
            </w:r>
          </w:p>
          <w:p w14:paraId="3EC31B4F">
            <w:pPr>
              <w:keepNext w:val="0"/>
              <w:keepLines w:val="0"/>
              <w:widowControl/>
              <w:suppressLineNumbers w:val="0"/>
              <w:spacing w:before="0" w:beforeAutospacing="0" w:after="0" w:afterAutospacing="0" w:line="240" w:lineRule="auto"/>
              <w:ind w:left="0" w:right="0" w:firstLine="420" w:firstLineChars="200"/>
              <w:jc w:val="left"/>
              <w:rPr>
                <w:rFonts w:hint="eastAsia" w:ascii="宋体" w:hAnsi="宋体" w:eastAsia="宋体" w:cs="宋体"/>
                <w:b w:val="0"/>
                <w:bCs w:val="0"/>
                <w:color w:val="auto"/>
                <w:kern w:val="0"/>
                <w:sz w:val="21"/>
                <w:szCs w:val="24"/>
                <w:u w:val="none"/>
                <w:lang w:val="en-US" w:eastAsia="zh-CN" w:bidi="ar"/>
              </w:rPr>
            </w:pPr>
            <w:r>
              <w:rPr>
                <w:rFonts w:hint="eastAsia" w:ascii="宋体" w:hAnsi="宋体" w:eastAsia="宋体" w:cs="宋体"/>
                <w:b w:val="0"/>
                <w:bCs w:val="0"/>
                <w:color w:val="auto"/>
                <w:kern w:val="0"/>
                <w:sz w:val="21"/>
                <w:szCs w:val="24"/>
                <w:u w:val="none"/>
                <w:lang w:val="en-US" w:eastAsia="zh-CN" w:bidi="ar"/>
              </w:rPr>
              <w:t>1.按业务类型划分</w:t>
            </w:r>
          </w:p>
          <w:p w14:paraId="167DA282">
            <w:pPr>
              <w:keepNext w:val="0"/>
              <w:keepLines w:val="0"/>
              <w:widowControl/>
              <w:numPr>
                <w:ilvl w:val="0"/>
                <w:numId w:val="0"/>
              </w:numPr>
              <w:suppressLineNumbers w:val="0"/>
              <w:spacing w:before="0" w:beforeAutospacing="0" w:after="0" w:afterAutospacing="0" w:line="240" w:lineRule="auto"/>
              <w:ind w:right="0" w:rightChars="0" w:firstLine="420" w:firstLineChars="200"/>
              <w:jc w:val="both"/>
              <w:rPr>
                <w:rFonts w:hint="eastAsia" w:ascii="宋体" w:hAnsi="宋体" w:eastAsia="宋体" w:cs="宋体"/>
                <w:color w:val="auto"/>
                <w:kern w:val="0"/>
                <w:sz w:val="21"/>
                <w:szCs w:val="24"/>
                <w:u w:val="none"/>
                <w:lang w:val="en-US" w:eastAsia="zh-CN" w:bidi="ar"/>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w:t>
            </w:r>
            <w:r>
              <w:rPr>
                <w:rFonts w:hint="eastAsia" w:ascii="宋体" w:hAnsi="宋体" w:eastAsia="宋体" w:cs="宋体"/>
                <w:color w:val="auto"/>
                <w:kern w:val="0"/>
                <w:sz w:val="21"/>
                <w:szCs w:val="24"/>
                <w:u w:val="none"/>
                <w:lang w:val="en-US" w:eastAsia="zh-CN" w:bidi="ar"/>
              </w:rPr>
              <w:t>公司水处理技术解决方案本期实现收入33,693.01万元，占总收入比例为54.60%，2025年一季度，水处理技术解决方案本期实现收入5,714.81万元，占总收入比例为44.17%；</w:t>
            </w:r>
          </w:p>
          <w:p w14:paraId="6342CA12">
            <w:pPr>
              <w:keepNext w:val="0"/>
              <w:keepLines w:val="0"/>
              <w:widowControl/>
              <w:numPr>
                <w:ilvl w:val="0"/>
                <w:numId w:val="0"/>
              </w:numPr>
              <w:suppressLineNumbers w:val="0"/>
              <w:spacing w:before="0" w:beforeAutospacing="0" w:after="0" w:afterAutospacing="0" w:line="240" w:lineRule="auto"/>
              <w:ind w:right="0" w:rightChars="0" w:firstLine="420" w:firstLineChars="200"/>
              <w:jc w:val="both"/>
              <w:rPr>
                <w:rFonts w:hint="eastAsia" w:ascii="宋体" w:hAnsi="宋体" w:eastAsia="宋体" w:cs="宋体"/>
                <w:b w:val="0"/>
                <w:bCs w:val="0"/>
                <w:color w:val="auto"/>
                <w:kern w:val="0"/>
                <w:sz w:val="21"/>
                <w:szCs w:val="24"/>
                <w:u w:val="none"/>
                <w:lang w:val="en-US" w:eastAsia="zh-CN" w:bidi="ar"/>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w:t>
            </w:r>
            <w:r>
              <w:rPr>
                <w:rFonts w:hint="eastAsia" w:ascii="宋体" w:hAnsi="宋体" w:eastAsia="宋体" w:cs="宋体"/>
                <w:color w:val="auto"/>
                <w:kern w:val="0"/>
                <w:sz w:val="21"/>
                <w:szCs w:val="24"/>
                <w:u w:val="none"/>
                <w:lang w:val="en-US" w:eastAsia="zh-CN" w:bidi="ar"/>
              </w:rPr>
              <w:t>公司中长期业务运维技术服务和污废水资源化产品生产与销售业务实现收入27,896.14万元，占总收入比例为45.20%，2025年一季度，中长期业务实现收入7,221.47万元，占总收入比例为55.82</w:t>
            </w:r>
            <w:r>
              <w:rPr>
                <w:rFonts w:hint="eastAsia" w:ascii="宋体" w:hAnsi="宋体" w:eastAsia="宋体" w:cs="宋体"/>
                <w:b w:val="0"/>
                <w:bCs w:val="0"/>
                <w:color w:val="auto"/>
                <w:kern w:val="0"/>
                <w:sz w:val="21"/>
                <w:szCs w:val="24"/>
                <w:u w:val="none"/>
                <w:lang w:val="en-US" w:eastAsia="zh-CN" w:bidi="ar"/>
              </w:rPr>
              <w:t>%。</w:t>
            </w:r>
          </w:p>
          <w:p w14:paraId="33F9E356">
            <w:pPr>
              <w:keepNext w:val="0"/>
              <w:keepLines w:val="0"/>
              <w:widowControl/>
              <w:numPr>
                <w:ilvl w:val="0"/>
                <w:numId w:val="0"/>
              </w:numPr>
              <w:suppressLineNumbers w:val="0"/>
              <w:spacing w:before="0" w:beforeAutospacing="0" w:after="0" w:afterAutospacing="0" w:line="240" w:lineRule="auto"/>
              <w:ind w:left="0" w:leftChars="0" w:right="0" w:rightChars="0" w:firstLine="420" w:firstLineChars="200"/>
              <w:jc w:val="both"/>
              <w:rPr>
                <w:rFonts w:hint="eastAsia" w:ascii="宋体" w:hAnsi="宋体" w:eastAsia="宋体" w:cs="宋体"/>
                <w:b w:val="0"/>
                <w:bCs w:val="0"/>
                <w:color w:val="auto"/>
                <w:u w:val="none"/>
                <w:lang w:val="en-US" w:eastAsia="zh-CN"/>
              </w:rPr>
            </w:pPr>
            <w:r>
              <w:rPr>
                <w:rFonts w:hint="eastAsia" w:ascii="宋体" w:hAnsi="宋体" w:eastAsia="宋体" w:cs="宋体"/>
                <w:b w:val="0"/>
                <w:bCs w:val="0"/>
                <w:color w:val="auto"/>
                <w:u w:val="none"/>
                <w:lang w:val="en-US" w:eastAsia="zh-CN"/>
              </w:rPr>
              <w:t>2.按服务行业划分</w:t>
            </w:r>
          </w:p>
          <w:p w14:paraId="45C7D54C">
            <w:pPr>
              <w:keepNext w:val="0"/>
              <w:keepLines w:val="0"/>
              <w:widowControl/>
              <w:numPr>
                <w:ilvl w:val="0"/>
                <w:numId w:val="0"/>
              </w:numPr>
              <w:suppressLineNumbers w:val="0"/>
              <w:spacing w:before="0" w:beforeAutospacing="0" w:after="0" w:afterAutospacing="0" w:line="240" w:lineRule="auto"/>
              <w:ind w:right="0" w:rightChars="0"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w:t>
            </w:r>
            <w:r>
              <w:rPr>
                <w:rFonts w:hint="eastAsia" w:ascii="宋体" w:hAnsi="宋体" w:eastAsia="宋体" w:cs="宋体"/>
                <w:color w:val="auto"/>
                <w:u w:val="none"/>
                <w:lang w:val="en-US" w:eastAsia="zh-CN"/>
              </w:rPr>
              <w:t>公司To B业务实现收入15,136.11万元，占总收入比例为24.53%，20</w:t>
            </w:r>
            <w:r>
              <w:rPr>
                <w:rFonts w:hint="eastAsia" w:ascii="宋体" w:hAnsi="宋体" w:eastAsia="宋体" w:cs="宋体"/>
                <w:color w:val="auto"/>
                <w:kern w:val="0"/>
                <w:sz w:val="21"/>
                <w:szCs w:val="24"/>
                <w:u w:val="none"/>
                <w:lang w:val="en-US" w:eastAsia="zh-CN" w:bidi="ar"/>
              </w:rPr>
              <w:t>25年一季度公司To B业务实现收入8,763.65万元，占总收入比例为67.74%</w:t>
            </w:r>
            <w:r>
              <w:rPr>
                <w:rFonts w:hint="eastAsia" w:ascii="宋体" w:hAnsi="宋体" w:eastAsia="宋体" w:cs="宋体"/>
                <w:color w:val="auto"/>
                <w:u w:val="none"/>
                <w:lang w:val="en-US" w:eastAsia="zh-CN"/>
              </w:rPr>
              <w:t>；</w:t>
            </w:r>
          </w:p>
          <w:p w14:paraId="230569D0">
            <w:pPr>
              <w:keepNext w:val="0"/>
              <w:keepLines w:val="0"/>
              <w:widowControl/>
              <w:numPr>
                <w:ilvl w:val="-1"/>
                <w:numId w:val="0"/>
              </w:numPr>
              <w:suppressLineNumbers w:val="0"/>
              <w:spacing w:before="0" w:beforeAutospacing="0" w:after="0" w:afterAutospacing="0" w:line="240" w:lineRule="auto"/>
              <w:ind w:right="0" w:firstLine="420" w:firstLineChars="200"/>
              <w:jc w:val="both"/>
              <w:rPr>
                <w:rFonts w:hint="eastAsia" w:ascii="宋体" w:hAnsi="宋体" w:eastAsia="宋体" w:cs="宋体"/>
                <w:color w:val="auto"/>
                <w:kern w:val="0"/>
                <w:sz w:val="21"/>
                <w:szCs w:val="24"/>
                <w:u w:val="none"/>
                <w:lang w:val="en-US" w:eastAsia="zh-CN" w:bidi="ar"/>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年度，公司</w:t>
            </w:r>
            <w:r>
              <w:rPr>
                <w:rFonts w:hint="eastAsia" w:ascii="宋体" w:hAnsi="宋体" w:eastAsia="宋体" w:cs="宋体"/>
                <w:color w:val="auto"/>
                <w:u w:val="none"/>
                <w:lang w:val="en-US" w:eastAsia="zh-CN"/>
              </w:rPr>
              <w:t>To G业务实现收入46,453.04万元，占总收入比例为75.28%，同比增长78.09%。20</w:t>
            </w:r>
            <w:r>
              <w:rPr>
                <w:rFonts w:hint="eastAsia" w:ascii="宋体" w:hAnsi="宋体" w:eastAsia="宋体" w:cs="宋体"/>
                <w:color w:val="auto"/>
                <w:kern w:val="0"/>
                <w:sz w:val="21"/>
                <w:szCs w:val="24"/>
                <w:u w:val="none"/>
                <w:lang w:val="en-US" w:eastAsia="zh-CN" w:bidi="ar"/>
              </w:rPr>
              <w:t>25年一季度To G业务实现收入4,172.62万元，占总收入比例为32.25%。</w:t>
            </w:r>
          </w:p>
          <w:p w14:paraId="70C99BFC">
            <w:pPr>
              <w:keepNext w:val="0"/>
              <w:keepLines w:val="0"/>
              <w:widowControl/>
              <w:numPr>
                <w:ilvl w:val="0"/>
                <w:numId w:val="0"/>
              </w:numPr>
              <w:suppressLineNumbers w:val="0"/>
              <w:spacing w:before="0" w:beforeAutospacing="0" w:after="0" w:afterAutospacing="0" w:line="240" w:lineRule="auto"/>
              <w:ind w:right="0" w:rightChars="0" w:firstLine="420" w:firstLineChars="200"/>
              <w:jc w:val="both"/>
              <w:rPr>
                <w:rFonts w:hint="eastAsia" w:ascii="宋体" w:hAnsi="宋体" w:eastAsia="宋体" w:cs="宋体"/>
                <w:b w:val="0"/>
                <w:bCs w:val="0"/>
                <w:color w:val="auto"/>
                <w:u w:val="none"/>
                <w:lang w:val="en-US" w:eastAsia="zh-CN"/>
              </w:rPr>
            </w:pPr>
            <w:r>
              <w:rPr>
                <w:rFonts w:hint="eastAsia" w:ascii="宋体" w:hAnsi="宋体" w:eastAsia="宋体" w:cs="宋体"/>
                <w:b w:val="0"/>
                <w:bCs w:val="0"/>
                <w:color w:val="auto"/>
                <w:u w:val="none"/>
                <w:lang w:val="en-US" w:eastAsia="zh-CN"/>
              </w:rPr>
              <w:t>3.</w:t>
            </w:r>
            <w:bookmarkStart w:id="0" w:name="_GoBack"/>
            <w:bookmarkEnd w:id="0"/>
            <w:r>
              <w:rPr>
                <w:rFonts w:hint="eastAsia" w:ascii="宋体" w:hAnsi="宋体" w:eastAsia="宋体" w:cs="宋体"/>
                <w:b w:val="0"/>
                <w:bCs w:val="0"/>
                <w:color w:val="auto"/>
                <w:u w:val="none"/>
                <w:lang w:val="en-US" w:eastAsia="zh-CN"/>
              </w:rPr>
              <w:t>按服务领域划分</w:t>
            </w:r>
          </w:p>
          <w:p w14:paraId="0CA762C2">
            <w:pPr>
              <w:keepNext w:val="0"/>
              <w:keepLines w:val="0"/>
              <w:widowControl/>
              <w:numPr>
                <w:ilvl w:val="-1"/>
                <w:numId w:val="0"/>
              </w:numPr>
              <w:suppressLineNumbers w:val="0"/>
              <w:spacing w:before="0" w:beforeAutospacing="0" w:after="0" w:afterAutospacing="0" w:line="240" w:lineRule="auto"/>
              <w:ind w:right="0" w:firstLine="420" w:firstLineChars="200"/>
              <w:jc w:val="both"/>
              <w:rPr>
                <w:rFonts w:hint="eastAsia" w:ascii="宋体" w:hAnsi="宋体" w:eastAsia="宋体" w:cs="宋体"/>
                <w:b w:val="0"/>
                <w:bCs w:val="0"/>
                <w:color w:val="auto"/>
                <w:u w:val="none"/>
                <w:lang w:val="en-US" w:eastAsia="zh-CN"/>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w:t>
            </w:r>
            <w:r>
              <w:rPr>
                <w:rFonts w:hint="eastAsia" w:ascii="宋体" w:hAnsi="宋体" w:eastAsia="宋体" w:cs="宋体"/>
                <w:b w:val="0"/>
                <w:bCs w:val="0"/>
                <w:color w:val="auto"/>
                <w:u w:val="none"/>
                <w:lang w:val="en-US" w:eastAsia="zh-CN"/>
              </w:rPr>
              <w:t>公司高品质饮用水领域实现收入22,649.03 万元，占总收入比例为36.70%，20</w:t>
            </w:r>
            <w:r>
              <w:rPr>
                <w:rFonts w:hint="eastAsia" w:ascii="宋体" w:hAnsi="宋体" w:eastAsia="宋体" w:cs="宋体"/>
                <w:b w:val="0"/>
                <w:bCs w:val="0"/>
                <w:color w:val="auto"/>
                <w:kern w:val="0"/>
                <w:sz w:val="21"/>
                <w:szCs w:val="24"/>
                <w:u w:val="none"/>
                <w:lang w:val="en-US" w:eastAsia="zh-CN" w:bidi="ar"/>
              </w:rPr>
              <w:t>25年一季度实现收入1,584.87万元，占总收入比例为12.25%</w:t>
            </w:r>
            <w:r>
              <w:rPr>
                <w:rFonts w:hint="eastAsia" w:ascii="宋体" w:hAnsi="宋体" w:eastAsia="宋体" w:cs="宋体"/>
                <w:b w:val="0"/>
                <w:bCs w:val="0"/>
                <w:color w:val="auto"/>
                <w:u w:val="none"/>
                <w:lang w:val="en-US" w:eastAsia="zh-CN"/>
              </w:rPr>
              <w:t xml:space="preserve"> ；</w:t>
            </w:r>
          </w:p>
          <w:p w14:paraId="747282F1">
            <w:pPr>
              <w:keepNext w:val="0"/>
              <w:keepLines w:val="0"/>
              <w:widowControl/>
              <w:numPr>
                <w:ilvl w:val="-1"/>
                <w:numId w:val="0"/>
              </w:numPr>
              <w:suppressLineNumbers w:val="0"/>
              <w:spacing w:before="0" w:beforeAutospacing="0" w:after="0" w:afterAutospacing="0" w:line="240" w:lineRule="auto"/>
              <w:ind w:right="0" w:firstLine="420" w:firstLineChars="200"/>
              <w:jc w:val="both"/>
              <w:rPr>
                <w:rFonts w:hint="eastAsia" w:ascii="宋体" w:hAnsi="宋体" w:eastAsia="宋体" w:cs="宋体"/>
                <w:b w:val="0"/>
                <w:bCs w:val="0"/>
                <w:color w:val="auto"/>
                <w:u w:val="none"/>
                <w:lang w:val="en-US" w:eastAsia="zh-CN"/>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年度，公司</w:t>
            </w:r>
            <w:r>
              <w:rPr>
                <w:rFonts w:hint="eastAsia" w:ascii="宋体" w:hAnsi="宋体" w:eastAsia="宋体" w:cs="宋体"/>
                <w:b w:val="0"/>
                <w:bCs w:val="0"/>
                <w:color w:val="auto"/>
                <w:u w:val="none"/>
                <w:lang w:val="en-US" w:eastAsia="zh-CN"/>
              </w:rPr>
              <w:t>污废水资源化领域实现收入38,940.12万元,占总收入比例为63.10%，20</w:t>
            </w:r>
            <w:r>
              <w:rPr>
                <w:rFonts w:hint="eastAsia" w:ascii="宋体" w:hAnsi="宋体" w:eastAsia="宋体" w:cs="宋体"/>
                <w:b w:val="0"/>
                <w:bCs w:val="0"/>
                <w:color w:val="auto"/>
                <w:kern w:val="0"/>
                <w:sz w:val="21"/>
                <w:szCs w:val="24"/>
                <w:u w:val="none"/>
                <w:lang w:val="en-US" w:eastAsia="zh-CN" w:bidi="ar"/>
              </w:rPr>
              <w:t>25年一季度实现收入11,351.40万元, 占总收入比例为87.74%。</w:t>
            </w:r>
          </w:p>
          <w:p w14:paraId="24551C5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auto"/>
                <w:u w:val="none"/>
                <w:lang w:val="en-US"/>
              </w:rPr>
            </w:pPr>
          </w:p>
          <w:p w14:paraId="68EC6804">
            <w:pPr>
              <w:pStyle w:val="23"/>
              <w:widowControl/>
              <w:spacing w:line="240" w:lineRule="auto"/>
              <w:ind w:left="0" w:firstLine="422" w:firstLineChars="200"/>
              <w:rPr>
                <w:rFonts w:hint="eastAsia" w:ascii="宋体" w:hAnsi="宋体" w:eastAsia="宋体" w:cs="宋体"/>
                <w:b/>
                <w:bCs/>
                <w:color w:val="auto"/>
                <w:u w:val="none"/>
                <w:lang w:val="en-US"/>
              </w:rPr>
            </w:pPr>
            <w:r>
              <w:rPr>
                <w:rFonts w:hint="eastAsia" w:ascii="宋体" w:hAnsi="宋体" w:eastAsia="宋体" w:cs="宋体"/>
                <w:b/>
                <w:bCs/>
                <w:color w:val="auto"/>
                <w:u w:val="none"/>
                <w:lang w:val="en-US" w:eastAsia="zh-CN"/>
              </w:rPr>
              <w:t>（二）</w:t>
            </w:r>
            <w:r>
              <w:rPr>
                <w:rFonts w:hint="eastAsia" w:ascii="宋体" w:hAnsi="宋体" w:eastAsia="宋体" w:cs="宋体"/>
                <w:b/>
                <w:bCs/>
                <w:color w:val="auto"/>
                <w:u w:val="none"/>
                <w:lang w:eastAsia="zh-CN"/>
              </w:rPr>
              <w:t>利润方面：</w:t>
            </w:r>
            <w:r>
              <w:rPr>
                <w:rFonts w:hint="eastAsia" w:ascii="宋体" w:hAnsi="宋体" w:eastAsia="宋体" w:cs="宋体"/>
                <w:b/>
                <w:bCs/>
                <w:color w:val="auto"/>
                <w:u w:val="none"/>
                <w:lang w:val="en-US" w:eastAsia="zh-CN"/>
              </w:rPr>
              <w:t>利润水平整体平稳，毛利率稳定，</w:t>
            </w:r>
            <w:r>
              <w:rPr>
                <w:rFonts w:hint="eastAsia" w:ascii="宋体" w:hAnsi="宋体" w:cs="宋体"/>
                <w:b/>
                <w:bCs/>
                <w:color w:val="auto"/>
                <w:u w:val="none"/>
                <w:lang w:val="en-US" w:eastAsia="zh-CN"/>
              </w:rPr>
              <w:t>2025年</w:t>
            </w:r>
            <w:r>
              <w:rPr>
                <w:rFonts w:hint="eastAsia" w:ascii="宋体" w:hAnsi="宋体" w:eastAsia="宋体" w:cs="宋体"/>
                <w:b/>
                <w:bCs/>
                <w:color w:val="auto"/>
                <w:u w:val="none"/>
                <w:lang w:val="en-US" w:eastAsia="zh-CN"/>
              </w:rPr>
              <w:t>一季度营业收入及利润双增长，一季度新增在手订单较去年同期大幅增长。</w:t>
            </w:r>
          </w:p>
          <w:p w14:paraId="1DB2038E">
            <w:pPr>
              <w:keepNext w:val="0"/>
              <w:keepLines w:val="0"/>
              <w:widowControl/>
              <w:suppressLineNumbers w:val="0"/>
              <w:spacing w:before="0" w:beforeAutospacing="0" w:after="0" w:afterAutospacing="0" w:line="240" w:lineRule="auto"/>
              <w:ind w:left="0" w:right="0" w:firstLine="420" w:firstLineChars="200"/>
              <w:jc w:val="both"/>
              <w:rPr>
                <w:rFonts w:hint="eastAsia" w:ascii="宋体" w:hAnsi="宋体" w:eastAsia="宋体" w:cs="宋体"/>
                <w:b w:val="0"/>
                <w:bCs w:val="0"/>
                <w:color w:val="auto"/>
                <w:kern w:val="0"/>
                <w:sz w:val="21"/>
                <w:szCs w:val="24"/>
                <w:u w:val="none"/>
                <w:lang w:val="en-US" w:eastAsia="zh-CN" w:bidi="ar"/>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w:t>
            </w:r>
            <w:r>
              <w:rPr>
                <w:rFonts w:hint="eastAsia" w:ascii="宋体" w:hAnsi="宋体" w:eastAsia="宋体" w:cs="宋体"/>
                <w:color w:val="auto"/>
                <w:kern w:val="0"/>
                <w:sz w:val="21"/>
                <w:szCs w:val="24"/>
                <w:u w:val="none"/>
                <w:lang w:val="en-US" w:eastAsia="zh-CN" w:bidi="ar"/>
              </w:rPr>
              <w:t>，归属上市公司股东净利润6,679.29万元，较上年同期减少5.62</w:t>
            </w:r>
            <w:r>
              <w:rPr>
                <w:rFonts w:hint="eastAsia" w:ascii="宋体" w:hAnsi="宋体" w:eastAsia="宋体" w:cs="宋体"/>
                <w:b w:val="0"/>
                <w:bCs w:val="0"/>
                <w:color w:val="auto"/>
                <w:kern w:val="0"/>
                <w:sz w:val="21"/>
                <w:szCs w:val="24"/>
                <w:u w:val="none"/>
                <w:lang w:val="en-US" w:eastAsia="zh-CN" w:bidi="ar"/>
              </w:rPr>
              <w:t>%，系当期水处理技术解决方案项目进展有所放缓所致。</w:t>
            </w:r>
          </w:p>
          <w:p w14:paraId="06C6FD72">
            <w:pPr>
              <w:keepNext w:val="0"/>
              <w:keepLines w:val="0"/>
              <w:widowControl/>
              <w:suppressLineNumbers w:val="0"/>
              <w:spacing w:before="0" w:beforeAutospacing="0" w:after="0" w:afterAutospacing="0" w:line="240" w:lineRule="auto"/>
              <w:ind w:left="0" w:right="0" w:firstLine="420" w:firstLineChars="200"/>
              <w:jc w:val="both"/>
              <w:rPr>
                <w:rFonts w:hint="eastAsia" w:ascii="宋体" w:hAnsi="宋体" w:eastAsia="宋体" w:cs="宋体"/>
                <w:b w:val="0"/>
                <w:bCs w:val="0"/>
                <w:color w:val="auto"/>
                <w:kern w:val="0"/>
                <w:sz w:val="21"/>
                <w:szCs w:val="24"/>
                <w:u w:val="none"/>
                <w:lang w:val="en-US" w:eastAsia="zh-CN" w:bidi="ar"/>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年公司综合毛利率36.17%，总体保持稳定。当期营业毛利为22,322.69万元，同比增加0.12%，其中水处理技术解决方案项目毛利10,875.94万元 ，占总毛利的48.72%，同比下降29.75%；中长期业务毛利11,332.67万元，占总毛利的50.77%，同比增加67.73%。</w:t>
            </w:r>
          </w:p>
          <w:p w14:paraId="7908FEBC">
            <w:pPr>
              <w:keepNext w:val="0"/>
              <w:keepLines w:val="0"/>
              <w:widowControl/>
              <w:suppressLineNumbers w:val="0"/>
              <w:spacing w:before="0" w:beforeAutospacing="0" w:after="0" w:afterAutospacing="0" w:line="240" w:lineRule="auto"/>
              <w:ind w:left="0" w:right="0" w:firstLine="420" w:firstLineChars="200"/>
              <w:jc w:val="both"/>
              <w:rPr>
                <w:rFonts w:hint="eastAsia" w:ascii="宋体" w:hAnsi="宋体" w:eastAsia="宋体" w:cs="宋体"/>
                <w:b/>
                <w:bCs/>
                <w:color w:val="auto"/>
                <w:kern w:val="0"/>
                <w:sz w:val="21"/>
                <w:szCs w:val="24"/>
                <w:u w:val="none"/>
                <w:lang w:val="en-US" w:eastAsia="zh-CN" w:bidi="ar"/>
              </w:rPr>
            </w:pPr>
            <w:r>
              <w:rPr>
                <w:rFonts w:hint="eastAsia" w:ascii="宋体" w:hAnsi="宋体" w:eastAsia="宋体" w:cs="宋体"/>
                <w:b w:val="0"/>
                <w:bCs w:val="0"/>
                <w:color w:val="auto"/>
                <w:kern w:val="0"/>
                <w:sz w:val="21"/>
                <w:szCs w:val="24"/>
                <w:u w:val="none"/>
                <w:lang w:val="en-US" w:eastAsia="zh-CN" w:bidi="ar"/>
              </w:rPr>
              <w:t>2025年一季度, 公司归属上市公司股东净利润1,155.93万元，较上年同期增长33.14%，主要系2024年第四季度公司收购对公司影响重大的子公司少数股东股权，少</w:t>
            </w:r>
            <w:r>
              <w:rPr>
                <w:rFonts w:hint="eastAsia" w:ascii="宋体" w:hAnsi="宋体" w:eastAsia="宋体" w:cs="宋体"/>
                <w:color w:val="auto"/>
                <w:kern w:val="0"/>
                <w:sz w:val="21"/>
                <w:szCs w:val="24"/>
                <w:u w:val="none"/>
                <w:lang w:val="en-US" w:eastAsia="zh-CN" w:bidi="ar"/>
              </w:rPr>
              <w:t>数股东损益同比下降，归属于上市公司股东净利润增加。</w:t>
            </w:r>
          </w:p>
          <w:p w14:paraId="04399FF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auto"/>
                <w:u w:val="none"/>
                <w:lang w:val="en-US"/>
              </w:rPr>
            </w:pPr>
          </w:p>
          <w:p w14:paraId="46E14DE2">
            <w:pPr>
              <w:keepNext w:val="0"/>
              <w:keepLines w:val="0"/>
              <w:widowControl w:val="0"/>
              <w:suppressLineNumbers w:val="0"/>
              <w:spacing w:before="0" w:beforeAutospacing="0" w:after="0" w:afterAutospacing="0" w:line="240" w:lineRule="auto"/>
              <w:ind w:left="0" w:right="0" w:firstLine="422" w:firstLineChars="200"/>
              <w:jc w:val="both"/>
              <w:rPr>
                <w:rFonts w:hint="eastAsia" w:ascii="宋体" w:hAnsi="宋体" w:eastAsia="宋体" w:cs="宋体"/>
                <w:b/>
                <w:bCs/>
                <w:color w:val="auto"/>
                <w:kern w:val="2"/>
                <w:sz w:val="21"/>
                <w:szCs w:val="22"/>
                <w:u w:val="none"/>
                <w:lang w:val="en-US" w:eastAsia="zh-CN" w:bidi="ar"/>
              </w:rPr>
            </w:pPr>
            <w:r>
              <w:rPr>
                <w:rFonts w:hint="eastAsia" w:ascii="宋体" w:hAnsi="宋体" w:eastAsia="宋体" w:cs="宋体"/>
                <w:b/>
                <w:bCs/>
                <w:color w:val="auto"/>
                <w:kern w:val="2"/>
                <w:sz w:val="21"/>
                <w:szCs w:val="22"/>
                <w:u w:val="none"/>
                <w:lang w:val="en-US" w:eastAsia="zh-CN" w:bidi="ar"/>
              </w:rPr>
              <w:t>（三）经营活动现金流方面：</w:t>
            </w:r>
          </w:p>
          <w:p w14:paraId="45601F11">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color w:val="auto"/>
                <w:kern w:val="2"/>
                <w:sz w:val="21"/>
                <w:szCs w:val="22"/>
                <w:u w:val="none"/>
                <w:lang w:val="en-US" w:eastAsia="zh-CN" w:bidi="ar"/>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年度</w:t>
            </w:r>
            <w:r>
              <w:rPr>
                <w:rFonts w:hint="eastAsia" w:ascii="宋体" w:hAnsi="宋体" w:eastAsia="宋体" w:cs="宋体"/>
                <w:color w:val="auto"/>
                <w:kern w:val="0"/>
                <w:sz w:val="21"/>
                <w:szCs w:val="24"/>
                <w:u w:val="none"/>
                <w:lang w:val="en-US" w:eastAsia="zh-CN" w:bidi="ar"/>
              </w:rPr>
              <w:t>，</w:t>
            </w:r>
            <w:r>
              <w:rPr>
                <w:rFonts w:hint="eastAsia" w:ascii="宋体" w:hAnsi="宋体" w:eastAsia="宋体" w:cs="宋体"/>
                <w:color w:val="auto"/>
                <w:kern w:val="2"/>
                <w:sz w:val="21"/>
                <w:szCs w:val="22"/>
                <w:u w:val="none"/>
                <w:lang w:val="en-US" w:eastAsia="zh-CN" w:bidi="ar"/>
              </w:rPr>
              <w:t>公司经营活动产生的现金流量净额为9,518.33万元，上年度经营活动产生的现金流量净额为10,974.18万元，总体保持平稳。</w:t>
            </w:r>
          </w:p>
          <w:p w14:paraId="6C18C455">
            <w:pPr>
              <w:spacing w:line="240" w:lineRule="auto"/>
              <w:ind w:firstLine="422" w:firstLineChars="200"/>
              <w:rPr>
                <w:rFonts w:hint="eastAsia" w:ascii="宋体" w:hAnsi="宋体" w:eastAsia="宋体" w:cs="宋体"/>
                <w:b/>
                <w:bCs/>
                <w:color w:val="auto"/>
                <w:u w:val="none"/>
              </w:rPr>
            </w:pPr>
          </w:p>
          <w:p w14:paraId="13E3520F">
            <w:pPr>
              <w:spacing w:line="240" w:lineRule="auto"/>
              <w:ind w:firstLine="422" w:firstLineChars="200"/>
              <w:rPr>
                <w:rFonts w:hint="eastAsia" w:ascii="宋体" w:hAnsi="宋体" w:eastAsia="宋体" w:cs="宋体"/>
                <w:b/>
                <w:bCs/>
                <w:color w:val="auto"/>
                <w:u w:val="none"/>
              </w:rPr>
            </w:pPr>
            <w:r>
              <w:rPr>
                <w:rFonts w:hint="eastAsia" w:ascii="宋体" w:hAnsi="宋体" w:eastAsia="宋体" w:cs="宋体"/>
                <w:b/>
                <w:bCs/>
                <w:color w:val="auto"/>
                <w:u w:val="none"/>
              </w:rPr>
              <w:t>（</w:t>
            </w:r>
            <w:r>
              <w:rPr>
                <w:rFonts w:hint="eastAsia" w:ascii="宋体" w:hAnsi="宋体" w:eastAsia="宋体" w:cs="宋体"/>
                <w:b/>
                <w:bCs/>
                <w:color w:val="auto"/>
                <w:u w:val="none"/>
                <w:lang w:val="en-US" w:eastAsia="zh-CN"/>
              </w:rPr>
              <w:t>四</w:t>
            </w:r>
            <w:r>
              <w:rPr>
                <w:rFonts w:hint="eastAsia" w:ascii="宋体" w:hAnsi="宋体" w:eastAsia="宋体" w:cs="宋体"/>
                <w:b/>
                <w:bCs/>
                <w:color w:val="auto"/>
                <w:u w:val="none"/>
              </w:rPr>
              <w:t>）积极现金分红 落实股东回报规划</w:t>
            </w:r>
          </w:p>
          <w:p w14:paraId="7CFEFA9E">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公司在2024年初制定了3年（2023年-2025年）股东回报规划并披露。</w:t>
            </w:r>
          </w:p>
          <w:p w14:paraId="1C232215">
            <w:pPr>
              <w:spacing w:line="240" w:lineRule="auto"/>
              <w:ind w:firstLine="420" w:firstLineChars="200"/>
              <w:rPr>
                <w:rFonts w:hint="eastAsia" w:ascii="宋体" w:hAnsi="宋体" w:eastAsia="宋体" w:cs="宋体"/>
                <w:b w:val="0"/>
                <w:bCs w:val="0"/>
                <w:color w:val="auto"/>
                <w:u w:val="none"/>
              </w:rPr>
            </w:pPr>
            <w:r>
              <w:rPr>
                <w:rFonts w:hint="eastAsia" w:ascii="宋体" w:hAnsi="宋体" w:eastAsia="宋体" w:cs="宋体"/>
                <w:b w:val="0"/>
                <w:bCs w:val="0"/>
                <w:color w:val="auto"/>
                <w:u w:val="none"/>
              </w:rPr>
              <w:t>结合股东回报规划，同时为了提高股东回报的及时性，公司在报告期内实施了2023年度利润分配方案及2024年前三季度利润分配方案，分别向全体股东每10股派发现金红利人民币4.10元，两年分红总额为人民币100,166,404.64元。公司在兼顾公司生产经营的资金需求及可持续发展原则的基础上，科学平衡安排股东短期回报和公司长期发展，真正体现“以投资者为本”的公司发展理念。</w:t>
            </w:r>
          </w:p>
          <w:p w14:paraId="533A500D">
            <w:pPr>
              <w:spacing w:line="240" w:lineRule="auto"/>
              <w:rPr>
                <w:rFonts w:hint="eastAsia" w:ascii="宋体" w:hAnsi="宋体" w:eastAsia="宋体" w:cs="宋体"/>
                <w:color w:val="auto"/>
                <w:u w:val="none"/>
              </w:rPr>
            </w:pPr>
          </w:p>
          <w:p w14:paraId="2FAECD5B">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二、公司战略及落地情况</w:t>
            </w:r>
          </w:p>
          <w:p w14:paraId="6008F931">
            <w:pPr>
              <w:spacing w:line="240" w:lineRule="auto"/>
              <w:ind w:firstLine="422" w:firstLineChars="200"/>
              <w:jc w:val="both"/>
              <w:rPr>
                <w:rFonts w:hint="eastAsia"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（一）公司“资源化、AI数智化、产品化”战略简述</w:t>
            </w:r>
          </w:p>
          <w:p w14:paraId="534CC489">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随着全球人口增长和人类生活生产对水需求量的增加，水短缺已成为人类社会生产和生活质量提升的刚性制约因素。公司实施“资源化、AI数智化、产品化”战略，旨在实现全社会用水自由，即：为城市、园区和工业提供充足的、可靠的、可持续的、付得起的高品质水解决路径。</w:t>
            </w:r>
          </w:p>
          <w:p w14:paraId="18ABFEAC">
            <w:pPr>
              <w:spacing w:line="240" w:lineRule="auto"/>
              <w:ind w:firstLine="420" w:firstLineChars="200"/>
              <w:jc w:val="both"/>
              <w:rPr>
                <w:rFonts w:hint="eastAsia" w:ascii="宋体" w:hAnsi="宋体" w:eastAsia="宋体" w:cs="宋体"/>
                <w:b w:val="0"/>
                <w:bCs w:val="0"/>
                <w:color w:val="auto"/>
                <w:u w:val="none"/>
                <w:lang w:val="en-US" w:eastAsia="zh-CN"/>
              </w:rPr>
            </w:pPr>
            <w:r>
              <w:rPr>
                <w:rFonts w:hint="eastAsia" w:ascii="宋体" w:hAnsi="宋体" w:eastAsia="宋体" w:cs="宋体"/>
                <w:b w:val="0"/>
                <w:bCs w:val="0"/>
                <w:color w:val="auto"/>
                <w:u w:val="none"/>
                <w:lang w:val="en-US" w:eastAsia="zh-CN"/>
              </w:rPr>
              <w:t>公司“资源化、AI数智化、产品化”战略形成有机协同体系并相互依存。</w:t>
            </w:r>
          </w:p>
          <w:p w14:paraId="27A561AC">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b w:val="0"/>
                <w:bCs w:val="0"/>
                <w:color w:val="auto"/>
                <w:u w:val="none"/>
                <w:lang w:val="en-US" w:eastAsia="zh-CN"/>
              </w:rPr>
              <w:t>“资源化战略”构建水循环生态，通过深度处理与多级、多次循环降低常规</w:t>
            </w:r>
            <w:r>
              <w:rPr>
                <w:rFonts w:hint="eastAsia" w:ascii="宋体" w:hAnsi="宋体" w:eastAsia="宋体" w:cs="宋体"/>
                <w:color w:val="auto"/>
                <w:u w:val="none"/>
                <w:lang w:val="en-US" w:eastAsia="zh-CN"/>
              </w:rPr>
              <w:t>水源依赖，为AI数智化和产品化提供核心应用场景。</w:t>
            </w:r>
          </w:p>
          <w:p w14:paraId="5E865CD1">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“AI数智化战略”以数据驱动重构水处理范式，将人工经验转化为算法模型，成为资源化效率提升 和 产品化落地的技术底座-实现无人值守智慧运行能力。</w:t>
            </w:r>
          </w:p>
          <w:p w14:paraId="2E611912">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“产品化战略”通过模块化设计整合前两者成果，将传统水厂工程转化为可量产的智能装备产品，形成"工艺优化-AI赋能-产品迭代"的正向循环，同时实现资源化技术与AI能力的规模化复制。</w:t>
            </w:r>
          </w:p>
          <w:p w14:paraId="48EEDE05">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公司“三化”战略将共同推动水处理产业从“非标准化工程项目建设和人工运营”向“工业化产品生产和智能化运营”的范式跃迁，最终实现全社会用水自由！</w:t>
            </w:r>
          </w:p>
          <w:p w14:paraId="2F3B3B14">
            <w:pPr>
              <w:spacing w:line="240" w:lineRule="auto"/>
              <w:jc w:val="both"/>
              <w:rPr>
                <w:rFonts w:hint="eastAsia" w:ascii="宋体" w:hAnsi="宋体" w:eastAsia="宋体" w:cs="宋体"/>
                <w:color w:val="auto"/>
                <w:u w:val="none"/>
                <w:lang w:val="en-US" w:eastAsia="zh-CN"/>
              </w:rPr>
            </w:pPr>
          </w:p>
          <w:p w14:paraId="170AFC2B">
            <w:pPr>
              <w:spacing w:line="240" w:lineRule="auto"/>
              <w:ind w:firstLine="422" w:firstLineChars="200"/>
              <w:jc w:val="both"/>
              <w:rPr>
                <w:rFonts w:hint="eastAsia"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（二）公司“资源化、AI数智化、产品化”战略落地情况</w:t>
            </w:r>
          </w:p>
          <w:p w14:paraId="048CF282">
            <w:pPr>
              <w:spacing w:line="240" w:lineRule="auto"/>
              <w:ind w:firstLine="422" w:firstLineChars="200"/>
              <w:jc w:val="both"/>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资源化战略</w:t>
            </w:r>
            <w:r>
              <w:rPr>
                <w:rFonts w:hint="eastAsia" w:ascii="宋体" w:hAnsi="宋体" w:eastAsia="宋体" w:cs="宋体"/>
                <w:b/>
                <w:color w:val="auto"/>
                <w:szCs w:val="21"/>
                <w:lang w:val="en-US" w:eastAsia="zh-CN"/>
              </w:rPr>
              <w:t>落地情况</w:t>
            </w:r>
          </w:p>
          <w:p w14:paraId="6B6D1D45">
            <w:pPr>
              <w:spacing w:line="240" w:lineRule="auto"/>
              <w:ind w:firstLine="422" w:firstLineChars="200"/>
              <w:jc w:val="both"/>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lang w:eastAsia="zh-CN"/>
              </w:rPr>
              <w:t>）</w:t>
            </w:r>
            <w:r>
              <w:rPr>
                <w:rFonts w:hint="eastAsia" w:ascii="宋体" w:hAnsi="宋体" w:eastAsia="宋体" w:cs="宋体"/>
                <w:b/>
                <w:bCs/>
                <w:color w:val="auto"/>
              </w:rPr>
              <w:t>工艺包产品持续推广，市场规模不断扩大</w:t>
            </w:r>
          </w:p>
          <w:p w14:paraId="6EF3F793">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1）</w:t>
            </w:r>
            <w:r>
              <w:rPr>
                <w:rFonts w:hint="eastAsia" w:ascii="宋体" w:hAnsi="宋体" w:eastAsia="宋体" w:cs="宋体"/>
                <w:b/>
                <w:bCs/>
                <w:color w:val="auto"/>
              </w:rPr>
              <w:t>高品质饮用水领域</w:t>
            </w:r>
          </w:p>
          <w:p w14:paraId="7B65FB8D">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 xml:space="preserve">① </w:t>
            </w:r>
            <w:r>
              <w:rPr>
                <w:rFonts w:hint="eastAsia" w:ascii="宋体" w:hAnsi="宋体" w:eastAsia="宋体" w:cs="宋体"/>
                <w:b/>
                <w:bCs/>
                <w:color w:val="auto"/>
              </w:rPr>
              <w:t>以南水北调水为水源的水厂升级需求不断显现</w:t>
            </w:r>
          </w:p>
          <w:p w14:paraId="74521F70">
            <w:pPr>
              <w:widowControl w:val="0"/>
              <w:spacing w:line="240" w:lineRule="auto"/>
              <w:ind w:firstLine="420"/>
              <w:jc w:val="both"/>
              <w:rPr>
                <w:rFonts w:hint="eastAsia" w:ascii="宋体" w:hAnsi="宋体" w:eastAsia="宋体" w:cs="宋体"/>
                <w:b w:val="0"/>
                <w:bCs w:val="0"/>
                <w:color w:val="auto"/>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w:t>
            </w:r>
            <w:r>
              <w:rPr>
                <w:rFonts w:hint="eastAsia" w:ascii="宋体" w:hAnsi="宋体" w:eastAsia="宋体" w:cs="宋体"/>
                <w:color w:val="auto"/>
                <w:kern w:val="0"/>
                <w:sz w:val="21"/>
                <w:szCs w:val="24"/>
                <w:u w:val="none"/>
                <w:lang w:val="en-US" w:eastAsia="zh-CN" w:bidi="ar"/>
              </w:rPr>
              <w:t>，</w:t>
            </w:r>
            <w:r>
              <w:rPr>
                <w:rFonts w:hint="eastAsia" w:ascii="宋体" w:hAnsi="宋体" w:eastAsia="宋体" w:cs="宋体"/>
                <w:color w:val="auto"/>
              </w:rPr>
              <w:t>公司中标并实施了洛阳关林水厂提升改造项目（处理规模达5万吨/日）、洛阳市涧东水厂提标工程双膜系统项目（处理规模4万吨/日）、郑州市东周水厂提升工程纳滤膜系统项目（近期处理规模4万吨/日）、郑州市石佛水厂改造工程超滤和纳滤成套系统项目（处理规模10万吨/日）、沧州献县城乡一体化新建开发区水</w:t>
            </w:r>
            <w:r>
              <w:rPr>
                <w:rFonts w:hint="eastAsia" w:ascii="宋体" w:hAnsi="宋体" w:eastAsia="宋体" w:cs="宋体"/>
                <w:b w:val="0"/>
                <w:bCs w:val="0"/>
                <w:color w:val="auto"/>
              </w:rPr>
              <w:t>厂及输水管道工程特许经营项目超滤膜系统项目（处理规模4万吨/日），应用BioSecure生物安全性工艺技术包、微污染水源高品质供水工艺技术包、苦咸水淡化工艺包等不同产品，针对性解决水质差异，确保出水水质安全优质，全面改善区域用水条件，对提供高品质供水、缓解用水压力、改善生态环境具有重要意义。</w:t>
            </w:r>
          </w:p>
          <w:p w14:paraId="44B22388">
            <w:pPr>
              <w:widowControl w:val="0"/>
              <w:spacing w:line="240" w:lineRule="auto"/>
              <w:ind w:firstLine="420"/>
              <w:jc w:val="both"/>
              <w:rPr>
                <w:rFonts w:hint="eastAsia" w:ascii="宋体" w:hAnsi="宋体" w:eastAsia="宋体" w:cs="宋体"/>
                <w:color w:val="auto"/>
              </w:rPr>
            </w:pPr>
            <w:r>
              <w:rPr>
                <w:rFonts w:hint="eastAsia" w:ascii="宋体" w:hAnsi="宋体" w:eastAsia="宋体" w:cs="宋体"/>
                <w:b w:val="0"/>
                <w:bCs w:val="0"/>
                <w:color w:val="auto"/>
                <w:lang w:val="en-US" w:eastAsia="zh-CN"/>
              </w:rPr>
              <w:t>2025年一季度，</w:t>
            </w:r>
            <w:r>
              <w:rPr>
                <w:rFonts w:hint="eastAsia" w:ascii="宋体" w:hAnsi="宋体" w:eastAsia="宋体" w:cs="宋体"/>
                <w:b w:val="0"/>
                <w:bCs w:val="0"/>
                <w:color w:val="auto"/>
              </w:rPr>
              <w:t>公司中标北京温泉水厂工程超滤膜系统成套设备采购项目。温泉水厂项目是南水北调配套工程、北京市重点民生保障</w:t>
            </w:r>
            <w:r>
              <w:rPr>
                <w:rFonts w:hint="eastAsia" w:ascii="宋体" w:hAnsi="宋体" w:eastAsia="宋体" w:cs="宋体"/>
                <w:color w:val="auto"/>
              </w:rPr>
              <w:t>工程，项目规模24万</w:t>
            </w:r>
            <w:r>
              <w:rPr>
                <w:rFonts w:hint="eastAsia" w:ascii="宋体" w:hAnsi="宋体" w:eastAsia="宋体" w:cs="宋体"/>
                <w:b w:val="0"/>
                <w:bCs w:val="0"/>
                <w:color w:val="auto"/>
              </w:rPr>
              <w:t>吨/日。极大增强了应对原水水质变化的能力，让居民喝上放心水、优质水。温泉水厂的建成将进一步扩大南水的供水范围，为地下水压采提供重要的替代水源，助推北京市地下水</w:t>
            </w:r>
            <w:r>
              <w:rPr>
                <w:rFonts w:hint="eastAsia" w:ascii="宋体" w:hAnsi="宋体" w:eastAsia="宋体" w:cs="宋体"/>
                <w:color w:val="auto"/>
              </w:rPr>
              <w:t>超采综合治理，有效改善地区水生态环境。</w:t>
            </w:r>
          </w:p>
          <w:p w14:paraId="6CFE6641">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kern w:val="2"/>
                <w:szCs w:val="22"/>
                <w:lang w:val="en-US" w:eastAsia="zh-CN"/>
              </w:rPr>
              <w:t>②</w:t>
            </w:r>
            <w:r>
              <w:rPr>
                <w:rFonts w:hint="eastAsia" w:ascii="宋体" w:hAnsi="宋体" w:eastAsia="宋体" w:cs="宋体"/>
                <w:b/>
                <w:bCs/>
                <w:color w:val="auto"/>
                <w:kern w:val="2"/>
                <w:szCs w:val="22"/>
              </w:rPr>
              <w:t>以</w:t>
            </w:r>
            <w:r>
              <w:rPr>
                <w:rFonts w:hint="eastAsia" w:ascii="宋体" w:hAnsi="宋体" w:eastAsia="宋体" w:cs="宋体"/>
                <w:b/>
                <w:bCs/>
                <w:color w:val="auto"/>
              </w:rPr>
              <w:t>海水为水源项目</w:t>
            </w:r>
          </w:p>
          <w:p w14:paraId="1110AD2D">
            <w:pPr>
              <w:widowControl w:val="0"/>
              <w:spacing w:line="240" w:lineRule="auto"/>
              <w:ind w:firstLine="420"/>
              <w:jc w:val="both"/>
              <w:rPr>
                <w:rFonts w:hint="eastAsia" w:ascii="宋体" w:hAnsi="宋体" w:eastAsia="宋体" w:cs="宋体"/>
                <w:b w:val="0"/>
                <w:bCs w:val="0"/>
                <w:color w:val="auto"/>
              </w:rPr>
            </w:pPr>
            <w:r>
              <w:rPr>
                <w:rFonts w:hint="eastAsia" w:ascii="宋体" w:hAnsi="宋体" w:eastAsia="宋体" w:cs="宋体"/>
                <w:color w:val="auto"/>
                <w:kern w:val="0"/>
                <w:sz w:val="21"/>
                <w:szCs w:val="24"/>
                <w:u w:val="none"/>
                <w:lang w:val="en-US" w:eastAsia="zh-CN" w:bidi="ar"/>
              </w:rPr>
              <w:t>2024</w:t>
            </w:r>
            <w:r>
              <w:rPr>
                <w:rFonts w:hint="eastAsia" w:ascii="宋体" w:hAnsi="宋体" w:eastAsia="宋体" w:cs="宋体"/>
                <w:b w:val="0"/>
                <w:bCs w:val="0"/>
                <w:color w:val="auto"/>
                <w:kern w:val="0"/>
                <w:sz w:val="21"/>
                <w:szCs w:val="24"/>
                <w:u w:val="none"/>
                <w:lang w:val="en-US" w:eastAsia="zh-CN" w:bidi="ar"/>
              </w:rPr>
              <w:t>年</w:t>
            </w:r>
            <w:r>
              <w:rPr>
                <w:rFonts w:hint="eastAsia" w:ascii="宋体" w:hAnsi="宋体" w:eastAsia="宋体" w:cs="宋体"/>
                <w:color w:val="auto"/>
                <w:kern w:val="0"/>
                <w:sz w:val="21"/>
                <w:szCs w:val="24"/>
                <w:u w:val="none"/>
                <w:lang w:val="en-US" w:eastAsia="zh-CN" w:bidi="ar"/>
              </w:rPr>
              <w:t>，</w:t>
            </w:r>
            <w:r>
              <w:rPr>
                <w:rFonts w:hint="eastAsia" w:ascii="宋体" w:hAnsi="宋体" w:eastAsia="宋体" w:cs="宋体"/>
                <w:b w:val="0"/>
                <w:bCs w:val="0"/>
                <w:color w:val="auto"/>
              </w:rPr>
              <w:t>公司中标虾峙镇湖泥岛海水淡化建设工程总承包项目设备购置及室内安装工程专业分包采购项目，项目规模1万吨/日，出水作为不锈钢冷轧、造船厂等企业生产用水。由于岛内淡水资源十分紧缺，项目的实施将进一步完善周边岛屿供水产业链，有效保障虾峙地区诸岛产业用水，提升当地居民生产生活条件。</w:t>
            </w:r>
          </w:p>
          <w:p w14:paraId="3539B5A7">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污废水资源化领域</w:t>
            </w:r>
          </w:p>
          <w:p w14:paraId="76DCFEAC">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 xml:space="preserve">① </w:t>
            </w:r>
            <w:r>
              <w:rPr>
                <w:rFonts w:hint="eastAsia" w:ascii="宋体" w:hAnsi="宋体" w:eastAsia="宋体" w:cs="宋体"/>
                <w:b/>
                <w:bCs/>
                <w:color w:val="auto"/>
              </w:rPr>
              <w:t>节约水资源，支持“无废城市”建设</w:t>
            </w:r>
          </w:p>
          <w:p w14:paraId="398BF30F">
            <w:pPr>
              <w:widowControl w:val="0"/>
              <w:spacing w:line="240" w:lineRule="auto"/>
              <w:ind w:firstLine="420"/>
              <w:jc w:val="both"/>
              <w:rPr>
                <w:rFonts w:hint="eastAsia" w:ascii="宋体" w:hAnsi="宋体" w:eastAsia="宋体" w:cs="宋体"/>
                <w:b/>
                <w:bCs/>
                <w:color w:val="auto"/>
              </w:rPr>
            </w:pPr>
            <w:r>
              <w:rPr>
                <w:rFonts w:hint="eastAsia" w:ascii="宋体" w:hAnsi="宋体" w:eastAsia="宋体" w:cs="宋体"/>
                <w:color w:val="auto"/>
              </w:rPr>
              <w:t>2024年，公司中标江苏常州江边五期及污水资源化利用工程的厂区污水处理</w:t>
            </w:r>
            <w:r>
              <w:rPr>
                <w:rFonts w:hint="eastAsia" w:ascii="宋体" w:hAnsi="宋体" w:eastAsia="宋体" w:cs="宋体"/>
                <w:b w:val="0"/>
                <w:bCs w:val="0"/>
                <w:color w:val="auto"/>
              </w:rPr>
              <w:t>超滤反渗透系统项目。江苏常州江边五期及污水资源化利用工程是常州市“无废城市”建设的重点项目，工程贯彻低碳、绿色、生态、可持续发展理念，将打造减污降碳、光伏发电、热电联产、中水回用、生态缓冲等建设亮点，致力于打造成城市污水处理的“全国标杆”、太湖治理的“常州样板”。项目将污水资源化利用于工业等用水领域，年节约水资源不低于1,000万吨。</w:t>
            </w:r>
          </w:p>
          <w:p w14:paraId="642C48F2">
            <w:pPr>
              <w:spacing w:line="240" w:lineRule="auto"/>
              <w:ind w:firstLine="422" w:firstLineChars="200"/>
              <w:rPr>
                <w:rFonts w:hint="eastAsia" w:ascii="宋体" w:hAnsi="宋体" w:eastAsia="宋体" w:cs="宋体"/>
                <w:b/>
                <w:color w:val="auto"/>
              </w:rPr>
            </w:pPr>
            <w:r>
              <w:rPr>
                <w:rFonts w:hint="eastAsia" w:ascii="宋体" w:hAnsi="宋体" w:eastAsia="宋体" w:cs="宋体"/>
                <w:b/>
                <w:bCs/>
                <w:color w:val="auto"/>
                <w:lang w:val="en-US" w:eastAsia="zh-CN"/>
              </w:rPr>
              <w:t xml:space="preserve">② </w:t>
            </w:r>
            <w:r>
              <w:rPr>
                <w:rFonts w:hint="eastAsia" w:ascii="宋体" w:hAnsi="宋体" w:eastAsia="宋体" w:cs="宋体"/>
                <w:b/>
                <w:bCs/>
                <w:color w:val="auto"/>
              </w:rPr>
              <w:t>深耕电力行业客户，助力实现“零”取水目标</w:t>
            </w:r>
          </w:p>
          <w:p w14:paraId="1DD8A780">
            <w:pPr>
              <w:widowControl w:val="0"/>
              <w:spacing w:line="240" w:lineRule="auto"/>
              <w:ind w:firstLine="420"/>
              <w:jc w:val="both"/>
              <w:rPr>
                <w:rFonts w:hint="eastAsia" w:ascii="宋体" w:hAnsi="宋体" w:eastAsia="宋体" w:cs="宋体"/>
                <w:color w:val="auto"/>
              </w:rPr>
            </w:pPr>
            <w:r>
              <w:rPr>
                <w:rFonts w:hint="eastAsia" w:ascii="宋体" w:hAnsi="宋体" w:eastAsia="宋体" w:cs="宋体"/>
                <w:color w:val="auto"/>
              </w:rPr>
              <w:t>2024年，</w:t>
            </w:r>
            <w:r>
              <w:rPr>
                <w:rFonts w:hint="eastAsia" w:ascii="宋体" w:hAnsi="宋体" w:eastAsia="宋体" w:cs="宋体"/>
                <w:b w:val="0"/>
                <w:bCs w:val="0"/>
                <w:color w:val="auto"/>
              </w:rPr>
              <w:t>公司中标无锡能达热电有限公司（以下简称“能达热电”）热电联产扩建项目。该项目为锅炉补给水处理系统，规模1.2万</w:t>
            </w:r>
            <w:r>
              <w:rPr>
                <w:rFonts w:hint="eastAsia" w:ascii="宋体" w:hAnsi="宋体" w:eastAsia="宋体" w:cs="宋体"/>
                <w:color w:val="auto"/>
              </w:rPr>
              <w:t>吨/天，采用二级反渗透、浓水反渗透及EDI工艺。</w:t>
            </w:r>
          </w:p>
          <w:p w14:paraId="1705742C">
            <w:pPr>
              <w:widowControl w:val="0"/>
              <w:spacing w:line="240" w:lineRule="auto"/>
              <w:ind w:firstLine="420"/>
              <w:jc w:val="both"/>
              <w:rPr>
                <w:rFonts w:hint="eastAsia" w:ascii="宋体" w:hAnsi="宋体" w:eastAsia="宋体" w:cs="宋体"/>
                <w:b w:val="0"/>
                <w:bCs w:val="0"/>
                <w:color w:val="auto"/>
              </w:rPr>
            </w:pPr>
            <w:r>
              <w:rPr>
                <w:rFonts w:hint="eastAsia" w:ascii="宋体" w:hAnsi="宋体" w:eastAsia="宋体" w:cs="宋体"/>
                <w:color w:val="auto"/>
              </w:rPr>
              <w:t>能达热电长期使用公司子公司于2021年实施的无锡锡山高品质再生水项目产水，是公司长期深耕的</w:t>
            </w:r>
            <w:r>
              <w:rPr>
                <w:rFonts w:hint="eastAsia" w:ascii="宋体" w:hAnsi="宋体" w:eastAsia="宋体" w:cs="宋体"/>
                <w:b w:val="0"/>
                <w:bCs w:val="0"/>
                <w:color w:val="auto"/>
              </w:rPr>
              <w:t>客户，热电联产扩建锅炉补给水处理系统项目是公司与客户二次携手合作。基于客户对公司在高品质再生水领域的综合能力及专业服务的认可和信赖，随着客户用水需求的增加，公司近期实施的无锡龙亭项目出水成为客户取水首选。公司的高品质再生水助力客户实现近“零取水”目标，实现了可观的经济效益，更为区域“减污降碳”做出贡献，生态效益显著。</w:t>
            </w:r>
          </w:p>
          <w:p w14:paraId="77254A8A">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 xml:space="preserve">③ </w:t>
            </w:r>
            <w:r>
              <w:rPr>
                <w:rFonts w:hint="eastAsia" w:ascii="宋体" w:hAnsi="宋体" w:eastAsia="宋体" w:cs="宋体"/>
                <w:b/>
                <w:bCs/>
                <w:color w:val="auto"/>
              </w:rPr>
              <w:t>中标澳门首个中水回用项目 开辟特区用水新水源</w:t>
            </w:r>
          </w:p>
          <w:p w14:paraId="3F3DCC90">
            <w:pPr>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2024年，公司中标澳门路环中水站一期主体工程双</w:t>
            </w:r>
            <w:r>
              <w:rPr>
                <w:rFonts w:hint="eastAsia" w:ascii="宋体" w:hAnsi="宋体" w:eastAsia="宋体" w:cs="宋体"/>
                <w:b w:val="0"/>
                <w:bCs w:val="0"/>
                <w:color w:val="auto"/>
              </w:rPr>
              <w:t>膜系统项目，项目规模2,500m³/日。澳门路环中水站一期主体工程是澳门首个中水回用项目。澳门水资源匮乏，绝大部分原水由内地供应，该项目的实施，加强水资源循环利用，为澳门开辟了新的水源，将有效缓解水资源压力，是澳门在</w:t>
            </w:r>
            <w:r>
              <w:rPr>
                <w:rFonts w:hint="eastAsia" w:ascii="宋体" w:hAnsi="宋体" w:eastAsia="宋体" w:cs="宋体"/>
                <w:color w:val="auto"/>
              </w:rPr>
              <w:t>节水型社会建设和可持续发展领域迈出关键一步，同时，也为公司在澳门特区业务拓展奠定了良好的市场基础。</w:t>
            </w:r>
          </w:p>
          <w:p w14:paraId="049A91BF">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 xml:space="preserve">④ </w:t>
            </w:r>
            <w:r>
              <w:rPr>
                <w:rFonts w:hint="eastAsia" w:ascii="宋体" w:hAnsi="宋体" w:eastAsia="宋体" w:cs="宋体"/>
                <w:b/>
                <w:bCs/>
                <w:color w:val="auto"/>
              </w:rPr>
              <w:t>为社会可持续发展做出贡献 获得中央及省级政府认可及资金奖励</w:t>
            </w:r>
          </w:p>
          <w:p w14:paraId="0703D001">
            <w:pPr>
              <w:spacing w:line="240" w:lineRule="auto"/>
              <w:ind w:firstLine="420" w:firstLineChars="200"/>
              <w:rPr>
                <w:rFonts w:hint="eastAsia" w:ascii="宋体" w:hAnsi="宋体" w:eastAsia="宋体" w:cs="宋体"/>
                <w:b w:val="0"/>
                <w:bCs w:val="0"/>
                <w:color w:val="auto"/>
              </w:rPr>
            </w:pPr>
            <w:r>
              <w:rPr>
                <w:rFonts w:hint="eastAsia" w:ascii="宋体" w:hAnsi="宋体" w:eastAsia="宋体" w:cs="宋体"/>
                <w:color w:val="auto"/>
              </w:rPr>
              <w:t>2024年，公司全资子公司金科鑫荷（唐山）污水再生利用有限公司（以下简称</w:t>
            </w:r>
            <w:r>
              <w:rPr>
                <w:rFonts w:hint="eastAsia" w:ascii="宋体" w:hAnsi="宋体" w:eastAsia="宋体" w:cs="宋体"/>
                <w:b w:val="0"/>
                <w:bCs w:val="0"/>
                <w:color w:val="auto"/>
              </w:rPr>
              <w:t>“金科鑫荷”）实施的“唐山市南堡经济开发区污水资源化回用项目”获得中央基建预算人民币5,000万元。该项目的实施为唐山南堡经济开发区拓宽了供水来源，通过污水资源化回用作为工业企业生产用水的水源，实现了非常规水源作为工业主要水源的可能性，对区域污水资源化利用具有领先的示范意义。2025年3月，</w:t>
            </w:r>
            <w:r>
              <w:rPr>
                <w:rFonts w:hint="eastAsia" w:ascii="宋体" w:hAnsi="宋体" w:eastAsia="宋体" w:cs="宋体"/>
                <w:b w:val="0"/>
                <w:bCs w:val="0"/>
                <w:color w:val="auto"/>
                <w:lang w:val="en-US" w:eastAsia="zh-CN"/>
              </w:rPr>
              <w:t>已收到</w:t>
            </w:r>
            <w:r>
              <w:rPr>
                <w:rFonts w:hint="eastAsia" w:ascii="宋体" w:hAnsi="宋体" w:eastAsia="宋体" w:cs="宋体"/>
                <w:b w:val="0"/>
                <w:bCs w:val="0"/>
                <w:color w:val="auto"/>
              </w:rPr>
              <w:t>1,000万元。</w:t>
            </w:r>
          </w:p>
          <w:p w14:paraId="5A0E0C2A">
            <w:pPr>
              <w:spacing w:line="240" w:lineRule="auto"/>
              <w:ind w:firstLine="420" w:firstLineChars="200"/>
              <w:jc w:val="left"/>
              <w:rPr>
                <w:rFonts w:hint="eastAsia" w:ascii="宋体" w:hAnsi="宋体" w:eastAsia="宋体" w:cs="宋体"/>
                <w:color w:val="auto"/>
              </w:rPr>
            </w:pPr>
            <w:r>
              <w:rPr>
                <w:rFonts w:hint="eastAsia" w:ascii="宋体" w:hAnsi="宋体" w:eastAsia="宋体" w:cs="宋体"/>
                <w:b w:val="0"/>
                <w:bCs w:val="0"/>
                <w:color w:val="auto"/>
              </w:rPr>
              <w:t>无锡工业污水处理项目获得2024年江苏省长江流域生态保护和修复工程项目补助资金1,500万元，2024年已到账1,050万元。项目采用除氟药剂结合离子交换组合处理工艺，对异质结电池项目含氟废水进行深度处</w:t>
            </w:r>
            <w:r>
              <w:rPr>
                <w:rFonts w:hint="eastAsia" w:ascii="宋体" w:hAnsi="宋体" w:eastAsia="宋体" w:cs="宋体"/>
                <w:color w:val="auto"/>
              </w:rPr>
              <w:t>理，项目的实施有效缓解区域水环境的污染，进一步改善生态环境，对实现园区均衡、可持续发展起到积极的作用，经济、社会和环境效益显著。</w:t>
            </w:r>
          </w:p>
          <w:p w14:paraId="47F951CC">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研发持续投入 核心竞争力进一步提升</w:t>
            </w:r>
          </w:p>
          <w:p w14:paraId="3BC3F28E">
            <w:pPr>
              <w:spacing w:line="240" w:lineRule="auto"/>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截至</w:t>
            </w:r>
            <w:r>
              <w:rPr>
                <w:rFonts w:hint="eastAsia" w:ascii="宋体" w:hAnsi="宋体" w:eastAsia="宋体" w:cs="宋体"/>
                <w:b w:val="0"/>
                <w:bCs w:val="0"/>
                <w:color w:val="auto"/>
                <w:lang w:val="en-US" w:eastAsia="zh-CN"/>
              </w:rPr>
              <w:t>2024年12月31日</w:t>
            </w:r>
            <w:r>
              <w:rPr>
                <w:rFonts w:hint="eastAsia" w:ascii="宋体" w:hAnsi="宋体" w:eastAsia="宋体" w:cs="宋体"/>
                <w:b w:val="0"/>
                <w:bCs w:val="0"/>
                <w:color w:val="auto"/>
              </w:rPr>
              <w:t>，公司累计获得软件著作权9项以及专利120项，其中包括中国发明专利41项、PCT专利18项、实用新型专利61项。</w:t>
            </w:r>
          </w:p>
          <w:p w14:paraId="45C26986">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1）</w:t>
            </w:r>
            <w:r>
              <w:rPr>
                <w:rFonts w:hint="eastAsia" w:ascii="宋体" w:hAnsi="宋体" w:eastAsia="宋体" w:cs="宋体"/>
                <w:b/>
                <w:bCs/>
                <w:color w:val="auto"/>
              </w:rPr>
              <w:t>持续探索高附加值资源化产品提取技术</w:t>
            </w:r>
          </w:p>
          <w:p w14:paraId="181C6080">
            <w:pPr>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在高盐废水领域，公司在传统结晶技术的基础上开发出Crysacter结晶软化技术，通过诱导结晶实现去除永久性硬度等功能，并提取硫酸钙等资源化产品。该技术较传统软化技术大幅度节约了加药量，可降低系统运行药剂费用30%-50%，减少固体废弃物产生量20%-30%，资源化产品可广泛应用于建材或水泥生产等领域。</w:t>
            </w:r>
          </w:p>
          <w:p w14:paraId="7E976E28">
            <w:pPr>
              <w:spacing w:line="24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2024年，基于已成熟的单极硫酸钙结晶软化技术，公司进行纵向和横向拓展，尝试研发多级硫酸钙结晶软化技术，在进一步提高永久性硬度去除率的同时</w:t>
            </w:r>
            <w:r>
              <w:rPr>
                <w:rFonts w:hint="eastAsia" w:ascii="宋体" w:hAnsi="宋体" w:eastAsia="宋体" w:cs="宋体"/>
                <w:b w:val="0"/>
                <w:bCs w:val="0"/>
                <w:color w:val="auto"/>
              </w:rPr>
              <w:t>，获取高品质硫酸钙晶须；同时，尝试开发碳酸氢钙、二氧化硅、氟化钙等结晶软化技术</w:t>
            </w:r>
            <w:r>
              <w:rPr>
                <w:rFonts w:hint="eastAsia" w:ascii="宋体" w:hAnsi="宋体" w:eastAsia="宋体" w:cs="宋体"/>
                <w:b w:val="0"/>
                <w:bCs w:val="0"/>
                <w:color w:val="auto"/>
                <w:lang w:eastAsia="zh-CN"/>
              </w:rPr>
              <w:t>。</w:t>
            </w:r>
          </w:p>
          <w:p w14:paraId="1DA36C2A">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研发实力及成果获多</w:t>
            </w:r>
            <w:r>
              <w:rPr>
                <w:rFonts w:hint="eastAsia" w:ascii="宋体" w:hAnsi="宋体" w:eastAsia="宋体" w:cs="宋体"/>
                <w:b/>
                <w:bCs/>
                <w:color w:val="auto"/>
                <w:lang w:val="en-US" w:eastAsia="zh-CN"/>
              </w:rPr>
              <w:t>个</w:t>
            </w:r>
            <w:r>
              <w:rPr>
                <w:rFonts w:hint="eastAsia" w:ascii="宋体" w:hAnsi="宋体" w:eastAsia="宋体" w:cs="宋体"/>
                <w:b/>
                <w:bCs/>
                <w:color w:val="auto"/>
              </w:rPr>
              <w:t>省部级科学技术奖</w:t>
            </w:r>
          </w:p>
          <w:p w14:paraId="27583FBD">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2024年5月8日，公司核心技术群“NEWATERISLAND®水深度处理及资源化与数智化成套技术”荣获由中华环保联合会颁发的科技进步奖一等奖；11月13日，公司参与研发的“全流程多维抗污染膜法废水低碳再生技术”荣获北京市科技进步奖二等奖；12月30日，公司参与研发的“废水再生膜浓缩液节能低碳处理关键技术与应用”荣获中国石油和化学工业联合会科技进步奖一等奖；上述奖项的获得填补了公司在省部级科学技术奖方面的空白，并且进一步证明了公司核心技术的先进性和优越性。</w:t>
            </w:r>
          </w:p>
          <w:p w14:paraId="12410718">
            <w:pPr>
              <w:spacing w:line="240" w:lineRule="auto"/>
              <w:ind w:firstLine="420" w:firstLineChars="200"/>
              <w:rPr>
                <w:rFonts w:hint="eastAsia" w:ascii="宋体" w:hAnsi="宋体" w:eastAsia="宋体" w:cs="宋体"/>
                <w:color w:val="auto"/>
                <w:u w:val="none"/>
              </w:rPr>
            </w:pPr>
          </w:p>
          <w:p w14:paraId="62E052A4">
            <w:pPr>
              <w:spacing w:line="240" w:lineRule="auto"/>
              <w:ind w:firstLine="422" w:firstLineChars="200"/>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2.</w:t>
            </w:r>
            <w:r>
              <w:rPr>
                <w:rFonts w:hint="eastAsia" w:ascii="宋体" w:hAnsi="宋体" w:eastAsia="宋体" w:cs="宋体"/>
                <w:b/>
                <w:bCs/>
                <w:color w:val="auto"/>
                <w:u w:val="none"/>
              </w:rPr>
              <w:t>AI数智化战略</w:t>
            </w:r>
            <w:r>
              <w:rPr>
                <w:rFonts w:hint="eastAsia" w:ascii="宋体" w:hAnsi="宋体" w:eastAsia="宋体" w:cs="宋体"/>
                <w:b/>
                <w:bCs/>
                <w:color w:val="auto"/>
                <w:u w:val="none"/>
                <w:lang w:val="en-US" w:eastAsia="zh-CN"/>
              </w:rPr>
              <w:t>落地情况</w:t>
            </w:r>
          </w:p>
          <w:p w14:paraId="7870E4D2">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公司的“AI数智化战略”是以数据为生产要素，通过AI模型实时决策替代人工经验，将公司20年上百个项目积累的设计、实施、运维的Know-How“知识”和“数据”转化为水厂“自动化智能运营系统”。公司自建了多模态神经网络算法，利用公司积累的内部海量知识和数据进行训练持续迭代，从而实现水处理系统自优化、自诊断的智能闭环，实现水厂的无人值守智慧运维。</w:t>
            </w:r>
          </w:p>
          <w:p w14:paraId="4C30701D">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截止目前，公司自主研发的水萝卜®AI智能体拥有多模型集成架构，内置多种自研AI模型，包含：工艺优化的预测与决策模型、计算机视觉模型、计算机听觉模型及基于深度学习的故障诊断模型等。这些模型在工艺优化、自主监控、故障预测、维修决策等方面发挥着关键作用。</w:t>
            </w:r>
          </w:p>
          <w:p w14:paraId="22AF2C5A">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目前，水萝卜®AI智能体还在应用的初级阶段，已经带来了无人值守、运行成本大幅下降、系统极度稳定可靠的效果，同时促进新水岛®产品的工艺流程进一步精简优化。未来，随着水萝卜®的进一步应用和迭代，还会给水厂和产品带来更为突出的优势和广阔的前景。</w:t>
            </w:r>
          </w:p>
          <w:p w14:paraId="34475AF0">
            <w:pPr>
              <w:spacing w:line="240" w:lineRule="auto"/>
              <w:ind w:firstLine="420" w:firstLineChars="200"/>
              <w:rPr>
                <w:rFonts w:hint="eastAsia" w:ascii="宋体" w:hAnsi="宋体" w:eastAsia="宋体" w:cs="宋体"/>
                <w:color w:val="auto"/>
                <w:u w:val="none"/>
                <w:lang w:eastAsia="zh-CN"/>
              </w:rPr>
            </w:pPr>
            <w:r>
              <w:rPr>
                <w:rFonts w:hint="eastAsia" w:ascii="宋体" w:hAnsi="宋体" w:eastAsia="宋体" w:cs="宋体"/>
                <w:color w:val="auto"/>
                <w:u w:val="none"/>
                <w:lang w:val="en-US" w:eastAsia="zh-CN"/>
              </w:rPr>
              <w:t>近日，</w:t>
            </w:r>
            <w:r>
              <w:rPr>
                <w:rFonts w:hint="eastAsia" w:ascii="宋体" w:hAnsi="宋体" w:eastAsia="宋体" w:cs="宋体"/>
                <w:color w:val="auto"/>
                <w:u w:val="none"/>
              </w:rPr>
              <w:t>“水萝卜®AI智能体”通过工信部工业文化发展中心“AI产业创新场景应用案例”评估，成为水行业首家获得AI运营应用认证的标杆企业</w:t>
            </w:r>
            <w:r>
              <w:rPr>
                <w:rFonts w:hint="eastAsia" w:ascii="宋体" w:hAnsi="宋体" w:eastAsia="宋体" w:cs="宋体"/>
                <w:color w:val="auto"/>
                <w:u w:val="none"/>
                <w:lang w:eastAsia="zh-CN"/>
              </w:rPr>
              <w:t>。</w:t>
            </w:r>
          </w:p>
          <w:p w14:paraId="603A3640">
            <w:pPr>
              <w:spacing w:line="240" w:lineRule="auto"/>
              <w:ind w:firstLine="422" w:firstLineChars="200"/>
              <w:rPr>
                <w:rFonts w:hint="eastAsia" w:ascii="宋体" w:hAnsi="宋体" w:eastAsia="宋体" w:cs="宋体"/>
                <w:b/>
                <w:bCs/>
                <w:color w:val="auto"/>
                <w:u w:val="none"/>
              </w:rPr>
            </w:pPr>
          </w:p>
          <w:p w14:paraId="35453277">
            <w:pPr>
              <w:spacing w:line="240" w:lineRule="auto"/>
              <w:ind w:firstLine="422" w:firstLineChars="200"/>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3.</w:t>
            </w:r>
            <w:r>
              <w:rPr>
                <w:rFonts w:hint="eastAsia" w:ascii="宋体" w:hAnsi="宋体" w:eastAsia="宋体" w:cs="宋体"/>
                <w:b/>
                <w:bCs/>
                <w:color w:val="auto"/>
                <w:u w:val="none"/>
              </w:rPr>
              <w:t>产品化战略</w:t>
            </w:r>
            <w:r>
              <w:rPr>
                <w:rFonts w:hint="eastAsia" w:ascii="宋体" w:hAnsi="宋体" w:eastAsia="宋体" w:cs="宋体"/>
                <w:b/>
                <w:bCs/>
                <w:color w:val="auto"/>
                <w:u w:val="none"/>
                <w:lang w:val="en-US" w:eastAsia="zh-CN"/>
              </w:rPr>
              <w:t>落地情况</w:t>
            </w:r>
          </w:p>
          <w:p w14:paraId="6EA9747F">
            <w:pPr>
              <w:spacing w:line="240" w:lineRule="auto"/>
              <w:ind w:firstLine="422" w:firstLineChars="200"/>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（1）新水岛产品情况</w:t>
            </w:r>
          </w:p>
          <w:p w14:paraId="3AADDACB">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随着“资源化”和“AI数智化”战略的持续落地，公司水深度处理及资源化核心技术和行业Know-How保持着强有力的竞争力。然而，传统水处理厂的定制化工程项目实施模式以及依赖人工经验和操作的运维模式，导致水深度处理及资源化的吨水成本仍然很高，同时也使得公司的发展很大程度受限于各专业技术人员的人力投入体量。</w:t>
            </w:r>
          </w:p>
          <w:p w14:paraId="3AAF763D">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降低综合水处理成本且将公司的竞争优势快速大规模的复制扩张，需要对水处理厂的设计、建设和运营模式进行重大变革。因此，公司在行业中率先制定了“产品化战略”，进行“工程产品化”革命，即：</w:t>
            </w:r>
          </w:p>
          <w:p w14:paraId="7857C97D">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lang w:val="en-US" w:eastAsia="zh-CN"/>
              </w:rPr>
              <w:t xml:space="preserve">① </w:t>
            </w:r>
            <w:r>
              <w:rPr>
                <w:rFonts w:hint="eastAsia" w:ascii="宋体" w:hAnsi="宋体" w:eastAsia="宋体" w:cs="宋体"/>
                <w:color w:val="auto"/>
                <w:u w:val="none"/>
              </w:rPr>
              <w:t xml:space="preserve">首先通过“AI数智化”推动水处理从"人脑经验驱动"转向"数据算法驱动"，推动水厂从"人工运维的工程建筑设施"向"无人值守的智能装备产品"进化；同时，整合所有公司在水深度处理及资源化领域积淀的核心技术和应用Know-How，将传统水厂解构转化为标准化、模块化、可大规模复制和快速交易的工业产品； </w:t>
            </w:r>
          </w:p>
          <w:p w14:paraId="5AD9BD9D">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lang w:val="en-US" w:eastAsia="zh-CN"/>
              </w:rPr>
              <w:t xml:space="preserve">② </w:t>
            </w:r>
            <w:r>
              <w:rPr>
                <w:rFonts w:hint="eastAsia" w:ascii="宋体" w:hAnsi="宋体" w:eastAsia="宋体" w:cs="宋体"/>
                <w:color w:val="auto"/>
                <w:u w:val="none"/>
              </w:rPr>
              <w:t>同时，全方位打造新型产品服务型企业，在资源化、AI数智化浪潮中，实现工程和产品两类方法论和思维方式的战略级融合，持续将创新资源化工艺技术的工程应用高效转化为智能工业产品，重构传统工程型和产品型企业区分的标准和边界。在目标导向、生命周期、管理方法论和交付物属性、风险应对逻辑、组织架构设计、成本核算机制、技术债务处理等在内的各个方面，将工程和产品融合共生，使得公司产品的生命周期呈现不断螺旋上升的曲线。</w:t>
            </w:r>
          </w:p>
          <w:p w14:paraId="005EF28F">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在“资源化”战略和“AI数智化”战略的协同下，2023年初，公司迈出了“产品化”战略的最重要一步，向市场推出了智能净水装备-新水岛®1.0产品。该产品基于AI智慧运行能力和资源化工艺功能模块的物理集成与流程重构，消除了大量水厂冗余环节和非生产性构筑物和设施，实现了水处理厂的无人值守智慧运行、占地和交付周期均减少60%~80%、全厂可移动等突破</w:t>
            </w:r>
            <w:r>
              <w:rPr>
                <w:rFonts w:hint="eastAsia" w:ascii="宋体" w:hAnsi="宋体" w:eastAsia="宋体" w:cs="宋体"/>
                <w:color w:val="auto"/>
                <w:u w:val="none"/>
                <w:lang w:eastAsia="zh-CN"/>
              </w:rPr>
              <w:t>。</w:t>
            </w:r>
            <w:r>
              <w:rPr>
                <w:rFonts w:hint="eastAsia" w:ascii="宋体" w:hAnsi="宋体" w:eastAsia="宋体" w:cs="宋体"/>
                <w:color w:val="auto"/>
                <w:u w:val="none"/>
              </w:rPr>
              <w:t>最终实现水厂全生命周期成本大幅降低、吨水成本大幅降低。</w:t>
            </w:r>
          </w:p>
          <w:p w14:paraId="4D2636DB">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2024年7月，锡山区人民政府主办，公司及无锡市锡山区锡北镇人民政府、无锡市锡山环保能源集团有限公司联合协办的2024环保智能装备创新发展大会在无锡圆满举办，公司在大会上发布新水岛®2.0产品，软件及硬件进一步迭代升级。</w:t>
            </w:r>
          </w:p>
          <w:p w14:paraId="72E5FE26">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新水岛®2.0系列产品可通过标准化、规模化、工业流水线生产进一步实现降本增效与质量可控性，交付周期从数月级压缩至数周，真正成为可规模化生产的标准化产品；同时，还实现了从不同工艺单元相互割裂的“组合工艺”向有机融合成一体的“融合工艺”转变突破，迈出了“短流程替代长流程”工艺创新的重要一步，进一步削减冗余配置，降低了产品全生命周期成本和吨水成本。</w:t>
            </w:r>
          </w:p>
          <w:p w14:paraId="341DDED3">
            <w:pPr>
              <w:spacing w:line="240" w:lineRule="auto"/>
              <w:ind w:firstLine="422" w:firstLineChars="200"/>
              <w:rPr>
                <w:rFonts w:hint="eastAsia" w:ascii="宋体" w:hAnsi="宋体" w:eastAsia="宋体" w:cs="宋体"/>
                <w:color w:val="auto"/>
                <w:u w:val="none"/>
              </w:rPr>
            </w:pPr>
            <w:r>
              <w:rPr>
                <w:rFonts w:hint="eastAsia" w:ascii="宋体" w:hAnsi="宋体" w:eastAsia="宋体" w:cs="宋体"/>
                <w:b/>
                <w:bCs/>
                <w:color w:val="auto"/>
                <w:u w:val="none"/>
                <w:lang w:eastAsia="zh-CN"/>
              </w:rPr>
              <w:t>（</w:t>
            </w:r>
            <w:r>
              <w:rPr>
                <w:rFonts w:hint="eastAsia" w:ascii="宋体" w:hAnsi="宋体" w:eastAsia="宋体" w:cs="宋体"/>
                <w:b/>
                <w:bCs/>
                <w:color w:val="auto"/>
                <w:u w:val="none"/>
                <w:lang w:val="en-US" w:eastAsia="zh-CN"/>
              </w:rPr>
              <w:t>2</w:t>
            </w:r>
            <w:r>
              <w:rPr>
                <w:rFonts w:hint="eastAsia" w:ascii="宋体" w:hAnsi="宋体" w:eastAsia="宋体" w:cs="宋体"/>
                <w:b/>
                <w:bCs/>
                <w:color w:val="auto"/>
                <w:u w:val="none"/>
                <w:lang w:eastAsia="zh-CN"/>
              </w:rPr>
              <w:t>）</w:t>
            </w:r>
            <w:r>
              <w:rPr>
                <w:rFonts w:hint="eastAsia" w:ascii="宋体" w:hAnsi="宋体" w:eastAsia="宋体" w:cs="宋体"/>
                <w:b/>
                <w:bCs/>
                <w:color w:val="auto"/>
                <w:u w:val="none"/>
              </w:rPr>
              <w:t>新水岛®项目持续落地 工业市场应用不断拓展</w:t>
            </w:r>
          </w:p>
          <w:p w14:paraId="783B3D94">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rPr>
              <w:t>2024年，</w:t>
            </w:r>
            <w:r>
              <w:rPr>
                <w:rFonts w:hint="eastAsia" w:ascii="宋体" w:hAnsi="宋体" w:eastAsia="宋体" w:cs="宋体"/>
                <w:color w:val="auto"/>
                <w:u w:val="none"/>
              </w:rPr>
              <w:t>无锡安镇再生水项目顺利实施，项目应用公司新水岛®1.0产品，产品规模5,000m³/天，以污水处理厂达标尾水为水源制成高品质再生水，供给无锡芯动半导体科技有限公司、无锡华晟光伏科技有限公司、极电光能(无锡)新能源有限公司等光伏新能源、半导体等企业。项目通过污废水资源化的方式，置换出环境容量，提高了再生水利用率，缓解了区域水资源短缺的现状；同时，高品质再生水显著降低用水企业综合制水成本，为企业降本增效，助力新兴行业的高质量发展。</w:t>
            </w:r>
          </w:p>
          <w:p w14:paraId="0D0895A2">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无锡健鼎项目位于客户厂区内部厂房，将印刷电路板（PCB）企业废水再生回用为高品质工艺用水。健鼎(无锡)电子有限公司主要从事印刷电路板(PCB)的生产与研发，是公司锡山再生水项目优质客户。基于对公司提供的高品质再生水水质及稳定性的认可，客户进一步增加了再生水的使用量，是公司新水岛®产品应用于新兴行业废水再生回用为高品质工艺用水的重要实践。</w:t>
            </w:r>
          </w:p>
          <w:p w14:paraId="4222CA99">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rPr>
              <w:t>2024年，</w:t>
            </w:r>
            <w:r>
              <w:rPr>
                <w:rFonts w:hint="eastAsia" w:ascii="宋体" w:hAnsi="宋体" w:eastAsia="宋体" w:cs="宋体"/>
                <w:color w:val="auto"/>
                <w:u w:val="none"/>
              </w:rPr>
              <w:t>新水岛®项目持续落地，订单持续突破，产品稳定、高效运行，在工业市场的应用得到进一步拓展。</w:t>
            </w:r>
          </w:p>
          <w:p w14:paraId="77369BEE">
            <w:pPr>
              <w:spacing w:line="240" w:lineRule="auto"/>
              <w:ind w:firstLine="420" w:firstLineChars="200"/>
              <w:rPr>
                <w:rFonts w:hint="eastAsia" w:ascii="宋体" w:hAnsi="宋体" w:eastAsia="宋体" w:cs="宋体"/>
                <w:color w:val="auto"/>
                <w:u w:val="none"/>
              </w:rPr>
            </w:pPr>
            <w:r>
              <w:rPr>
                <w:rFonts w:hint="eastAsia" w:ascii="宋体" w:hAnsi="宋体" w:eastAsia="宋体" w:cs="宋体"/>
                <w:color w:val="auto"/>
              </w:rPr>
              <w:t>2024年，</w:t>
            </w:r>
            <w:r>
              <w:rPr>
                <w:rFonts w:hint="eastAsia" w:ascii="宋体" w:hAnsi="宋体" w:eastAsia="宋体" w:cs="宋体"/>
                <w:color w:val="auto"/>
                <w:u w:val="none"/>
              </w:rPr>
              <w:t>应用新水岛®2.0产品的订单持续落地，包括出水主要回用于健鼎电子、统盟电子、高德电子及能达热电等企业客户的无锡龙亭项目（规模5,000m³/天）、供给异质结电池企业生产用水的舟山项目（规模5,000m³/天）、出水主要用于手机背板生产企业生产用水的开封兰考项目（规模5,000m³/天），处理锂电池隔膜及芯片硅片废水的太原阳曲项目（规模共2,500m³/天）等，切实解决了城市、园区和工业企业的水短缺、环境容量不足、用水成本高、水资源使用效率低等一揽子问题。</w:t>
            </w:r>
          </w:p>
          <w:p w14:paraId="788F0139">
            <w:pPr>
              <w:spacing w:line="240" w:lineRule="auto"/>
              <w:ind w:firstLine="420" w:firstLineChars="200"/>
              <w:rPr>
                <w:rFonts w:hint="eastAsia" w:ascii="宋体" w:hAnsi="宋体" w:eastAsia="宋体" w:cs="宋体"/>
                <w:color w:val="auto"/>
                <w:u w:val="none"/>
              </w:rPr>
            </w:pPr>
          </w:p>
          <w:p w14:paraId="5A45C173">
            <w:pPr>
              <w:numPr>
                <w:ilvl w:val="0"/>
                <w:numId w:val="0"/>
              </w:numPr>
              <w:spacing w:line="240" w:lineRule="auto"/>
              <w:ind w:firstLine="422" w:firstLineChars="200"/>
              <w:rPr>
                <w:rFonts w:hint="eastAsia" w:ascii="宋体" w:hAnsi="宋体" w:eastAsia="宋体" w:cs="宋体"/>
                <w:b/>
                <w:bCs/>
                <w:color w:val="auto"/>
                <w:u w:val="none"/>
                <w:lang w:val="en-US" w:eastAsia="zh-CN"/>
              </w:rPr>
            </w:pPr>
            <w:r>
              <w:rPr>
                <w:rFonts w:hint="eastAsia" w:ascii="宋体" w:hAnsi="宋体" w:eastAsia="宋体" w:cs="宋体"/>
                <w:b/>
                <w:bCs/>
                <w:color w:val="auto"/>
                <w:kern w:val="2"/>
                <w:sz w:val="21"/>
                <w:szCs w:val="22"/>
                <w:lang w:val="en-US" w:eastAsia="zh-CN" w:bidi="ar-SA"/>
              </w:rPr>
              <w:t>三、</w:t>
            </w:r>
            <w:r>
              <w:rPr>
                <w:rFonts w:hint="eastAsia" w:ascii="宋体" w:hAnsi="宋体" w:eastAsia="宋体" w:cs="宋体"/>
                <w:b/>
                <w:bCs/>
                <w:color w:val="auto"/>
                <w:u w:val="none"/>
                <w:lang w:val="en-US" w:eastAsia="zh-CN"/>
              </w:rPr>
              <w:t>政策及市场</w:t>
            </w:r>
          </w:p>
          <w:p w14:paraId="3E00F30A">
            <w:pPr>
              <w:spacing w:line="240" w:lineRule="auto"/>
              <w:ind w:left="421"/>
              <w:rPr>
                <w:rFonts w:hint="eastAsia" w:ascii="宋体" w:hAnsi="宋体" w:eastAsia="宋体" w:cs="宋体"/>
                <w:b/>
                <w:bCs/>
                <w:color w:val="auto"/>
              </w:rPr>
            </w:pPr>
            <w:r>
              <w:rPr>
                <w:rFonts w:hint="eastAsia" w:ascii="宋体" w:hAnsi="宋体" w:eastAsia="宋体" w:cs="宋体"/>
                <w:b/>
                <w:bCs/>
                <w:color w:val="auto"/>
                <w:kern w:val="2"/>
                <w:szCs w:val="22"/>
                <w:lang w:eastAsia="zh-CN"/>
              </w:rPr>
              <w:t>（</w:t>
            </w:r>
            <w:r>
              <w:rPr>
                <w:rFonts w:hint="eastAsia" w:ascii="宋体" w:hAnsi="宋体" w:eastAsia="宋体" w:cs="宋体"/>
                <w:b/>
                <w:bCs/>
                <w:color w:val="auto"/>
                <w:kern w:val="2"/>
                <w:szCs w:val="22"/>
                <w:lang w:val="en-US" w:eastAsia="zh-CN"/>
              </w:rPr>
              <w:t>一</w:t>
            </w:r>
            <w:r>
              <w:rPr>
                <w:rFonts w:hint="eastAsia" w:ascii="宋体" w:hAnsi="宋体" w:eastAsia="宋体" w:cs="宋体"/>
                <w:b/>
                <w:bCs/>
                <w:color w:val="auto"/>
                <w:kern w:val="2"/>
                <w:szCs w:val="22"/>
                <w:lang w:eastAsia="zh-CN"/>
              </w:rPr>
              <w:t>）</w:t>
            </w:r>
            <w:r>
              <w:rPr>
                <w:rFonts w:hint="eastAsia" w:ascii="宋体" w:hAnsi="宋体" w:eastAsia="宋体" w:cs="宋体"/>
                <w:b/>
                <w:bCs/>
                <w:color w:val="auto"/>
              </w:rPr>
              <w:t>环保装备政策加码，影响力持续释放</w:t>
            </w:r>
          </w:p>
          <w:p w14:paraId="457899E1">
            <w:pPr>
              <w:spacing w:line="240" w:lineRule="auto"/>
              <w:ind w:firstLine="420" w:firstLineChars="200"/>
              <w:rPr>
                <w:rFonts w:hint="eastAsia" w:ascii="宋体" w:hAnsi="宋体" w:eastAsia="宋体" w:cs="宋体"/>
                <w:b w:val="0"/>
                <w:bCs w:val="0"/>
                <w:color w:val="auto"/>
                <w:u w:val="none"/>
              </w:rPr>
            </w:pPr>
            <w:r>
              <w:rPr>
                <w:rFonts w:hint="eastAsia" w:ascii="宋体" w:hAnsi="宋体" w:eastAsia="宋体" w:cs="宋体"/>
                <w:color w:val="auto"/>
                <w:u w:val="none"/>
              </w:rPr>
              <w:t>2024年3月13日，国务院印发《推动大规模设备更新和消费品以旧换新行动方案》，提出以供水、污水处理等为重点，分类推进更新改造，推进各地自来水厂及加压调蓄供水设施设备升级改造，加快推进城镇生活污水垃圾处理设施</w:t>
            </w:r>
            <w:r>
              <w:rPr>
                <w:rFonts w:hint="eastAsia" w:ascii="宋体" w:hAnsi="宋体" w:eastAsia="宋体" w:cs="宋体"/>
                <w:b w:val="0"/>
                <w:bCs w:val="0"/>
                <w:color w:val="auto"/>
                <w:u w:val="none"/>
              </w:rPr>
              <w:t>设备补短板、强弱项；完善税收支持政策，加大对节能节水、环境保护设备税收优惠支持力度，把数智化智能化改造纳入优惠范围。</w:t>
            </w:r>
          </w:p>
          <w:p w14:paraId="3EB41F03">
            <w:pPr>
              <w:spacing w:line="24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2024年7月，《关于节能节水、环境保护、安全生产专用设备数智化智能化改造企业所得税政策的公告》（以下简称“《公告》”）及《关于加力支持大规模设备更新和消费品以旧换新的若干措施》（以下简称“《措施》”）相继发布，《公告》明确了节能节水、环境保护和安全生产专用设备数智化、智能化改造可享受企业所得税优惠；《措施》提到，统筹安排3000亿元左右超长期特别国债资金，加力支持大规模设备更新和消费品以旧换新。在工业、环境基础设施等领域设备更新以及回收循环利用的基础上，将支持范围扩大到重点行业节能降碳和安全改造、能源电力等。</w:t>
            </w:r>
          </w:p>
          <w:p w14:paraId="2BF86142">
            <w:pPr>
              <w:spacing w:line="240" w:lineRule="auto"/>
              <w:ind w:firstLine="420" w:firstLineChars="200"/>
              <w:rPr>
                <w:rFonts w:hint="eastAsia" w:ascii="宋体" w:hAnsi="宋体" w:eastAsia="宋体" w:cs="宋体"/>
                <w:color w:val="auto"/>
              </w:rPr>
            </w:pPr>
            <w:r>
              <w:rPr>
                <w:rFonts w:hint="eastAsia" w:ascii="宋体" w:hAnsi="宋体" w:eastAsia="宋体" w:cs="宋体"/>
                <w:b w:val="0"/>
                <w:bCs w:val="0"/>
                <w:color w:val="auto"/>
                <w:szCs w:val="21"/>
              </w:rPr>
              <w:t>2025年3月4日，工业和信息化部、生态环境部、市场监管总局印发《关于促进环保装备制造业高质量发展的若干意见》</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鼓励用户企业在采购中综合考量环保装备性能、效率、能耗、水耗、寿命、运维等指标，引导优质优价采购</w:t>
            </w:r>
            <w:r>
              <w:rPr>
                <w:rFonts w:hint="eastAsia" w:ascii="宋体" w:hAnsi="宋体" w:eastAsia="宋体" w:cs="宋体"/>
                <w:b w:val="0"/>
                <w:bCs w:val="0"/>
                <w:color w:val="auto"/>
                <w:szCs w:val="21"/>
                <w:lang w:eastAsia="zh-CN"/>
              </w:rPr>
              <w:t>。</w:t>
            </w:r>
          </w:p>
          <w:p w14:paraId="72B7F678">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w:t>
            </w:r>
            <w:r>
              <w:rPr>
                <w:rFonts w:hint="eastAsia" w:ascii="宋体" w:hAnsi="宋体" w:eastAsia="宋体" w:cs="宋体"/>
                <w:b/>
                <w:bCs/>
                <w:color w:val="auto"/>
                <w:lang w:eastAsia="zh-CN"/>
              </w:rPr>
              <w:t>）</w:t>
            </w:r>
            <w:r>
              <w:rPr>
                <w:rFonts w:hint="eastAsia" w:ascii="宋体" w:hAnsi="宋体" w:eastAsia="宋体" w:cs="宋体"/>
                <w:b/>
                <w:bCs/>
                <w:color w:val="auto"/>
              </w:rPr>
              <w:t>再生水利用政策持续深化</w:t>
            </w:r>
          </w:p>
          <w:p w14:paraId="16773D1A">
            <w:pPr>
              <w:spacing w:line="240" w:lineRule="auto"/>
              <w:ind w:left="420" w:left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节水产业加快发展，推动美丽中国建设</w:t>
            </w:r>
          </w:p>
          <w:p w14:paraId="157F2DB3">
            <w:pPr>
              <w:spacing w:line="240" w:lineRule="auto"/>
              <w:ind w:firstLine="420" w:firstLineChars="200"/>
              <w:rPr>
                <w:rFonts w:hint="eastAsia" w:ascii="宋体" w:hAnsi="宋体" w:eastAsia="宋体" w:cs="宋体"/>
                <w:b w:val="0"/>
                <w:bCs w:val="0"/>
                <w:color w:val="auto"/>
                <w:szCs w:val="21"/>
                <w:lang w:eastAsia="zh-CN"/>
              </w:rPr>
            </w:pPr>
            <w:r>
              <w:rPr>
                <w:rFonts w:hint="eastAsia" w:ascii="宋体" w:hAnsi="宋体" w:eastAsia="宋体" w:cs="宋体"/>
                <w:color w:val="auto"/>
                <w:szCs w:val="21"/>
              </w:rPr>
              <w:t xml:space="preserve"> </w:t>
            </w:r>
            <w:r>
              <w:rPr>
                <w:rFonts w:hint="eastAsia" w:ascii="宋体" w:hAnsi="宋体" w:eastAsia="宋体" w:cs="宋体"/>
                <w:b w:val="0"/>
                <w:bCs w:val="0"/>
                <w:color w:val="auto"/>
                <w:szCs w:val="21"/>
              </w:rPr>
              <w:t>2024年1月11日，中共中央国务院发布《关于全面推进美丽中国建设的意见》，强调要坚持以水定城、以水定地、以水定人、以水定产，推动各类资源节约集约利用</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实施全面节水战略</w:t>
            </w:r>
            <w:r>
              <w:rPr>
                <w:rFonts w:hint="eastAsia" w:ascii="宋体" w:hAnsi="宋体" w:eastAsia="宋体" w:cs="宋体"/>
                <w:b w:val="0"/>
                <w:bCs w:val="0"/>
                <w:color w:val="auto"/>
                <w:szCs w:val="21"/>
                <w:lang w:eastAsia="zh-CN"/>
              </w:rPr>
              <w:t>。</w:t>
            </w:r>
          </w:p>
          <w:p w14:paraId="28A15F14">
            <w:pPr>
              <w:spacing w:line="24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2024年3月20日，《节约用水条例》发布，指出工业企业应当加强内部用水管理，建立节水管理制度，采用循环用水、废水处理回用等先进、适用节水技术、工艺和设备，降低单位产品（产值）耗水量，提高水资源重复利用率。</w:t>
            </w:r>
          </w:p>
          <w:p w14:paraId="51C93BA9">
            <w:pPr>
              <w:spacing w:line="24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2024年4月30日，《关于金融支持节水产业高质量发展的指导意见》</w:t>
            </w:r>
            <w:r>
              <w:rPr>
                <w:rFonts w:hint="eastAsia" w:ascii="宋体" w:hAnsi="宋体" w:eastAsia="宋体" w:cs="宋体"/>
                <w:b w:val="0"/>
                <w:bCs w:val="0"/>
                <w:color w:val="auto"/>
                <w:szCs w:val="21"/>
                <w:lang w:val="en-US" w:eastAsia="zh-CN"/>
              </w:rPr>
              <w:t>发布</w:t>
            </w:r>
            <w:r>
              <w:rPr>
                <w:rFonts w:hint="eastAsia" w:ascii="宋体" w:hAnsi="宋体" w:eastAsia="宋体" w:cs="宋体"/>
                <w:b w:val="0"/>
                <w:bCs w:val="0"/>
                <w:color w:val="auto"/>
                <w:szCs w:val="21"/>
              </w:rPr>
              <w:t>，提出聚焦金融支持节水产业高质量发展重点领域，支持工业节水减排；包括工业节水改造、节水型工业企业和园区建设、工业废水循环利用试点建设等；支持非常规水利用，积极支持缺水地区和水环境敏感区域的污水资源化利用工程。</w:t>
            </w:r>
          </w:p>
          <w:p w14:paraId="3002A17B">
            <w:pPr>
              <w:spacing w:line="24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2024年6月25日，《关于加快发展节水产业的指导意见》</w:t>
            </w:r>
            <w:r>
              <w:rPr>
                <w:rFonts w:hint="eastAsia" w:ascii="宋体" w:hAnsi="宋体" w:eastAsia="宋体" w:cs="宋体"/>
                <w:b w:val="0"/>
                <w:bCs w:val="0"/>
                <w:color w:val="auto"/>
                <w:szCs w:val="21"/>
                <w:lang w:val="en-US" w:eastAsia="zh-CN"/>
              </w:rPr>
              <w:t>发布</w:t>
            </w:r>
            <w:r>
              <w:rPr>
                <w:rFonts w:hint="eastAsia" w:ascii="宋体" w:hAnsi="宋体" w:eastAsia="宋体" w:cs="宋体"/>
                <w:b w:val="0"/>
                <w:bCs w:val="0"/>
                <w:color w:val="auto"/>
                <w:szCs w:val="21"/>
              </w:rPr>
              <w:t>，提出在高耗水工业企业及园区推广使用再生水，并提出实行非居民用水超定额累进加价；《意见》提出到 2027 年，节水产业规模达到万亿，到 2035 年，培育一批百亿级龙头企业。</w:t>
            </w:r>
          </w:p>
          <w:p w14:paraId="6FF9B26A">
            <w:pPr>
              <w:spacing w:line="240" w:lineRule="auto"/>
              <w:ind w:firstLine="420" w:firstLineChars="200"/>
              <w:rPr>
                <w:rFonts w:hint="eastAsia" w:ascii="宋体" w:hAnsi="宋体" w:eastAsia="宋体" w:cs="宋体"/>
                <w:color w:val="auto"/>
              </w:rPr>
            </w:pPr>
            <w:r>
              <w:rPr>
                <w:rFonts w:hint="eastAsia" w:ascii="宋体" w:hAnsi="宋体" w:eastAsia="宋体" w:cs="宋体"/>
                <w:b w:val="0"/>
                <w:bCs w:val="0"/>
                <w:color w:val="auto"/>
              </w:rPr>
              <w:t>1月15日，国务院办公厅转发生态环境部《关于建设美丽中国先行区的实施意见》，深入落实区域协调发展战略和区域重大战略，突出京津冀、长三角、粤港澳大湾区三大区域，协同推进长江、黄河流域高水平保护；大力推进绿色低碳科技创新应用，强化</w:t>
            </w:r>
            <w:r>
              <w:rPr>
                <w:rFonts w:hint="eastAsia" w:ascii="宋体" w:hAnsi="宋体" w:eastAsia="宋体" w:cs="宋体"/>
                <w:color w:val="auto"/>
              </w:rPr>
              <w:t>各类资源节约集约高效利用，加快实施重点领域节能工程。</w:t>
            </w:r>
          </w:p>
          <w:p w14:paraId="593E7854">
            <w:pPr>
              <w:spacing w:line="24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新兴行业及传统工业领域水标升级，再生水新需求不断显现</w:t>
            </w:r>
          </w:p>
          <w:p w14:paraId="18826710">
            <w:pPr>
              <w:spacing w:line="240" w:lineRule="auto"/>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2024年</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《光伏制造行业规范条件》《关于加强矿井水保护和利用的指导意见》《关于加强矿井水保护和利用的指导意见》</w:t>
            </w:r>
            <w:r>
              <w:rPr>
                <w:rFonts w:hint="eastAsia" w:ascii="宋体" w:hAnsi="宋体" w:eastAsia="宋体" w:cs="宋体"/>
                <w:b w:val="0"/>
                <w:bCs w:val="0"/>
                <w:color w:val="auto"/>
                <w:lang w:val="en-US" w:eastAsia="zh-CN"/>
              </w:rPr>
              <w:t>等规定发布，</w:t>
            </w:r>
            <w:r>
              <w:rPr>
                <w:rFonts w:hint="eastAsia" w:ascii="宋体" w:hAnsi="宋体" w:eastAsia="宋体" w:cs="宋体"/>
                <w:b w:val="0"/>
                <w:bCs w:val="0"/>
                <w:color w:val="auto"/>
              </w:rPr>
              <w:t>《工业循环冷却水零排污技术规范》国标正式实施</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2025年3月，</w:t>
            </w:r>
            <w:r>
              <w:rPr>
                <w:rFonts w:hint="eastAsia" w:ascii="宋体" w:hAnsi="宋体" w:eastAsia="宋体" w:cs="宋体"/>
                <w:b w:val="0"/>
                <w:bCs w:val="0"/>
                <w:color w:val="auto"/>
              </w:rPr>
              <w:t>《纺织工业水污染物排放标准（二次征求意见稿）》公开征求意见。</w:t>
            </w:r>
          </w:p>
          <w:p w14:paraId="5A1B6F21">
            <w:pPr>
              <w:spacing w:line="240" w:lineRule="auto"/>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随着国家环保政策的日益严格，企业的污水外排量受限的情况越来越严峻，</w:t>
            </w:r>
            <w:r>
              <w:rPr>
                <w:rFonts w:hint="eastAsia" w:ascii="宋体" w:hAnsi="宋体" w:eastAsia="宋体" w:cs="宋体"/>
                <w:b w:val="0"/>
                <w:bCs w:val="0"/>
                <w:color w:val="auto"/>
                <w:lang w:val="en-US" w:eastAsia="zh-CN"/>
              </w:rPr>
              <w:t>行业用水标准进一步规范、升级，</w:t>
            </w:r>
            <w:r>
              <w:rPr>
                <w:rFonts w:hint="eastAsia" w:ascii="宋体" w:hAnsi="宋体" w:eastAsia="宋体" w:cs="宋体"/>
                <w:b w:val="0"/>
                <w:bCs w:val="0"/>
                <w:color w:val="auto"/>
              </w:rPr>
              <w:t>促进企业加强源头控制，优化末端治理，优化废水回用及资源化应用方案</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进一步打开了行业高品质供水及再生水利用的市场空间。</w:t>
            </w:r>
          </w:p>
          <w:p w14:paraId="2129E532">
            <w:pPr>
              <w:spacing w:line="24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 xml:space="preserve">区域工业再生水利用率指标进一步明确 </w:t>
            </w:r>
          </w:p>
          <w:p w14:paraId="754DBE71">
            <w:pPr>
              <w:spacing w:line="240" w:lineRule="auto"/>
              <w:ind w:firstLine="420" w:firstLineChars="200"/>
              <w:rPr>
                <w:rFonts w:hint="eastAsia" w:ascii="宋体" w:hAnsi="宋体" w:eastAsia="宋体" w:cs="宋体"/>
                <w:color w:val="auto"/>
              </w:rPr>
            </w:pPr>
            <w:r>
              <w:rPr>
                <w:rFonts w:hint="eastAsia" w:ascii="宋体" w:hAnsi="宋体" w:eastAsia="宋体" w:cs="宋体"/>
                <w:color w:val="auto"/>
                <w:szCs w:val="21"/>
              </w:rPr>
              <w:t>《国家节水行动方案》《工业水效提升行动计划》 明确了水资源节约集约利用目标，有效保障用水效率和效益提升。《节约用水条例》颁布后，各地转变用水理念，深入贯彻落实节水优先方针，不断推进水资源节约集约利用再上新台阶。新疆维吾尔自治区</w:t>
            </w:r>
            <w:r>
              <w:rPr>
                <w:rFonts w:hint="eastAsia" w:ascii="宋体" w:hAnsi="宋体" w:eastAsia="宋体" w:cs="宋体"/>
                <w:color w:val="auto"/>
                <w:szCs w:val="21"/>
                <w:lang w:eastAsia="zh-CN"/>
              </w:rPr>
              <w:t>、</w:t>
            </w:r>
            <w:r>
              <w:rPr>
                <w:rFonts w:hint="eastAsia" w:ascii="宋体" w:hAnsi="宋体" w:eastAsia="宋体" w:cs="宋体"/>
                <w:color w:val="auto"/>
                <w:szCs w:val="21"/>
              </w:rPr>
              <w:t>甘肃省</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四川省、</w:t>
            </w:r>
            <w:r>
              <w:rPr>
                <w:rFonts w:hint="eastAsia" w:ascii="宋体" w:hAnsi="宋体" w:eastAsia="宋体" w:cs="宋体"/>
                <w:color w:val="auto"/>
                <w:szCs w:val="21"/>
              </w:rPr>
              <w:t>深圳市</w:t>
            </w:r>
            <w:r>
              <w:rPr>
                <w:rFonts w:hint="eastAsia" w:ascii="宋体" w:hAnsi="宋体" w:eastAsia="宋体" w:cs="宋体"/>
                <w:color w:val="auto"/>
                <w:szCs w:val="21"/>
                <w:lang w:val="en-US" w:eastAsia="zh-CN"/>
              </w:rPr>
              <w:t>陆续发布细化实施方案。</w:t>
            </w:r>
            <w:r>
              <w:rPr>
                <w:rFonts w:hint="eastAsia" w:ascii="宋体" w:hAnsi="宋体" w:eastAsia="宋体" w:cs="宋体"/>
                <w:color w:val="auto"/>
                <w:szCs w:val="21"/>
              </w:rPr>
              <w:t>随着政策逐步趋严，工业废水处理市场规模逐步扩大。</w:t>
            </w:r>
          </w:p>
          <w:p w14:paraId="428FEB4A">
            <w:pPr>
              <w:spacing w:line="24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水资源费改税，鼓励再生水价值定价，全面促进水资源再生利用</w:t>
            </w:r>
            <w:r>
              <w:rPr>
                <w:rFonts w:hint="eastAsia" w:ascii="宋体" w:hAnsi="宋体" w:eastAsia="宋体" w:cs="宋体"/>
                <w:b/>
                <w:bCs/>
                <w:color w:val="auto"/>
                <w:szCs w:val="21"/>
                <w:lang w:val="en-US" w:eastAsia="zh-CN"/>
              </w:rPr>
              <w:t>和自来水调价 高品质饮用水推广</w:t>
            </w:r>
          </w:p>
          <w:p w14:paraId="264241A3">
            <w:pPr>
              <w:spacing w:line="24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2024年，财政部、国家税务总局、水利部发布《水资源税改革试点实施办法》，明确自2024年12月1日起全面实施水资源费改税试点，对于工业用水前一年度用水效率达到国家用水定额先进值的纳税人，免征或者减征水资源税，进一步加强水资源管理和保护，促进水资源节约集约安全利用。</w:t>
            </w:r>
          </w:p>
          <w:p w14:paraId="6DF17B85">
            <w:pPr>
              <w:numPr>
                <w:ilvl w:val="0"/>
                <w:numId w:val="0"/>
              </w:numPr>
              <w:spacing w:line="240" w:lineRule="auto"/>
              <w:rPr>
                <w:rFonts w:hint="eastAsia" w:ascii="宋体" w:hAnsi="宋体" w:eastAsia="宋体" w:cs="宋体"/>
                <w:b w:val="0"/>
                <w:bCs w:val="0"/>
                <w:color w:val="auto"/>
                <w:u w:val="none"/>
                <w:lang w:val="en-US" w:eastAsia="zh-CN"/>
              </w:rPr>
            </w:pPr>
          </w:p>
          <w:p w14:paraId="107FB940">
            <w:pPr>
              <w:spacing w:line="240" w:lineRule="auto"/>
              <w:rPr>
                <w:rFonts w:hint="eastAsia" w:ascii="宋体" w:hAnsi="宋体" w:eastAsia="宋体" w:cs="宋体"/>
                <w:color w:val="auto"/>
                <w:u w:val="none"/>
              </w:rPr>
            </w:pPr>
          </w:p>
          <w:p w14:paraId="6A2AA9FA">
            <w:pPr>
              <w:pStyle w:val="7"/>
              <w:spacing w:line="240" w:lineRule="auto"/>
              <w:ind w:left="0" w:leftChars="0" w:firstLine="0" w:firstLineChars="0"/>
              <w:rPr>
                <w:rFonts w:hint="eastAsia" w:ascii="宋体" w:hAnsi="宋体" w:eastAsia="宋体" w:cs="宋体"/>
                <w:b/>
                <w:bCs w:val="0"/>
                <w:color w:val="auto"/>
                <w:szCs w:val="21"/>
                <w:u w:val="none"/>
              </w:rPr>
            </w:pPr>
            <w:r>
              <w:rPr>
                <w:rFonts w:hint="eastAsia" w:ascii="宋体" w:hAnsi="宋体" w:eastAsia="宋体" w:cs="宋体"/>
                <w:b/>
                <w:bCs w:val="0"/>
                <w:color w:val="auto"/>
                <w:szCs w:val="21"/>
                <w:u w:val="none"/>
                <w:lang w:val="en-US" w:eastAsia="zh-CN"/>
              </w:rPr>
              <w:t>第二部分</w:t>
            </w:r>
            <w:r>
              <w:rPr>
                <w:rFonts w:hint="eastAsia" w:ascii="宋体" w:hAnsi="宋体" w:eastAsia="宋体" w:cs="宋体"/>
                <w:b/>
                <w:bCs w:val="0"/>
                <w:color w:val="auto"/>
                <w:szCs w:val="21"/>
                <w:u w:val="none"/>
                <w:lang w:eastAsia="zh-CN"/>
              </w:rPr>
              <w:t>：</w:t>
            </w:r>
            <w:r>
              <w:rPr>
                <w:rFonts w:hint="eastAsia" w:ascii="宋体" w:hAnsi="宋体" w:eastAsia="宋体" w:cs="宋体"/>
                <w:b/>
                <w:bCs w:val="0"/>
                <w:color w:val="auto"/>
                <w:szCs w:val="21"/>
                <w:u w:val="none"/>
              </w:rPr>
              <w:t>交流问答环节</w:t>
            </w:r>
          </w:p>
          <w:p w14:paraId="1A49CE8A">
            <w:pPr>
              <w:spacing w:line="240" w:lineRule="auto"/>
              <w:ind w:firstLine="422" w:firstLineChars="200"/>
              <w:jc w:val="left"/>
              <w:rPr>
                <w:rFonts w:hint="eastAsia" w:ascii="宋体" w:hAnsi="宋体" w:eastAsia="宋体" w:cs="宋体"/>
                <w:b/>
                <w:color w:val="auto"/>
                <w:szCs w:val="21"/>
                <w:u w:val="none"/>
                <w:lang w:val="en-US" w:eastAsia="zh-CN"/>
              </w:rPr>
            </w:pPr>
            <w:r>
              <w:rPr>
                <w:rFonts w:hint="eastAsia" w:ascii="宋体" w:hAnsi="宋体" w:eastAsia="宋体" w:cs="宋体"/>
                <w:b/>
                <w:color w:val="auto"/>
                <w:szCs w:val="21"/>
                <w:u w:val="none"/>
                <w:lang w:val="en-US" w:eastAsia="zh-CN"/>
              </w:rPr>
              <w:t>1.请问公司的三化战略相互之间有何联系？</w:t>
            </w:r>
          </w:p>
          <w:p w14:paraId="324856E2">
            <w:pPr>
              <w:spacing w:line="240" w:lineRule="auto"/>
              <w:ind w:firstLine="420" w:firstLineChars="200"/>
              <w:jc w:val="left"/>
              <w:rPr>
                <w:rFonts w:hint="eastAsia" w:ascii="宋体" w:hAnsi="宋体" w:eastAsia="宋体" w:cs="宋体"/>
                <w:color w:val="auto"/>
                <w:u w:val="none"/>
              </w:rPr>
            </w:pPr>
            <w:r>
              <w:rPr>
                <w:rFonts w:hint="eastAsia" w:ascii="宋体" w:hAnsi="宋体" w:eastAsia="宋体" w:cs="宋体"/>
                <w:color w:val="auto"/>
                <w:u w:val="none"/>
              </w:rPr>
              <w:t>答：</w:t>
            </w:r>
            <w:r>
              <w:rPr>
                <w:rFonts w:hint="eastAsia" w:ascii="宋体" w:hAnsi="宋体" w:eastAsia="宋体" w:cs="宋体"/>
                <w:b w:val="0"/>
                <w:bCs w:val="0"/>
                <w:color w:val="auto"/>
                <w:u w:val="none"/>
                <w:lang w:val="en-US" w:eastAsia="zh-CN"/>
              </w:rPr>
              <w:t>公司“资源化、AI数智化、产品化”战略形成有机协同体系并相互依存。</w:t>
            </w:r>
          </w:p>
          <w:p w14:paraId="452E128E">
            <w:pPr>
              <w:spacing w:line="240" w:lineRule="auto"/>
              <w:ind w:firstLine="420" w:firstLineChars="200"/>
              <w:jc w:val="left"/>
              <w:rPr>
                <w:rFonts w:hint="eastAsia" w:ascii="宋体" w:hAnsi="宋体" w:eastAsia="宋体" w:cs="宋体"/>
                <w:color w:val="auto"/>
                <w:u w:val="none"/>
              </w:rPr>
            </w:pPr>
            <w:r>
              <w:rPr>
                <w:rFonts w:hint="eastAsia" w:ascii="宋体" w:hAnsi="宋体" w:eastAsia="宋体" w:cs="宋体"/>
                <w:color w:val="auto"/>
                <w:u w:val="none"/>
              </w:rPr>
              <w:t>“资源化战略”构建水循环生态，通过深度处理与多级、多次循环降低常规水源依赖，为AI数智化和产品化提供核心应用场景。</w:t>
            </w:r>
          </w:p>
          <w:p w14:paraId="5DE50DD5">
            <w:pPr>
              <w:spacing w:line="240" w:lineRule="auto"/>
              <w:ind w:firstLine="420" w:firstLineChars="200"/>
              <w:jc w:val="left"/>
              <w:rPr>
                <w:rFonts w:hint="eastAsia" w:ascii="宋体" w:hAnsi="宋体" w:eastAsia="宋体" w:cs="宋体"/>
                <w:color w:val="auto"/>
                <w:u w:val="none"/>
              </w:rPr>
            </w:pPr>
            <w:r>
              <w:rPr>
                <w:rFonts w:hint="eastAsia" w:ascii="宋体" w:hAnsi="宋体" w:eastAsia="宋体" w:cs="宋体"/>
                <w:color w:val="auto"/>
                <w:u w:val="none"/>
              </w:rPr>
              <w:t>“AI数智化战略”以数据驱动重构水处理范式，将人工经验转化为算法模型，成为资源化效率提升和产品化落地的技术底座。</w:t>
            </w:r>
          </w:p>
          <w:p w14:paraId="01356CBE">
            <w:pPr>
              <w:spacing w:line="240" w:lineRule="auto"/>
              <w:ind w:firstLine="420" w:firstLineChars="200"/>
              <w:jc w:val="left"/>
              <w:rPr>
                <w:rFonts w:hint="eastAsia" w:ascii="宋体" w:hAnsi="宋体" w:eastAsia="宋体" w:cs="宋体"/>
                <w:color w:val="auto"/>
                <w:u w:val="none"/>
              </w:rPr>
            </w:pPr>
            <w:r>
              <w:rPr>
                <w:rFonts w:hint="eastAsia" w:ascii="宋体" w:hAnsi="宋体" w:eastAsia="宋体" w:cs="宋体"/>
                <w:color w:val="auto"/>
                <w:u w:val="none"/>
              </w:rPr>
              <w:t>“产品化战略”通过模块化设计整合前两者成果，将传统水厂工程转化为可量产的智能装备产品，形成</w:t>
            </w:r>
            <w:r>
              <w:rPr>
                <w:rFonts w:hint="eastAsia" w:ascii="宋体" w:hAnsi="宋体" w:eastAsia="宋体" w:cs="宋体"/>
                <w:color w:val="auto"/>
                <w:u w:val="none"/>
                <w:lang w:eastAsia="zh-CN"/>
              </w:rPr>
              <w:t>“</w:t>
            </w:r>
            <w:r>
              <w:rPr>
                <w:rFonts w:hint="eastAsia" w:ascii="宋体" w:hAnsi="宋体" w:eastAsia="宋体" w:cs="宋体"/>
                <w:color w:val="auto"/>
                <w:u w:val="none"/>
              </w:rPr>
              <w:t>工艺优化-AI赋能-产品迭代</w:t>
            </w:r>
            <w:r>
              <w:rPr>
                <w:rFonts w:hint="eastAsia" w:ascii="宋体" w:hAnsi="宋体" w:eastAsia="宋体" w:cs="宋体"/>
                <w:color w:val="auto"/>
                <w:u w:val="none"/>
                <w:lang w:eastAsia="zh-CN"/>
              </w:rPr>
              <w:t>”</w:t>
            </w:r>
            <w:r>
              <w:rPr>
                <w:rFonts w:hint="eastAsia" w:ascii="宋体" w:hAnsi="宋体" w:eastAsia="宋体" w:cs="宋体"/>
                <w:color w:val="auto"/>
                <w:u w:val="none"/>
              </w:rPr>
              <w:t>的正向循环，同时实现资源化技术与AI能力的规模化复制。</w:t>
            </w:r>
          </w:p>
          <w:p w14:paraId="2FAFDF5A">
            <w:pPr>
              <w:spacing w:line="240" w:lineRule="auto"/>
              <w:ind w:firstLine="420" w:firstLineChars="200"/>
              <w:jc w:val="left"/>
              <w:rPr>
                <w:rFonts w:hint="eastAsia" w:ascii="宋体" w:hAnsi="宋体" w:eastAsia="宋体" w:cs="宋体"/>
                <w:color w:val="auto"/>
                <w:u w:val="none"/>
                <w:lang w:eastAsia="zh-CN"/>
              </w:rPr>
            </w:pPr>
            <w:r>
              <w:rPr>
                <w:rFonts w:hint="eastAsia" w:ascii="宋体" w:hAnsi="宋体" w:eastAsia="宋体" w:cs="宋体"/>
                <w:color w:val="auto"/>
                <w:u w:val="none"/>
              </w:rPr>
              <w:t>公司“三化”战略将共同推动水处理产业从“非标准化工程项目建设和人工运营”向“工业化产品生产和智能化运营”的范式跃迁，最终实现全社会用水自由</w:t>
            </w:r>
            <w:r>
              <w:rPr>
                <w:rFonts w:hint="eastAsia" w:ascii="宋体" w:hAnsi="宋体" w:eastAsia="宋体" w:cs="宋体"/>
                <w:color w:val="auto"/>
                <w:u w:val="none"/>
                <w:lang w:eastAsia="zh-CN"/>
              </w:rPr>
              <w:t>。</w:t>
            </w:r>
          </w:p>
          <w:p w14:paraId="49993CA7">
            <w:pPr>
              <w:spacing w:line="240" w:lineRule="auto"/>
              <w:ind w:firstLine="420" w:firstLineChars="200"/>
              <w:jc w:val="left"/>
              <w:rPr>
                <w:rFonts w:hint="eastAsia" w:ascii="宋体" w:hAnsi="宋体" w:eastAsia="宋体" w:cs="宋体"/>
                <w:color w:val="auto"/>
                <w:u w:val="none"/>
              </w:rPr>
            </w:pPr>
          </w:p>
          <w:p w14:paraId="50B8C2A3">
            <w:pPr>
              <w:spacing w:line="240" w:lineRule="auto"/>
              <w:ind w:firstLine="422" w:firstLineChars="200"/>
              <w:jc w:val="left"/>
              <w:rPr>
                <w:rFonts w:hint="eastAsia" w:ascii="宋体" w:hAnsi="宋体" w:eastAsia="宋体" w:cs="宋体"/>
                <w:b/>
                <w:color w:val="auto"/>
                <w:szCs w:val="21"/>
                <w:u w:val="none"/>
                <w:lang w:val="en-US" w:eastAsia="zh-CN"/>
              </w:rPr>
            </w:pPr>
            <w:r>
              <w:rPr>
                <w:rFonts w:hint="eastAsia" w:ascii="宋体" w:hAnsi="宋体" w:eastAsia="宋体" w:cs="宋体"/>
                <w:b/>
                <w:color w:val="auto"/>
                <w:szCs w:val="21"/>
                <w:u w:val="none"/>
                <w:lang w:val="en-US" w:eastAsia="zh-CN"/>
              </w:rPr>
              <w:t>2.请介绍下公司的水萝卜AI智能体？</w:t>
            </w:r>
          </w:p>
          <w:p w14:paraId="65879732">
            <w:pPr>
              <w:spacing w:line="240" w:lineRule="auto"/>
              <w:ind w:firstLine="420" w:firstLineChars="200"/>
              <w:rPr>
                <w:rFonts w:hint="eastAsia" w:ascii="宋体" w:hAnsi="宋体" w:eastAsia="宋体" w:cs="宋体"/>
                <w:bCs/>
                <w:color w:val="auto"/>
                <w:u w:val="none"/>
                <w:lang w:val="en-US" w:eastAsia="zh-CN"/>
              </w:rPr>
            </w:pPr>
            <w:r>
              <w:rPr>
                <w:rFonts w:hint="eastAsia" w:ascii="宋体" w:hAnsi="宋体" w:eastAsia="宋体" w:cs="宋体"/>
                <w:color w:val="auto"/>
                <w:u w:val="none"/>
                <w:lang w:val="en-US" w:eastAsia="zh-CN"/>
              </w:rPr>
              <w:t>答：</w:t>
            </w:r>
            <w:r>
              <w:rPr>
                <w:rFonts w:hint="eastAsia" w:ascii="宋体" w:hAnsi="宋体" w:eastAsia="宋体" w:cs="宋体"/>
                <w:bCs/>
                <w:color w:val="auto"/>
                <w:u w:val="none"/>
              </w:rPr>
              <w:t>“水萝卜®”AI智能体是公司自主研发的智慧水厂运营管理平台，是实现水厂智慧化运营管理的智能体系统，通过应用人工智能(AI)技术实现了水厂的无人值守运营。水萝卜®AI智能体产品功能与核心能力</w:t>
            </w:r>
            <w:r>
              <w:rPr>
                <w:rFonts w:hint="eastAsia" w:ascii="宋体" w:hAnsi="宋体" w:eastAsia="宋体" w:cs="宋体"/>
                <w:bCs/>
                <w:color w:val="auto"/>
                <w:u w:val="none"/>
                <w:lang w:val="en-US" w:eastAsia="zh-CN"/>
              </w:rPr>
              <w:t>包括：</w:t>
            </w:r>
          </w:p>
          <w:p w14:paraId="1DC033E8">
            <w:pPr>
              <w:spacing w:line="240" w:lineRule="auto"/>
              <w:ind w:firstLine="420"/>
              <w:rPr>
                <w:rFonts w:hint="eastAsia" w:ascii="宋体" w:hAnsi="宋体" w:eastAsia="宋体" w:cs="宋体"/>
                <w:bCs/>
                <w:color w:val="auto"/>
                <w:u w:val="none"/>
              </w:rPr>
            </w:pPr>
            <w:r>
              <w:rPr>
                <w:rFonts w:hint="eastAsia" w:ascii="宋体" w:hAnsi="宋体" w:eastAsia="宋体" w:cs="宋体"/>
                <w:bCs/>
                <w:color w:val="auto"/>
                <w:u w:val="none"/>
              </w:rPr>
              <w:t>① AI工况管理</w:t>
            </w:r>
          </w:p>
          <w:p w14:paraId="7193FD7B">
            <w:pPr>
              <w:spacing w:line="240" w:lineRule="auto"/>
              <w:ind w:firstLine="420"/>
              <w:rPr>
                <w:rFonts w:hint="eastAsia" w:ascii="宋体" w:hAnsi="宋体" w:eastAsia="宋体" w:cs="宋体"/>
                <w:bCs/>
                <w:color w:val="auto"/>
                <w:u w:val="none"/>
              </w:rPr>
            </w:pPr>
            <w:r>
              <w:rPr>
                <w:rFonts w:hint="eastAsia" w:ascii="宋体" w:hAnsi="宋体" w:eastAsia="宋体" w:cs="宋体"/>
                <w:bCs/>
                <w:color w:val="auto"/>
                <w:u w:val="none"/>
              </w:rPr>
              <w:t>依托AI工艺优化模型的运行，针对各工艺环节运行数据进行监测分析和优化决策，对工艺工况进行实时打分评估，系统自主生成优化任务，包括自控执行、自主派发保养工单等，以调整水厂运行至最佳状态。</w:t>
            </w:r>
          </w:p>
          <w:p w14:paraId="55704C59">
            <w:pPr>
              <w:spacing w:line="240" w:lineRule="auto"/>
              <w:ind w:firstLine="420"/>
              <w:rPr>
                <w:rFonts w:hint="eastAsia" w:ascii="宋体" w:hAnsi="宋体" w:eastAsia="宋体" w:cs="宋体"/>
                <w:bCs/>
                <w:color w:val="auto"/>
                <w:u w:val="none"/>
              </w:rPr>
            </w:pPr>
            <w:r>
              <w:rPr>
                <w:rFonts w:hint="eastAsia" w:ascii="宋体" w:hAnsi="宋体" w:eastAsia="宋体" w:cs="宋体"/>
                <w:bCs/>
                <w:color w:val="auto"/>
                <w:u w:val="none"/>
              </w:rPr>
              <w:t>② 智慧在线巡检</w:t>
            </w:r>
          </w:p>
          <w:p w14:paraId="502DC521">
            <w:pPr>
              <w:spacing w:line="240" w:lineRule="auto"/>
              <w:ind w:firstLine="420"/>
              <w:jc w:val="both"/>
              <w:rPr>
                <w:rFonts w:hint="eastAsia" w:ascii="宋体" w:hAnsi="宋体" w:eastAsia="宋体" w:cs="宋体"/>
                <w:bCs/>
                <w:color w:val="auto"/>
                <w:u w:val="none"/>
              </w:rPr>
            </w:pPr>
            <w:r>
              <w:rPr>
                <w:rFonts w:hint="eastAsia" w:ascii="宋体" w:hAnsi="宋体" w:eastAsia="宋体" w:cs="宋体"/>
                <w:bCs/>
                <w:color w:val="auto"/>
                <w:u w:val="none"/>
              </w:rPr>
              <w:t>通过AI智能体，定时对水厂进行全面监测并生成监测报告，涵盖工艺异常巡检、环境巡检、设备状态巡检、漏水监测、异响监测、设备故障识别等内容，用户还可以进一步查看报告细节，通过数据进行进一步的分析判断。</w:t>
            </w:r>
          </w:p>
          <w:p w14:paraId="06F051D1">
            <w:pPr>
              <w:spacing w:line="240" w:lineRule="auto"/>
              <w:ind w:firstLine="420"/>
              <w:rPr>
                <w:rFonts w:hint="eastAsia" w:ascii="宋体" w:hAnsi="宋体" w:eastAsia="宋体" w:cs="宋体"/>
                <w:bCs/>
                <w:color w:val="auto"/>
                <w:u w:val="none"/>
              </w:rPr>
            </w:pPr>
            <w:r>
              <w:rPr>
                <w:rFonts w:hint="eastAsia" w:ascii="宋体" w:hAnsi="宋体" w:eastAsia="宋体" w:cs="宋体"/>
                <w:bCs/>
                <w:color w:val="auto"/>
                <w:u w:val="none"/>
              </w:rPr>
              <w:t>③ 智能工单系统</w:t>
            </w:r>
          </w:p>
          <w:p w14:paraId="4C7F75B3">
            <w:pPr>
              <w:spacing w:line="240" w:lineRule="auto"/>
              <w:ind w:firstLine="420"/>
              <w:rPr>
                <w:rFonts w:hint="eastAsia" w:ascii="宋体" w:hAnsi="宋体" w:eastAsia="宋体" w:cs="宋体"/>
                <w:bCs/>
                <w:color w:val="auto"/>
                <w:u w:val="none"/>
              </w:rPr>
            </w:pPr>
            <w:r>
              <w:rPr>
                <w:rFonts w:hint="eastAsia" w:ascii="宋体" w:hAnsi="宋体" w:eastAsia="宋体" w:cs="宋体"/>
                <w:bCs/>
                <w:color w:val="auto"/>
                <w:u w:val="none"/>
              </w:rPr>
              <w:t>水萝卜®智能体具备自主派发工单的能力。当水萝卜®AI智能体运行过程中发现设备异常、漏水事件、环境异常等情况，系统将自主派发工单到指定工作人员，并全程数智化评估、记录工作人员的工单处理质量。</w:t>
            </w:r>
          </w:p>
          <w:p w14:paraId="75B0E1EC">
            <w:pPr>
              <w:spacing w:line="240" w:lineRule="auto"/>
              <w:ind w:firstLine="420" w:firstLineChars="200"/>
              <w:jc w:val="left"/>
              <w:rPr>
                <w:rFonts w:hint="eastAsia" w:ascii="宋体" w:hAnsi="宋体" w:eastAsia="宋体" w:cs="宋体"/>
                <w:color w:val="auto"/>
                <w:u w:val="none"/>
              </w:rPr>
            </w:pPr>
          </w:p>
          <w:p w14:paraId="011E0840">
            <w:pPr>
              <w:spacing w:line="240" w:lineRule="auto"/>
              <w:ind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u w:val="none"/>
                <w:lang w:val="en-US" w:eastAsia="zh-CN"/>
              </w:rPr>
              <w:t>3</w:t>
            </w:r>
            <w:r>
              <w:rPr>
                <w:rFonts w:hint="eastAsia" w:ascii="宋体" w:hAnsi="宋体" w:eastAsia="宋体" w:cs="宋体"/>
                <w:b/>
                <w:color w:val="auto"/>
                <w:u w:val="none"/>
              </w:rPr>
              <w:t>.请介绍下公司</w:t>
            </w:r>
            <w:r>
              <w:rPr>
                <w:rFonts w:hint="eastAsia" w:ascii="宋体" w:hAnsi="宋体" w:eastAsia="宋体" w:cs="宋体"/>
                <w:b/>
                <w:color w:val="auto"/>
                <w:u w:val="none"/>
                <w:lang w:val="en-US" w:eastAsia="zh-CN"/>
              </w:rPr>
              <w:t>2024年末</w:t>
            </w:r>
            <w:r>
              <w:rPr>
                <w:rFonts w:hint="eastAsia" w:ascii="宋体" w:hAnsi="宋体" w:eastAsia="宋体" w:cs="宋体"/>
                <w:b/>
                <w:color w:val="auto"/>
                <w:u w:val="none"/>
              </w:rPr>
              <w:t>在手订单分类情况？</w:t>
            </w:r>
          </w:p>
          <w:p w14:paraId="7B95C09C">
            <w:pPr>
              <w:spacing w:line="240" w:lineRule="auto"/>
              <w:ind w:firstLine="420"/>
              <w:rPr>
                <w:rFonts w:hint="eastAsia" w:ascii="宋体" w:hAnsi="宋体" w:eastAsia="宋体" w:cs="宋体"/>
                <w:color w:val="auto"/>
                <w:u w:val="none"/>
              </w:rPr>
            </w:pPr>
            <w:r>
              <w:rPr>
                <w:rFonts w:hint="eastAsia" w:ascii="宋体" w:hAnsi="宋体" w:eastAsia="宋体" w:cs="宋体"/>
                <w:color w:val="auto"/>
                <w:u w:val="none"/>
              </w:rPr>
              <w:t>答：截至2024年12月31日，公司在手订单合计67,072.86万元，同比减少8.84%。</w:t>
            </w:r>
          </w:p>
          <w:p w14:paraId="689C78A3">
            <w:pPr>
              <w:spacing w:line="240" w:lineRule="auto"/>
              <w:ind w:firstLine="420"/>
              <w:rPr>
                <w:rFonts w:hint="eastAsia" w:ascii="宋体" w:hAnsi="宋体" w:eastAsia="宋体" w:cs="宋体"/>
                <w:color w:val="auto"/>
                <w:u w:val="none"/>
              </w:rPr>
            </w:pPr>
            <w:r>
              <w:rPr>
                <w:rFonts w:hint="eastAsia" w:ascii="宋体" w:hAnsi="宋体" w:eastAsia="宋体" w:cs="宋体"/>
                <w:color w:val="auto"/>
                <w:u w:val="none"/>
              </w:rPr>
              <w:t>按业务类型分类，水处理技术解决方案在手订单27,595.46万元，同比</w:t>
            </w:r>
            <w:r>
              <w:rPr>
                <w:rFonts w:hint="eastAsia" w:ascii="宋体" w:hAnsi="宋体" w:eastAsia="宋体" w:cs="宋体"/>
                <w:color w:val="auto"/>
                <w:u w:val="none"/>
                <w:lang w:val="en-US" w:eastAsia="zh-CN"/>
              </w:rPr>
              <w:t>下降</w:t>
            </w:r>
            <w:r>
              <w:rPr>
                <w:rFonts w:hint="eastAsia" w:ascii="宋体" w:hAnsi="宋体" w:eastAsia="宋体" w:cs="宋体"/>
                <w:color w:val="auto"/>
                <w:u w:val="none"/>
              </w:rPr>
              <w:t>15.67%；污废水资源化产品生产与销售在手订单22,398.14万元，同比</w:t>
            </w:r>
            <w:r>
              <w:rPr>
                <w:rFonts w:hint="eastAsia" w:ascii="宋体" w:hAnsi="宋体" w:eastAsia="宋体" w:cs="宋体"/>
                <w:color w:val="auto"/>
                <w:u w:val="none"/>
                <w:lang w:val="en-US" w:eastAsia="zh-CN"/>
              </w:rPr>
              <w:t>下降</w:t>
            </w:r>
            <w:r>
              <w:rPr>
                <w:rFonts w:hint="eastAsia" w:ascii="宋体" w:hAnsi="宋体" w:eastAsia="宋体" w:cs="宋体"/>
                <w:color w:val="auto"/>
                <w:u w:val="none"/>
              </w:rPr>
              <w:t>3.81%；运维技术服务在手订单17,079.26万元，同比</w:t>
            </w:r>
            <w:r>
              <w:rPr>
                <w:rFonts w:hint="eastAsia" w:ascii="宋体" w:hAnsi="宋体" w:eastAsia="宋体" w:cs="宋体"/>
                <w:color w:val="auto"/>
                <w:u w:val="none"/>
                <w:lang w:val="en-US" w:eastAsia="zh-CN"/>
              </w:rPr>
              <w:t>下降</w:t>
            </w:r>
            <w:r>
              <w:rPr>
                <w:rFonts w:hint="eastAsia" w:ascii="宋体" w:hAnsi="宋体" w:eastAsia="宋体" w:cs="宋体"/>
                <w:color w:val="auto"/>
                <w:u w:val="none"/>
              </w:rPr>
              <w:t>2.79%；</w:t>
            </w:r>
          </w:p>
          <w:p w14:paraId="55CCF143">
            <w:pPr>
              <w:spacing w:line="240" w:lineRule="auto"/>
              <w:ind w:firstLine="420"/>
              <w:rPr>
                <w:rFonts w:hint="eastAsia" w:ascii="宋体" w:hAnsi="宋体" w:eastAsia="宋体" w:cs="宋体"/>
                <w:color w:val="auto"/>
                <w:u w:val="none"/>
              </w:rPr>
            </w:pPr>
            <w:r>
              <w:rPr>
                <w:rFonts w:hint="eastAsia" w:ascii="宋体" w:hAnsi="宋体" w:eastAsia="宋体" w:cs="宋体"/>
                <w:color w:val="auto"/>
                <w:u w:val="none"/>
              </w:rPr>
              <w:t>按服务行业分类，To B业务在手订单36,780.72万元，同比增长8.50%；To G业务在手订单30,292.14万元，同比</w:t>
            </w:r>
            <w:r>
              <w:rPr>
                <w:rFonts w:hint="eastAsia" w:ascii="宋体" w:hAnsi="宋体" w:eastAsia="宋体" w:cs="宋体"/>
                <w:color w:val="auto"/>
                <w:u w:val="none"/>
                <w:lang w:val="en-US" w:eastAsia="zh-CN"/>
              </w:rPr>
              <w:t>下降</w:t>
            </w:r>
            <w:r>
              <w:rPr>
                <w:rFonts w:hint="eastAsia" w:ascii="宋体" w:hAnsi="宋体" w:eastAsia="宋体" w:cs="宋体"/>
                <w:color w:val="auto"/>
                <w:u w:val="none"/>
              </w:rPr>
              <w:t>23.66%；</w:t>
            </w:r>
          </w:p>
          <w:p w14:paraId="688D83AA">
            <w:pPr>
              <w:spacing w:line="240" w:lineRule="auto"/>
              <w:ind w:firstLine="420"/>
              <w:rPr>
                <w:rFonts w:hint="eastAsia" w:ascii="宋体" w:hAnsi="宋体" w:eastAsia="宋体" w:cs="宋体"/>
                <w:color w:val="auto"/>
                <w:u w:val="none"/>
              </w:rPr>
            </w:pPr>
            <w:r>
              <w:rPr>
                <w:rFonts w:hint="eastAsia" w:ascii="宋体" w:hAnsi="宋体" w:eastAsia="宋体" w:cs="宋体"/>
                <w:color w:val="auto"/>
                <w:u w:val="none"/>
              </w:rPr>
              <w:t>按业务领域分类，污废水资源化业务在手订单59,469.55万元，同比</w:t>
            </w:r>
            <w:r>
              <w:rPr>
                <w:rFonts w:hint="eastAsia" w:ascii="宋体" w:hAnsi="宋体" w:eastAsia="宋体" w:cs="宋体"/>
                <w:color w:val="auto"/>
                <w:u w:val="none"/>
                <w:lang w:val="en-US" w:eastAsia="zh-CN"/>
              </w:rPr>
              <w:t>下降</w:t>
            </w:r>
            <w:r>
              <w:rPr>
                <w:rFonts w:hint="eastAsia" w:ascii="宋体" w:hAnsi="宋体" w:eastAsia="宋体" w:cs="宋体"/>
                <w:color w:val="auto"/>
                <w:u w:val="none"/>
              </w:rPr>
              <w:t>0.17%；高品质饮用水业务在手订单7,603.31万元，同比</w:t>
            </w:r>
            <w:r>
              <w:rPr>
                <w:rFonts w:hint="eastAsia" w:ascii="宋体" w:hAnsi="宋体" w:eastAsia="宋体" w:cs="宋体"/>
                <w:color w:val="auto"/>
                <w:u w:val="none"/>
                <w:lang w:val="en-US" w:eastAsia="zh-CN"/>
              </w:rPr>
              <w:t>下降</w:t>
            </w:r>
            <w:r>
              <w:rPr>
                <w:rFonts w:hint="eastAsia" w:ascii="宋体" w:hAnsi="宋体" w:eastAsia="宋体" w:cs="宋体"/>
                <w:color w:val="auto"/>
                <w:u w:val="none"/>
              </w:rPr>
              <w:t>45.73%。</w:t>
            </w:r>
          </w:p>
          <w:p w14:paraId="69BAB04F">
            <w:pPr>
              <w:spacing w:line="240" w:lineRule="auto"/>
              <w:ind w:firstLine="420" w:firstLineChars="200"/>
              <w:rPr>
                <w:rFonts w:hint="eastAsia" w:ascii="宋体" w:hAnsi="宋体" w:eastAsia="宋体" w:cs="宋体"/>
                <w:color w:val="auto"/>
                <w:szCs w:val="21"/>
                <w:u w:val="none"/>
              </w:rPr>
            </w:pPr>
          </w:p>
          <w:p w14:paraId="2B203AE3">
            <w:pPr>
              <w:spacing w:line="240" w:lineRule="auto"/>
              <w:ind w:firstLine="422" w:firstLineChars="200"/>
              <w:rPr>
                <w:rFonts w:hint="eastAsia" w:ascii="宋体" w:hAnsi="宋体" w:eastAsia="宋体" w:cs="宋体"/>
                <w:b/>
                <w:bCs/>
                <w:color w:val="auto"/>
                <w:szCs w:val="21"/>
                <w:u w:val="none"/>
              </w:rPr>
            </w:pPr>
            <w:r>
              <w:rPr>
                <w:rFonts w:hint="eastAsia" w:ascii="宋体" w:hAnsi="宋体" w:eastAsia="宋体" w:cs="宋体"/>
                <w:b/>
                <w:bCs/>
                <w:color w:val="auto"/>
                <w:szCs w:val="21"/>
                <w:u w:val="none"/>
                <w:lang w:val="en-US" w:eastAsia="zh-CN"/>
              </w:rPr>
              <w:t>4</w:t>
            </w:r>
            <w:r>
              <w:rPr>
                <w:rFonts w:hint="eastAsia" w:ascii="宋体" w:hAnsi="宋体" w:eastAsia="宋体" w:cs="宋体"/>
                <w:b/>
                <w:bCs/>
                <w:color w:val="auto"/>
                <w:szCs w:val="21"/>
                <w:u w:val="none"/>
              </w:rPr>
              <w:t>.请介绍公司的毛利情况？</w:t>
            </w:r>
          </w:p>
          <w:p w14:paraId="7D586F2F">
            <w:pPr>
              <w:spacing w:line="240" w:lineRule="auto"/>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u w:val="none"/>
              </w:rPr>
              <w:t xml:space="preserve"> 答：公司年初至报告期末营业毛利为22,322.69万元，同比增加0.12%，其中水处理技术解决方案项目毛利10,875.94万元 ，占总毛利的48.72%，同比下降29.75%；中长期业务毛利11,332.67万元，占总毛利的50.77%，同比增加67.73%。公司综合毛利率36.17%</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期间波动主要受个别项目影响，公司目前毛利水平保持稳定。</w:t>
            </w:r>
          </w:p>
          <w:p w14:paraId="6D4BEBDD">
            <w:pPr>
              <w:spacing w:line="240" w:lineRule="auto"/>
              <w:ind w:firstLine="420" w:firstLineChars="200"/>
              <w:rPr>
                <w:rFonts w:hint="eastAsia" w:ascii="宋体" w:hAnsi="宋体" w:eastAsia="宋体" w:cs="宋体"/>
                <w:color w:val="auto"/>
                <w:szCs w:val="21"/>
                <w:u w:val="none"/>
              </w:rPr>
            </w:pPr>
          </w:p>
          <w:p w14:paraId="23B942F4">
            <w:pPr>
              <w:spacing w:line="240" w:lineRule="auto"/>
              <w:ind w:firstLine="422" w:firstLineChars="200"/>
              <w:rPr>
                <w:rFonts w:hint="eastAsia" w:ascii="宋体" w:hAnsi="宋体" w:eastAsia="宋体" w:cs="宋体"/>
                <w:b/>
                <w:bCs/>
                <w:color w:val="auto"/>
                <w:szCs w:val="21"/>
                <w:u w:val="none"/>
              </w:rPr>
            </w:pPr>
            <w:r>
              <w:rPr>
                <w:rFonts w:hint="eastAsia" w:ascii="宋体" w:hAnsi="宋体" w:eastAsia="宋体" w:cs="宋体"/>
                <w:b/>
                <w:bCs/>
                <w:color w:val="auto"/>
                <w:szCs w:val="21"/>
                <w:u w:val="none"/>
                <w:lang w:val="en-US" w:eastAsia="zh-CN"/>
              </w:rPr>
              <w:t>5.</w:t>
            </w:r>
            <w:r>
              <w:rPr>
                <w:rFonts w:hint="eastAsia" w:ascii="宋体" w:hAnsi="宋体" w:eastAsia="宋体" w:cs="宋体"/>
                <w:b/>
                <w:bCs/>
                <w:color w:val="auto"/>
                <w:szCs w:val="21"/>
                <w:u w:val="none"/>
              </w:rPr>
              <w:t xml:space="preserve">公司销售力量如何规划？ </w:t>
            </w:r>
          </w:p>
          <w:p w14:paraId="61230F62">
            <w:pPr>
              <w:spacing w:line="240" w:lineRule="auto"/>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u w:val="none"/>
              </w:rPr>
              <w:t>答：由于新水岛®是标准化装备产品，公司可以通过与水务集团、工程公司、设备公司、金融机构或者城市合伙人等达成渠道合作关系，提高推广销售效率。</w:t>
            </w:r>
          </w:p>
          <w:p w14:paraId="29225BAD">
            <w:pPr>
              <w:spacing w:line="240" w:lineRule="auto"/>
              <w:ind w:firstLine="420" w:firstLineChars="200"/>
              <w:rPr>
                <w:rFonts w:hint="eastAsia" w:ascii="宋体" w:hAnsi="宋体" w:eastAsia="宋体" w:cs="宋体"/>
                <w:color w:val="auto"/>
                <w:szCs w:val="21"/>
                <w:u w:val="none"/>
              </w:rPr>
            </w:pPr>
          </w:p>
          <w:p w14:paraId="652E50C1">
            <w:pPr>
              <w:spacing w:line="240" w:lineRule="auto"/>
              <w:ind w:firstLine="422" w:firstLineChars="200"/>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 xml:space="preserve">6.关于公司未来分红规划？ </w:t>
            </w:r>
          </w:p>
          <w:p w14:paraId="0CF8C08D">
            <w:pPr>
              <w:spacing w:line="240" w:lineRule="auto"/>
              <w:ind w:firstLine="420" w:firstLineChars="200"/>
              <w:rPr>
                <w:rFonts w:hint="eastAsia" w:ascii="宋体" w:hAnsi="宋体" w:eastAsia="宋体" w:cs="宋体"/>
                <w:b w:val="0"/>
                <w:bCs w:val="0"/>
                <w:color w:val="auto"/>
                <w:szCs w:val="21"/>
                <w:u w:val="none"/>
                <w:lang w:val="en-US" w:eastAsia="zh-CN"/>
              </w:rPr>
            </w:pPr>
            <w:r>
              <w:rPr>
                <w:rFonts w:hint="eastAsia" w:ascii="宋体" w:hAnsi="宋体" w:eastAsia="宋体" w:cs="宋体"/>
                <w:b w:val="0"/>
                <w:bCs w:val="0"/>
                <w:color w:val="auto"/>
                <w:szCs w:val="21"/>
                <w:u w:val="none"/>
                <w:lang w:val="en-US" w:eastAsia="zh-CN"/>
              </w:rPr>
              <w:t xml:space="preserve">答：公司在2024年初制定了3年（2023年-2025年）股东回报规划并披露。 </w:t>
            </w:r>
          </w:p>
          <w:p w14:paraId="3E7F3B15">
            <w:pPr>
              <w:spacing w:line="240" w:lineRule="auto"/>
              <w:ind w:firstLine="420" w:firstLineChars="200"/>
              <w:rPr>
                <w:rFonts w:hint="eastAsia" w:ascii="宋体" w:hAnsi="宋体" w:eastAsia="宋体" w:cs="宋体"/>
                <w:b w:val="0"/>
                <w:bCs w:val="0"/>
                <w:color w:val="auto"/>
                <w:szCs w:val="21"/>
                <w:u w:val="none"/>
                <w:lang w:val="en-US" w:eastAsia="zh-CN"/>
              </w:rPr>
            </w:pPr>
            <w:r>
              <w:rPr>
                <w:rFonts w:hint="eastAsia" w:ascii="宋体" w:hAnsi="宋体" w:eastAsia="宋体" w:cs="宋体"/>
                <w:b w:val="0"/>
                <w:bCs w:val="0"/>
                <w:color w:val="auto"/>
                <w:szCs w:val="21"/>
                <w:u w:val="none"/>
                <w:lang w:val="en-US" w:eastAsia="zh-CN"/>
              </w:rPr>
              <w:t xml:space="preserve">目前，基于股东回报规划，同时为了提高股东回报及时性，公司已实施了2023年度利润分配方案及2024年前三季度利润分配方案，分别向全体股东每10股派发现金红利人民币4.10元，两年分红总额为人民币100,166,404.64元。 </w:t>
            </w:r>
          </w:p>
          <w:p w14:paraId="510363DF">
            <w:pPr>
              <w:spacing w:line="240" w:lineRule="auto"/>
              <w:ind w:firstLine="420" w:firstLineChars="200"/>
              <w:rPr>
                <w:rFonts w:hint="eastAsia" w:ascii="宋体" w:hAnsi="宋体" w:eastAsia="宋体" w:cs="宋体"/>
                <w:b w:val="0"/>
                <w:bCs w:val="0"/>
                <w:color w:val="auto"/>
                <w:szCs w:val="21"/>
                <w:u w:val="none"/>
                <w:lang w:val="en-US" w:eastAsia="zh-CN"/>
              </w:rPr>
            </w:pPr>
            <w:r>
              <w:rPr>
                <w:rFonts w:hint="eastAsia" w:ascii="宋体" w:hAnsi="宋体" w:eastAsia="宋体" w:cs="宋体"/>
                <w:b w:val="0"/>
                <w:bCs w:val="0"/>
                <w:color w:val="auto"/>
                <w:szCs w:val="21"/>
                <w:u w:val="none"/>
                <w:lang w:val="en-US" w:eastAsia="zh-CN"/>
              </w:rPr>
              <w:t>公司希望在兼顾公司生产经营的资金需求及可持续发展的基础上，科学平衡安排股东短期回报和公司长期发展，真正体现“以投资者为本”的公司发展理念。</w:t>
            </w:r>
          </w:p>
          <w:p w14:paraId="59157CE7">
            <w:pPr>
              <w:spacing w:line="240" w:lineRule="auto"/>
              <w:ind w:firstLine="420" w:firstLineChars="200"/>
              <w:rPr>
                <w:rFonts w:hint="eastAsia" w:ascii="宋体" w:hAnsi="宋体" w:eastAsia="宋体" w:cs="宋体"/>
                <w:color w:val="auto"/>
                <w:szCs w:val="21"/>
                <w:u w:val="none"/>
              </w:rPr>
            </w:pPr>
          </w:p>
        </w:tc>
      </w:tr>
      <w:tr w14:paraId="3B9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4AAB5B85">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附件清单</w:t>
            </w:r>
          </w:p>
          <w:p w14:paraId="2AE2E17F">
            <w:pPr>
              <w:spacing w:line="240" w:lineRule="auto"/>
              <w:jc w:val="center"/>
              <w:rPr>
                <w:rFonts w:hint="eastAsia" w:ascii="宋体" w:hAnsi="宋体" w:eastAsia="宋体" w:cs="宋体"/>
                <w:color w:val="auto"/>
                <w:szCs w:val="21"/>
                <w:u w:val="none"/>
              </w:rPr>
            </w:pPr>
            <w:r>
              <w:rPr>
                <w:rFonts w:hint="eastAsia" w:ascii="宋体" w:hAnsi="宋体" w:eastAsia="宋体" w:cs="宋体"/>
                <w:b/>
                <w:bCs/>
                <w:color w:val="auto"/>
                <w:szCs w:val="21"/>
                <w:u w:val="none"/>
              </w:rPr>
              <w:t>（如有）</w:t>
            </w:r>
          </w:p>
        </w:tc>
        <w:tc>
          <w:tcPr>
            <w:tcW w:w="7229" w:type="dxa"/>
            <w:vAlign w:val="center"/>
          </w:tcPr>
          <w:p w14:paraId="5CF1995B">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无</w:t>
            </w:r>
          </w:p>
        </w:tc>
      </w:tr>
      <w:tr w14:paraId="13A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61CDEB5D">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日期</w:t>
            </w:r>
          </w:p>
        </w:tc>
        <w:tc>
          <w:tcPr>
            <w:tcW w:w="7229" w:type="dxa"/>
            <w:vAlign w:val="center"/>
          </w:tcPr>
          <w:p w14:paraId="33CB2747">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202</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年</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月</w:t>
            </w:r>
            <w:r>
              <w:rPr>
                <w:rFonts w:hint="eastAsia" w:ascii="宋体" w:hAnsi="宋体" w:eastAsia="宋体" w:cs="宋体"/>
                <w:color w:val="auto"/>
                <w:szCs w:val="21"/>
                <w:u w:val="none"/>
                <w:lang w:val="en-US" w:eastAsia="zh-CN"/>
              </w:rPr>
              <w:t>8</w:t>
            </w:r>
            <w:r>
              <w:rPr>
                <w:rFonts w:hint="eastAsia" w:ascii="宋体" w:hAnsi="宋体" w:eastAsia="宋体" w:cs="宋体"/>
                <w:color w:val="auto"/>
                <w:szCs w:val="21"/>
                <w:u w:val="none"/>
              </w:rPr>
              <w:t>日</w:t>
            </w:r>
          </w:p>
        </w:tc>
      </w:tr>
    </w:tbl>
    <w:p w14:paraId="2BC22078">
      <w:pPr>
        <w:rPr>
          <w:rFonts w:ascii="宋体" w:hAnsi="宋体" w:eastAsia="宋体"/>
          <w:sz w:val="20"/>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E048">
    <w:pPr>
      <w:pStyle w:val="6"/>
      <w:rPr>
        <w:rFonts w:ascii="宋体" w:hAnsi="宋体" w:eastAsia="宋体"/>
      </w:rPr>
    </w:pPr>
    <w:r>
      <w:rPr>
        <w:rFonts w:hint="eastAsia" w:ascii="宋体" w:hAnsi="宋体" w:eastAsia="宋体"/>
      </w:rPr>
      <w:t>证券代码：6</w:t>
    </w:r>
    <w:r>
      <w:rPr>
        <w:rFonts w:ascii="宋体" w:hAnsi="宋体" w:eastAsia="宋体"/>
      </w:rPr>
      <w:t>88466</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w:t>
    </w:r>
    <w:r>
      <w:rPr>
        <w:rFonts w:hint="eastAsia" w:ascii="宋体" w:hAnsi="宋体" w:eastAsia="宋体"/>
        <w:lang w:eastAsia="zh-Hans"/>
      </w:rPr>
      <w:t>金科环境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000035D7"/>
    <w:rsid w:val="0001078F"/>
    <w:rsid w:val="00011C93"/>
    <w:rsid w:val="00014375"/>
    <w:rsid w:val="00027983"/>
    <w:rsid w:val="000442AF"/>
    <w:rsid w:val="000565EF"/>
    <w:rsid w:val="00056D76"/>
    <w:rsid w:val="00065DB5"/>
    <w:rsid w:val="00071508"/>
    <w:rsid w:val="00076595"/>
    <w:rsid w:val="00076BD8"/>
    <w:rsid w:val="00082E2E"/>
    <w:rsid w:val="00095562"/>
    <w:rsid w:val="000971E0"/>
    <w:rsid w:val="00097DEE"/>
    <w:rsid w:val="000A33AC"/>
    <w:rsid w:val="000B0FD6"/>
    <w:rsid w:val="000D1531"/>
    <w:rsid w:val="000D2076"/>
    <w:rsid w:val="000D632A"/>
    <w:rsid w:val="000E591F"/>
    <w:rsid w:val="000F1269"/>
    <w:rsid w:val="000F135B"/>
    <w:rsid w:val="000F2333"/>
    <w:rsid w:val="000F78F5"/>
    <w:rsid w:val="00101B38"/>
    <w:rsid w:val="0010454E"/>
    <w:rsid w:val="00104F5B"/>
    <w:rsid w:val="001127F4"/>
    <w:rsid w:val="00116CAB"/>
    <w:rsid w:val="001217AD"/>
    <w:rsid w:val="001221B2"/>
    <w:rsid w:val="00124A62"/>
    <w:rsid w:val="00125CBE"/>
    <w:rsid w:val="001276AE"/>
    <w:rsid w:val="0013199C"/>
    <w:rsid w:val="00133E52"/>
    <w:rsid w:val="00134AF2"/>
    <w:rsid w:val="001413A8"/>
    <w:rsid w:val="001546BD"/>
    <w:rsid w:val="00162C87"/>
    <w:rsid w:val="001648E4"/>
    <w:rsid w:val="001664B0"/>
    <w:rsid w:val="00172570"/>
    <w:rsid w:val="001A19CE"/>
    <w:rsid w:val="001A37B1"/>
    <w:rsid w:val="001A3BD7"/>
    <w:rsid w:val="001B0E3F"/>
    <w:rsid w:val="001B2F8E"/>
    <w:rsid w:val="001B4BAC"/>
    <w:rsid w:val="001B5391"/>
    <w:rsid w:val="001B66A6"/>
    <w:rsid w:val="001C295B"/>
    <w:rsid w:val="001C431B"/>
    <w:rsid w:val="001C6429"/>
    <w:rsid w:val="001D71AA"/>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70E7E"/>
    <w:rsid w:val="00277CB8"/>
    <w:rsid w:val="0028017B"/>
    <w:rsid w:val="0029105D"/>
    <w:rsid w:val="00293E9E"/>
    <w:rsid w:val="002A025F"/>
    <w:rsid w:val="002A0966"/>
    <w:rsid w:val="002B7308"/>
    <w:rsid w:val="002D26B4"/>
    <w:rsid w:val="002D42FE"/>
    <w:rsid w:val="002D518A"/>
    <w:rsid w:val="002E0EE2"/>
    <w:rsid w:val="002E273A"/>
    <w:rsid w:val="002E56B0"/>
    <w:rsid w:val="002F12C1"/>
    <w:rsid w:val="002F726C"/>
    <w:rsid w:val="002F7E43"/>
    <w:rsid w:val="00306E8D"/>
    <w:rsid w:val="003126C1"/>
    <w:rsid w:val="0033152E"/>
    <w:rsid w:val="00333EFB"/>
    <w:rsid w:val="00350BAF"/>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D664C"/>
    <w:rsid w:val="003E61F0"/>
    <w:rsid w:val="003F2AE0"/>
    <w:rsid w:val="003F669C"/>
    <w:rsid w:val="00401373"/>
    <w:rsid w:val="00401817"/>
    <w:rsid w:val="0040374D"/>
    <w:rsid w:val="004104AE"/>
    <w:rsid w:val="004120D8"/>
    <w:rsid w:val="00425670"/>
    <w:rsid w:val="00432EED"/>
    <w:rsid w:val="0044643C"/>
    <w:rsid w:val="004523E5"/>
    <w:rsid w:val="004561F6"/>
    <w:rsid w:val="004575CD"/>
    <w:rsid w:val="0046353E"/>
    <w:rsid w:val="00473152"/>
    <w:rsid w:val="004914DB"/>
    <w:rsid w:val="0049469C"/>
    <w:rsid w:val="004A1210"/>
    <w:rsid w:val="004A4107"/>
    <w:rsid w:val="004A6937"/>
    <w:rsid w:val="004B143B"/>
    <w:rsid w:val="004C2DAC"/>
    <w:rsid w:val="004C3CCF"/>
    <w:rsid w:val="004D11BB"/>
    <w:rsid w:val="004D4B02"/>
    <w:rsid w:val="004F2B6C"/>
    <w:rsid w:val="004F4A5D"/>
    <w:rsid w:val="004F55FC"/>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978B8"/>
    <w:rsid w:val="005A1BCA"/>
    <w:rsid w:val="005A6AD7"/>
    <w:rsid w:val="005B37E3"/>
    <w:rsid w:val="005B4595"/>
    <w:rsid w:val="005B4BF0"/>
    <w:rsid w:val="005B55AC"/>
    <w:rsid w:val="005B6123"/>
    <w:rsid w:val="005B7952"/>
    <w:rsid w:val="005C0D11"/>
    <w:rsid w:val="005C6999"/>
    <w:rsid w:val="005D6956"/>
    <w:rsid w:val="005D76D0"/>
    <w:rsid w:val="005E1706"/>
    <w:rsid w:val="005E2633"/>
    <w:rsid w:val="006017D6"/>
    <w:rsid w:val="00601E1A"/>
    <w:rsid w:val="006139C4"/>
    <w:rsid w:val="00615609"/>
    <w:rsid w:val="0062025D"/>
    <w:rsid w:val="00622C51"/>
    <w:rsid w:val="00622CFD"/>
    <w:rsid w:val="00627061"/>
    <w:rsid w:val="0063081D"/>
    <w:rsid w:val="00630FA6"/>
    <w:rsid w:val="00633381"/>
    <w:rsid w:val="006364F2"/>
    <w:rsid w:val="00637038"/>
    <w:rsid w:val="00643A33"/>
    <w:rsid w:val="0065021A"/>
    <w:rsid w:val="00651F36"/>
    <w:rsid w:val="006555DD"/>
    <w:rsid w:val="0066615A"/>
    <w:rsid w:val="006726E0"/>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F1C9C"/>
    <w:rsid w:val="006F29C4"/>
    <w:rsid w:val="006F7643"/>
    <w:rsid w:val="007002D9"/>
    <w:rsid w:val="00703F23"/>
    <w:rsid w:val="00705B63"/>
    <w:rsid w:val="00707759"/>
    <w:rsid w:val="0072061B"/>
    <w:rsid w:val="007276CB"/>
    <w:rsid w:val="007328AA"/>
    <w:rsid w:val="00743CD2"/>
    <w:rsid w:val="00750EAB"/>
    <w:rsid w:val="007614AC"/>
    <w:rsid w:val="007718C6"/>
    <w:rsid w:val="0077224B"/>
    <w:rsid w:val="00774BFA"/>
    <w:rsid w:val="00780AB7"/>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556F"/>
    <w:rsid w:val="007F3E49"/>
    <w:rsid w:val="0080490D"/>
    <w:rsid w:val="00804BD5"/>
    <w:rsid w:val="00804DE4"/>
    <w:rsid w:val="008206D0"/>
    <w:rsid w:val="00823D01"/>
    <w:rsid w:val="008250DE"/>
    <w:rsid w:val="00827A8F"/>
    <w:rsid w:val="008324A0"/>
    <w:rsid w:val="00837FAC"/>
    <w:rsid w:val="008431D3"/>
    <w:rsid w:val="008534E5"/>
    <w:rsid w:val="00855380"/>
    <w:rsid w:val="00863245"/>
    <w:rsid w:val="00865BC6"/>
    <w:rsid w:val="00867E8E"/>
    <w:rsid w:val="00871ECC"/>
    <w:rsid w:val="00876EBC"/>
    <w:rsid w:val="00882EBD"/>
    <w:rsid w:val="00885B40"/>
    <w:rsid w:val="0089250B"/>
    <w:rsid w:val="008950FE"/>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2CFF"/>
    <w:rsid w:val="008F3912"/>
    <w:rsid w:val="008F63AD"/>
    <w:rsid w:val="00906893"/>
    <w:rsid w:val="0091193C"/>
    <w:rsid w:val="0092325E"/>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9F5E4D"/>
    <w:rsid w:val="00A03FF6"/>
    <w:rsid w:val="00A06A5F"/>
    <w:rsid w:val="00A07BC9"/>
    <w:rsid w:val="00A136BA"/>
    <w:rsid w:val="00A31DAD"/>
    <w:rsid w:val="00A41632"/>
    <w:rsid w:val="00A44791"/>
    <w:rsid w:val="00A5109B"/>
    <w:rsid w:val="00A52F30"/>
    <w:rsid w:val="00A57596"/>
    <w:rsid w:val="00A62B73"/>
    <w:rsid w:val="00A644DC"/>
    <w:rsid w:val="00A656BE"/>
    <w:rsid w:val="00A6713B"/>
    <w:rsid w:val="00A7095B"/>
    <w:rsid w:val="00A7391B"/>
    <w:rsid w:val="00A747DF"/>
    <w:rsid w:val="00A80CB0"/>
    <w:rsid w:val="00A81C51"/>
    <w:rsid w:val="00A83BE0"/>
    <w:rsid w:val="00A97D70"/>
    <w:rsid w:val="00AB40C8"/>
    <w:rsid w:val="00AC6DD6"/>
    <w:rsid w:val="00AC7277"/>
    <w:rsid w:val="00AC76C9"/>
    <w:rsid w:val="00AD3A09"/>
    <w:rsid w:val="00AE09CC"/>
    <w:rsid w:val="00AE3BEF"/>
    <w:rsid w:val="00AE5C21"/>
    <w:rsid w:val="00AE6E7E"/>
    <w:rsid w:val="00B06C95"/>
    <w:rsid w:val="00B10A42"/>
    <w:rsid w:val="00B161D3"/>
    <w:rsid w:val="00B2287F"/>
    <w:rsid w:val="00B306A5"/>
    <w:rsid w:val="00B318EF"/>
    <w:rsid w:val="00B36D64"/>
    <w:rsid w:val="00B42F3D"/>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F2AC6"/>
    <w:rsid w:val="00BF603E"/>
    <w:rsid w:val="00BF6A58"/>
    <w:rsid w:val="00C01B19"/>
    <w:rsid w:val="00C036D6"/>
    <w:rsid w:val="00C038FE"/>
    <w:rsid w:val="00C051EE"/>
    <w:rsid w:val="00C05792"/>
    <w:rsid w:val="00C0724F"/>
    <w:rsid w:val="00C15B17"/>
    <w:rsid w:val="00C15CD5"/>
    <w:rsid w:val="00C165F4"/>
    <w:rsid w:val="00C24E88"/>
    <w:rsid w:val="00C253D9"/>
    <w:rsid w:val="00C260C1"/>
    <w:rsid w:val="00C3257E"/>
    <w:rsid w:val="00C35DFE"/>
    <w:rsid w:val="00C500E8"/>
    <w:rsid w:val="00C51214"/>
    <w:rsid w:val="00C515F1"/>
    <w:rsid w:val="00C64711"/>
    <w:rsid w:val="00C71E0C"/>
    <w:rsid w:val="00C73F21"/>
    <w:rsid w:val="00C93138"/>
    <w:rsid w:val="00C93874"/>
    <w:rsid w:val="00C95507"/>
    <w:rsid w:val="00CA05E7"/>
    <w:rsid w:val="00CA4DB0"/>
    <w:rsid w:val="00CA5C16"/>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6244"/>
    <w:rsid w:val="00D26DBF"/>
    <w:rsid w:val="00D341FD"/>
    <w:rsid w:val="00D34471"/>
    <w:rsid w:val="00D34A33"/>
    <w:rsid w:val="00D3615F"/>
    <w:rsid w:val="00D406DE"/>
    <w:rsid w:val="00D41DAA"/>
    <w:rsid w:val="00D433F3"/>
    <w:rsid w:val="00D517DB"/>
    <w:rsid w:val="00D6476F"/>
    <w:rsid w:val="00D6613A"/>
    <w:rsid w:val="00D706B5"/>
    <w:rsid w:val="00D81EAF"/>
    <w:rsid w:val="00D84BA2"/>
    <w:rsid w:val="00D85AF2"/>
    <w:rsid w:val="00D90E2C"/>
    <w:rsid w:val="00D96FF4"/>
    <w:rsid w:val="00D972CA"/>
    <w:rsid w:val="00DA1B06"/>
    <w:rsid w:val="00DA3DB3"/>
    <w:rsid w:val="00DC13E5"/>
    <w:rsid w:val="00DC16A6"/>
    <w:rsid w:val="00DC49DF"/>
    <w:rsid w:val="00DC7823"/>
    <w:rsid w:val="00DD1361"/>
    <w:rsid w:val="00DD4AC4"/>
    <w:rsid w:val="00DF6423"/>
    <w:rsid w:val="00E00594"/>
    <w:rsid w:val="00E0612D"/>
    <w:rsid w:val="00E11464"/>
    <w:rsid w:val="00E20781"/>
    <w:rsid w:val="00E425A1"/>
    <w:rsid w:val="00E42829"/>
    <w:rsid w:val="00E448D9"/>
    <w:rsid w:val="00E456C1"/>
    <w:rsid w:val="00E47721"/>
    <w:rsid w:val="00E77D85"/>
    <w:rsid w:val="00E87A78"/>
    <w:rsid w:val="00E90D0D"/>
    <w:rsid w:val="00EB14B2"/>
    <w:rsid w:val="00EB22D9"/>
    <w:rsid w:val="00EB2D2B"/>
    <w:rsid w:val="00EB62E3"/>
    <w:rsid w:val="00EC0A6E"/>
    <w:rsid w:val="00EE2025"/>
    <w:rsid w:val="00EE6956"/>
    <w:rsid w:val="00EF6AEF"/>
    <w:rsid w:val="00F0175E"/>
    <w:rsid w:val="00F14DF7"/>
    <w:rsid w:val="00F179C2"/>
    <w:rsid w:val="00F214CD"/>
    <w:rsid w:val="00F229D9"/>
    <w:rsid w:val="00F27C2E"/>
    <w:rsid w:val="00F302D5"/>
    <w:rsid w:val="00F32CB8"/>
    <w:rsid w:val="00F340D0"/>
    <w:rsid w:val="00F542E4"/>
    <w:rsid w:val="00F55D07"/>
    <w:rsid w:val="00F56CF5"/>
    <w:rsid w:val="00F57369"/>
    <w:rsid w:val="00F70CA7"/>
    <w:rsid w:val="00F71553"/>
    <w:rsid w:val="00F740C3"/>
    <w:rsid w:val="00F75341"/>
    <w:rsid w:val="00F85411"/>
    <w:rsid w:val="00F87C48"/>
    <w:rsid w:val="00F93EE2"/>
    <w:rsid w:val="00F94A55"/>
    <w:rsid w:val="00FA432B"/>
    <w:rsid w:val="00FA73EB"/>
    <w:rsid w:val="00FB0864"/>
    <w:rsid w:val="00FB19DB"/>
    <w:rsid w:val="00FB3E0E"/>
    <w:rsid w:val="00FB5338"/>
    <w:rsid w:val="00FE3D97"/>
    <w:rsid w:val="00FF35B4"/>
    <w:rsid w:val="00FF44A8"/>
    <w:rsid w:val="034321D6"/>
    <w:rsid w:val="038A1E69"/>
    <w:rsid w:val="07FF58E5"/>
    <w:rsid w:val="0AB067D0"/>
    <w:rsid w:val="0AC92FC0"/>
    <w:rsid w:val="0CBE467B"/>
    <w:rsid w:val="131F376E"/>
    <w:rsid w:val="143C1C0B"/>
    <w:rsid w:val="14F25809"/>
    <w:rsid w:val="156C1118"/>
    <w:rsid w:val="15E0651D"/>
    <w:rsid w:val="15EB4733"/>
    <w:rsid w:val="168F3833"/>
    <w:rsid w:val="18461C09"/>
    <w:rsid w:val="1A43097D"/>
    <w:rsid w:val="1CAB61AD"/>
    <w:rsid w:val="1CCE39BD"/>
    <w:rsid w:val="1E9F35DC"/>
    <w:rsid w:val="1F845C8A"/>
    <w:rsid w:val="20E3151B"/>
    <w:rsid w:val="21A34113"/>
    <w:rsid w:val="239A3F95"/>
    <w:rsid w:val="253B75C0"/>
    <w:rsid w:val="284512D8"/>
    <w:rsid w:val="284970BE"/>
    <w:rsid w:val="2971584D"/>
    <w:rsid w:val="2C163734"/>
    <w:rsid w:val="313C4787"/>
    <w:rsid w:val="31887AB3"/>
    <w:rsid w:val="31C74AB4"/>
    <w:rsid w:val="335858DF"/>
    <w:rsid w:val="337F0EBB"/>
    <w:rsid w:val="33BD3E8D"/>
    <w:rsid w:val="34A01C20"/>
    <w:rsid w:val="35B5229C"/>
    <w:rsid w:val="381B2168"/>
    <w:rsid w:val="397E3EE0"/>
    <w:rsid w:val="3AB143E9"/>
    <w:rsid w:val="3FC8440B"/>
    <w:rsid w:val="3FEB51AC"/>
    <w:rsid w:val="41B2577E"/>
    <w:rsid w:val="429A07C3"/>
    <w:rsid w:val="49883A05"/>
    <w:rsid w:val="4A635BBB"/>
    <w:rsid w:val="4B06354E"/>
    <w:rsid w:val="4BC95DE3"/>
    <w:rsid w:val="4BD14343"/>
    <w:rsid w:val="4C406A42"/>
    <w:rsid w:val="4C975D73"/>
    <w:rsid w:val="501D04CE"/>
    <w:rsid w:val="5200299A"/>
    <w:rsid w:val="52342BF7"/>
    <w:rsid w:val="52A03BD4"/>
    <w:rsid w:val="532A16EF"/>
    <w:rsid w:val="54FB51DA"/>
    <w:rsid w:val="5662719C"/>
    <w:rsid w:val="58AE63FA"/>
    <w:rsid w:val="59E44380"/>
    <w:rsid w:val="5BCE57BB"/>
    <w:rsid w:val="5C6C0922"/>
    <w:rsid w:val="5F5B0FFC"/>
    <w:rsid w:val="5F724D3E"/>
    <w:rsid w:val="624A76B8"/>
    <w:rsid w:val="64DF660A"/>
    <w:rsid w:val="67DC2FF0"/>
    <w:rsid w:val="69014CB8"/>
    <w:rsid w:val="6BAA5389"/>
    <w:rsid w:val="6C2F6884"/>
    <w:rsid w:val="6D716441"/>
    <w:rsid w:val="6FF9E366"/>
    <w:rsid w:val="764A76DD"/>
    <w:rsid w:val="7A8F7F06"/>
    <w:rsid w:val="7AA02113"/>
    <w:rsid w:val="7BA75723"/>
    <w:rsid w:val="7C6D0F22"/>
    <w:rsid w:val="7E8F153A"/>
    <w:rsid w:val="CEEFA1B1"/>
    <w:rsid w:val="F6633EF2"/>
    <w:rsid w:val="FFFD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18"/>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0"/>
    <w:qFormat/>
    <w:uiPriority w:val="10"/>
    <w:pPr>
      <w:spacing w:before="120" w:after="120"/>
      <w:ind w:firstLine="200" w:firstLineChars="200"/>
      <w:jc w:val="left"/>
      <w:outlineLvl w:val="0"/>
    </w:pPr>
    <w:rPr>
      <w:rFonts w:asciiTheme="majorHAnsi" w:hAnsiTheme="majorHAnsi" w:cstheme="majorBidi"/>
      <w:bCs/>
      <w:szCs w:val="32"/>
    </w:rPr>
  </w:style>
  <w:style w:type="paragraph" w:styleId="8">
    <w:name w:val="annotation subject"/>
    <w:basedOn w:val="3"/>
    <w:next w:val="3"/>
    <w:link w:val="22"/>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脚 字符"/>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16">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字符"/>
    <w:basedOn w:val="11"/>
    <w:link w:val="6"/>
    <w:qFormat/>
    <w:uiPriority w:val="99"/>
    <w:rPr>
      <w:sz w:val="18"/>
      <w:szCs w:val="18"/>
    </w:rPr>
  </w:style>
  <w:style w:type="character" w:customStyle="1" w:styleId="18">
    <w:name w:val="批注框文本 字符"/>
    <w:basedOn w:val="11"/>
    <w:link w:val="4"/>
    <w:semiHidden/>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标题 字符"/>
    <w:basedOn w:val="11"/>
    <w:link w:val="7"/>
    <w:qFormat/>
    <w:uiPriority w:val="10"/>
    <w:rPr>
      <w:rFonts w:asciiTheme="majorHAnsi" w:hAnsiTheme="majorHAnsi" w:cstheme="majorBidi"/>
      <w:bCs/>
      <w:szCs w:val="32"/>
    </w:rPr>
  </w:style>
  <w:style w:type="character" w:customStyle="1" w:styleId="21">
    <w:name w:val="批注文字 字符"/>
    <w:basedOn w:val="11"/>
    <w:link w:val="3"/>
    <w:semiHidden/>
    <w:qFormat/>
    <w:uiPriority w:val="99"/>
    <w:rPr>
      <w:kern w:val="2"/>
      <w:sz w:val="21"/>
      <w:szCs w:val="22"/>
    </w:rPr>
  </w:style>
  <w:style w:type="character" w:customStyle="1" w:styleId="22">
    <w:name w:val="批注主题 字符"/>
    <w:basedOn w:val="21"/>
    <w:link w:val="8"/>
    <w:semiHidden/>
    <w:qFormat/>
    <w:uiPriority w:val="99"/>
    <w:rPr>
      <w:b/>
      <w:bCs/>
      <w:kern w:val="2"/>
      <w:sz w:val="21"/>
      <w:szCs w:val="22"/>
    </w:rPr>
  </w:style>
  <w:style w:type="paragraph" w:customStyle="1" w:styleId="23">
    <w:name w:val="6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4456-92EA-4044-827D-0B9D73C4EC9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9464</Words>
  <Characters>10431</Characters>
  <Lines>52</Lines>
  <Paragraphs>14</Paragraphs>
  <TotalTime>28</TotalTime>
  <ScaleCrop>false</ScaleCrop>
  <LinksUpToDate>false</LinksUpToDate>
  <CharactersWithSpaces>10497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2023-05-06T03:21:00Z</dcterms:created>
  <dc:creator>mao olivia</dc:creator>
  <cp:lastModifiedBy>Z</cp:lastModifiedBy>
  <cp:lastPrinted>2020-06-19T09:05:00Z</cp:lastPrinted>
  <dcterms:modified xsi:type="dcterms:W3CDTF">2025-05-08T08:32:09Z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eyJoZGlkIjoiNTg3YWI2ZGM2NjRlMWQxMmE0MmRjZjU2MTNlOWQ4ZDIiLCJ1c2VySWQiOiIzODI0ODA0MDcifQ==</vt:lpwstr>
  </property>
  <property fmtid="{D5CDD505-2E9C-101B-9397-08002B2CF9AE}" pid="4" name="ICV">
    <vt:lpwstr>BEB4A39D87D74692B819E220F31EAAB6_12</vt:lpwstr>
  </property>
</Properties>
</file>