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B4" w:rsidRPr="00EC2F91" w:rsidRDefault="00E579B4" w:rsidP="00A064B5">
      <w:pPr>
        <w:spacing w:beforeLines="150" w:before="468" w:afterLines="50" w:after="156"/>
        <w:jc w:val="center"/>
        <w:rPr>
          <w:rFonts w:ascii="Times New Roman" w:eastAsia="宋体" w:hAnsi="Times New Roman" w:cs="Times New Roman"/>
          <w:b/>
          <w:sz w:val="24"/>
          <w:szCs w:val="24"/>
        </w:rPr>
      </w:pPr>
      <w:r w:rsidRPr="00EC2F91">
        <w:rPr>
          <w:rFonts w:ascii="Times New Roman" w:eastAsia="宋体" w:hAnsi="Times New Roman" w:cs="Times New Roman"/>
          <w:b/>
          <w:sz w:val="24"/>
          <w:szCs w:val="24"/>
        </w:rPr>
        <w:t>河南思维自动化设备股份有限公司投资者关系活动记录表</w:t>
      </w:r>
    </w:p>
    <w:p w:rsidR="007F1D8B" w:rsidRPr="00EC2F91" w:rsidRDefault="007F1D8B" w:rsidP="00A064B5">
      <w:pPr>
        <w:ind w:right="240"/>
        <w:jc w:val="right"/>
        <w:rPr>
          <w:rFonts w:ascii="Times New Roman" w:eastAsia="宋体" w:hAnsi="Times New Roman" w:cs="Times New Roman"/>
          <w:sz w:val="22"/>
          <w:szCs w:val="24"/>
        </w:rPr>
      </w:pPr>
    </w:p>
    <w:tbl>
      <w:tblPr>
        <w:tblStyle w:val="a5"/>
        <w:tblW w:w="9493" w:type="dxa"/>
        <w:jc w:val="center"/>
        <w:tblCellMar>
          <w:left w:w="57" w:type="dxa"/>
          <w:right w:w="57" w:type="dxa"/>
        </w:tblCellMar>
        <w:tblLook w:val="04A0" w:firstRow="1" w:lastRow="0" w:firstColumn="1" w:lastColumn="0" w:noHBand="0" w:noVBand="1"/>
      </w:tblPr>
      <w:tblGrid>
        <w:gridCol w:w="1282"/>
        <w:gridCol w:w="3685"/>
        <w:gridCol w:w="4526"/>
      </w:tblGrid>
      <w:tr w:rsidR="00E579B4" w:rsidRPr="00EC2F91" w:rsidTr="00D84AA6">
        <w:trPr>
          <w:trHeight w:val="49"/>
          <w:jc w:val="center"/>
        </w:trPr>
        <w:tc>
          <w:tcPr>
            <w:tcW w:w="1282" w:type="dxa"/>
            <w:vMerge w:val="restart"/>
            <w:tcBorders>
              <w:top w:val="single" w:sz="4" w:space="0" w:color="auto"/>
              <w:left w:val="single" w:sz="4" w:space="0" w:color="auto"/>
              <w:bottom w:val="nil"/>
              <w:right w:val="single" w:sz="4" w:space="0" w:color="auto"/>
            </w:tcBorders>
            <w:vAlign w:val="center"/>
          </w:tcPr>
          <w:p w:rsidR="00E579B4" w:rsidRPr="00EC2F91" w:rsidRDefault="00E579B4" w:rsidP="00E579B4">
            <w:pPr>
              <w:rPr>
                <w:rFonts w:ascii="Times New Roman" w:eastAsia="宋体" w:hAnsi="Times New Roman" w:cs="Times New Roman"/>
                <w:b/>
                <w:sz w:val="22"/>
                <w:szCs w:val="24"/>
              </w:rPr>
            </w:pPr>
            <w:r w:rsidRPr="00EC2F91">
              <w:rPr>
                <w:rFonts w:ascii="Times New Roman" w:eastAsia="宋体" w:hAnsi="Times New Roman" w:cs="Times New Roman"/>
                <w:b/>
                <w:sz w:val="22"/>
                <w:szCs w:val="24"/>
              </w:rPr>
              <w:t>投资者关系活动类别</w:t>
            </w:r>
          </w:p>
        </w:tc>
        <w:tc>
          <w:tcPr>
            <w:tcW w:w="3685" w:type="dxa"/>
            <w:tcBorders>
              <w:top w:val="single" w:sz="4" w:space="0" w:color="auto"/>
              <w:left w:val="single" w:sz="4" w:space="0" w:color="auto"/>
              <w:bottom w:val="nil"/>
              <w:right w:val="nil"/>
            </w:tcBorders>
            <w:vAlign w:val="center"/>
          </w:tcPr>
          <w:p w:rsidR="00E579B4" w:rsidRPr="00EC2F91" w:rsidRDefault="00A064B5" w:rsidP="00A64E8C">
            <w:pPr>
              <w:spacing w:line="360" w:lineRule="auto"/>
              <w:rPr>
                <w:rFonts w:ascii="宋体" w:eastAsia="宋体" w:hAnsi="宋体" w:cs="Times New Roman"/>
                <w:sz w:val="22"/>
                <w:szCs w:val="24"/>
              </w:rPr>
            </w:pPr>
            <w:r w:rsidRPr="00EC2F91">
              <w:rPr>
                <w:rFonts w:ascii="宋体" w:eastAsia="宋体" w:hAnsi="宋体" w:cs="Times New Roman"/>
                <w:sz w:val="22"/>
                <w:szCs w:val="24"/>
              </w:rPr>
              <w:t>□</w:t>
            </w:r>
            <w:r w:rsidR="00E579B4" w:rsidRPr="00EC2F91">
              <w:rPr>
                <w:rFonts w:ascii="宋体" w:eastAsia="宋体" w:hAnsi="宋体" w:cs="Times New Roman"/>
                <w:sz w:val="22"/>
                <w:szCs w:val="24"/>
              </w:rPr>
              <w:t>特定对象调研</w:t>
            </w:r>
          </w:p>
        </w:tc>
        <w:tc>
          <w:tcPr>
            <w:tcW w:w="4526" w:type="dxa"/>
            <w:tcBorders>
              <w:top w:val="single" w:sz="4" w:space="0" w:color="auto"/>
              <w:left w:val="nil"/>
              <w:bottom w:val="nil"/>
              <w:right w:val="single" w:sz="4" w:space="0" w:color="auto"/>
            </w:tcBorders>
            <w:vAlign w:val="center"/>
          </w:tcPr>
          <w:p w:rsidR="00E579B4" w:rsidRPr="00EC2F91" w:rsidRDefault="00E579B4" w:rsidP="00A64E8C">
            <w:pPr>
              <w:rPr>
                <w:rFonts w:ascii="宋体" w:eastAsia="宋体" w:hAnsi="宋体" w:cs="Times New Roman"/>
                <w:sz w:val="22"/>
                <w:szCs w:val="24"/>
              </w:rPr>
            </w:pPr>
            <w:r w:rsidRPr="00EC2F91">
              <w:rPr>
                <w:rFonts w:ascii="宋体" w:eastAsia="宋体" w:hAnsi="宋体" w:cs="Times New Roman"/>
                <w:sz w:val="22"/>
                <w:szCs w:val="24"/>
              </w:rPr>
              <w:t>□分析</w:t>
            </w:r>
            <w:proofErr w:type="gramStart"/>
            <w:r w:rsidRPr="00EC2F91">
              <w:rPr>
                <w:rFonts w:ascii="宋体" w:eastAsia="宋体" w:hAnsi="宋体" w:cs="Times New Roman"/>
                <w:sz w:val="22"/>
                <w:szCs w:val="24"/>
              </w:rPr>
              <w:t>师会议</w:t>
            </w:r>
            <w:proofErr w:type="gramEnd"/>
          </w:p>
        </w:tc>
      </w:tr>
      <w:tr w:rsidR="00E579B4" w:rsidRPr="00EC2F91" w:rsidTr="00D84AA6">
        <w:trPr>
          <w:trHeight w:val="46"/>
          <w:jc w:val="center"/>
        </w:trPr>
        <w:tc>
          <w:tcPr>
            <w:tcW w:w="1282" w:type="dxa"/>
            <w:vMerge/>
            <w:tcBorders>
              <w:top w:val="nil"/>
              <w:left w:val="single" w:sz="4" w:space="0" w:color="auto"/>
              <w:bottom w:val="nil"/>
              <w:right w:val="single" w:sz="4" w:space="0" w:color="auto"/>
            </w:tcBorders>
            <w:vAlign w:val="center"/>
          </w:tcPr>
          <w:p w:rsidR="00E579B4" w:rsidRPr="00EC2F91" w:rsidRDefault="00E579B4" w:rsidP="00E579B4">
            <w:pPr>
              <w:rPr>
                <w:rFonts w:ascii="Times New Roman" w:eastAsia="宋体" w:hAnsi="Times New Roman" w:cs="Times New Roman"/>
                <w:b/>
                <w:sz w:val="22"/>
                <w:szCs w:val="24"/>
              </w:rPr>
            </w:pPr>
          </w:p>
        </w:tc>
        <w:tc>
          <w:tcPr>
            <w:tcW w:w="3685" w:type="dxa"/>
            <w:tcBorders>
              <w:top w:val="nil"/>
              <w:left w:val="single" w:sz="4" w:space="0" w:color="auto"/>
              <w:bottom w:val="nil"/>
              <w:right w:val="nil"/>
            </w:tcBorders>
            <w:vAlign w:val="center"/>
          </w:tcPr>
          <w:p w:rsidR="00E579B4" w:rsidRPr="00EC2F91" w:rsidRDefault="00E579B4" w:rsidP="00A64E8C">
            <w:pPr>
              <w:spacing w:line="360" w:lineRule="auto"/>
              <w:rPr>
                <w:rFonts w:ascii="宋体" w:eastAsia="宋体" w:hAnsi="宋体" w:cs="Times New Roman"/>
                <w:sz w:val="22"/>
                <w:szCs w:val="24"/>
              </w:rPr>
            </w:pPr>
            <w:r w:rsidRPr="00EC2F91">
              <w:rPr>
                <w:rFonts w:ascii="宋体" w:eastAsia="宋体" w:hAnsi="宋体" w:cs="Times New Roman"/>
                <w:sz w:val="22"/>
                <w:szCs w:val="24"/>
              </w:rPr>
              <w:t>□媒体采访</w:t>
            </w:r>
          </w:p>
        </w:tc>
        <w:tc>
          <w:tcPr>
            <w:tcW w:w="4526" w:type="dxa"/>
            <w:tcBorders>
              <w:top w:val="nil"/>
              <w:left w:val="nil"/>
              <w:bottom w:val="nil"/>
              <w:right w:val="single" w:sz="4" w:space="0" w:color="auto"/>
            </w:tcBorders>
            <w:vAlign w:val="center"/>
          </w:tcPr>
          <w:p w:rsidR="00E579B4" w:rsidRPr="00EC2F91" w:rsidRDefault="00E579B4" w:rsidP="00A64E8C">
            <w:pPr>
              <w:rPr>
                <w:rFonts w:ascii="宋体" w:eastAsia="宋体" w:hAnsi="宋体" w:cs="Times New Roman"/>
                <w:sz w:val="22"/>
                <w:szCs w:val="24"/>
              </w:rPr>
            </w:pPr>
            <w:r w:rsidRPr="00EC2F91">
              <w:rPr>
                <w:rFonts w:ascii="宋体" w:eastAsia="宋体" w:hAnsi="宋体" w:cs="Times New Roman"/>
                <w:sz w:val="22"/>
                <w:szCs w:val="24"/>
              </w:rPr>
              <w:t>□业绩说明会</w:t>
            </w:r>
          </w:p>
        </w:tc>
      </w:tr>
      <w:tr w:rsidR="00E579B4" w:rsidRPr="00EC2F91" w:rsidTr="00D84AA6">
        <w:trPr>
          <w:trHeight w:val="46"/>
          <w:jc w:val="center"/>
        </w:trPr>
        <w:tc>
          <w:tcPr>
            <w:tcW w:w="1282" w:type="dxa"/>
            <w:vMerge/>
            <w:tcBorders>
              <w:top w:val="nil"/>
              <w:left w:val="single" w:sz="4" w:space="0" w:color="auto"/>
              <w:bottom w:val="nil"/>
              <w:right w:val="single" w:sz="4" w:space="0" w:color="auto"/>
            </w:tcBorders>
            <w:vAlign w:val="center"/>
          </w:tcPr>
          <w:p w:rsidR="00E579B4" w:rsidRPr="00EC2F91" w:rsidRDefault="00E579B4" w:rsidP="00E579B4">
            <w:pPr>
              <w:rPr>
                <w:rFonts w:ascii="Times New Roman" w:eastAsia="宋体" w:hAnsi="Times New Roman" w:cs="Times New Roman"/>
                <w:b/>
                <w:sz w:val="22"/>
                <w:szCs w:val="24"/>
              </w:rPr>
            </w:pPr>
          </w:p>
        </w:tc>
        <w:tc>
          <w:tcPr>
            <w:tcW w:w="3685" w:type="dxa"/>
            <w:tcBorders>
              <w:top w:val="nil"/>
              <w:left w:val="single" w:sz="4" w:space="0" w:color="auto"/>
              <w:bottom w:val="nil"/>
              <w:right w:val="nil"/>
            </w:tcBorders>
            <w:vAlign w:val="center"/>
          </w:tcPr>
          <w:p w:rsidR="00E579B4" w:rsidRPr="00EC2F91" w:rsidRDefault="00E579B4" w:rsidP="00A64E8C">
            <w:pPr>
              <w:spacing w:line="360" w:lineRule="auto"/>
              <w:rPr>
                <w:rFonts w:ascii="宋体" w:eastAsia="宋体" w:hAnsi="宋体" w:cs="Times New Roman"/>
                <w:sz w:val="22"/>
                <w:szCs w:val="24"/>
              </w:rPr>
            </w:pPr>
            <w:r w:rsidRPr="00EC2F91">
              <w:rPr>
                <w:rFonts w:ascii="宋体" w:eastAsia="宋体" w:hAnsi="宋体" w:cs="Times New Roman"/>
                <w:sz w:val="22"/>
                <w:szCs w:val="24"/>
              </w:rPr>
              <w:t>□新闻发布会</w:t>
            </w:r>
          </w:p>
        </w:tc>
        <w:tc>
          <w:tcPr>
            <w:tcW w:w="4526" w:type="dxa"/>
            <w:tcBorders>
              <w:top w:val="nil"/>
              <w:left w:val="nil"/>
              <w:bottom w:val="nil"/>
              <w:right w:val="single" w:sz="4" w:space="0" w:color="auto"/>
            </w:tcBorders>
            <w:vAlign w:val="center"/>
          </w:tcPr>
          <w:p w:rsidR="00E579B4" w:rsidRPr="00EC2F91" w:rsidRDefault="00E579B4" w:rsidP="00A64E8C">
            <w:pPr>
              <w:rPr>
                <w:rFonts w:ascii="宋体" w:eastAsia="宋体" w:hAnsi="宋体" w:cs="Times New Roman"/>
                <w:sz w:val="22"/>
                <w:szCs w:val="24"/>
              </w:rPr>
            </w:pPr>
            <w:r w:rsidRPr="00EC2F91">
              <w:rPr>
                <w:rFonts w:ascii="宋体" w:eastAsia="宋体" w:hAnsi="宋体" w:cs="Times New Roman"/>
                <w:sz w:val="22"/>
                <w:szCs w:val="24"/>
              </w:rPr>
              <w:t>□路演活动</w:t>
            </w:r>
          </w:p>
        </w:tc>
      </w:tr>
      <w:tr w:rsidR="00E579B4" w:rsidRPr="00EC2F91" w:rsidTr="00D84AA6">
        <w:trPr>
          <w:trHeight w:val="46"/>
          <w:jc w:val="center"/>
        </w:trPr>
        <w:tc>
          <w:tcPr>
            <w:tcW w:w="1282" w:type="dxa"/>
            <w:vMerge/>
            <w:tcBorders>
              <w:top w:val="nil"/>
              <w:left w:val="single" w:sz="4" w:space="0" w:color="auto"/>
              <w:bottom w:val="nil"/>
              <w:right w:val="single" w:sz="4" w:space="0" w:color="auto"/>
            </w:tcBorders>
            <w:vAlign w:val="center"/>
          </w:tcPr>
          <w:p w:rsidR="00E579B4" w:rsidRPr="00EC2F91" w:rsidRDefault="00E579B4" w:rsidP="00E579B4">
            <w:pPr>
              <w:rPr>
                <w:rFonts w:ascii="Times New Roman" w:eastAsia="宋体" w:hAnsi="Times New Roman" w:cs="Times New Roman"/>
                <w:b/>
                <w:sz w:val="22"/>
                <w:szCs w:val="24"/>
              </w:rPr>
            </w:pPr>
          </w:p>
        </w:tc>
        <w:tc>
          <w:tcPr>
            <w:tcW w:w="3685" w:type="dxa"/>
            <w:tcBorders>
              <w:top w:val="nil"/>
              <w:left w:val="single" w:sz="4" w:space="0" w:color="auto"/>
              <w:bottom w:val="nil"/>
              <w:right w:val="nil"/>
            </w:tcBorders>
            <w:vAlign w:val="center"/>
          </w:tcPr>
          <w:p w:rsidR="00E579B4" w:rsidRPr="00EC2F91" w:rsidRDefault="005D2A70" w:rsidP="00A64E8C">
            <w:pPr>
              <w:spacing w:line="360" w:lineRule="auto"/>
              <w:rPr>
                <w:rFonts w:ascii="宋体" w:eastAsia="宋体" w:hAnsi="宋体" w:cs="Times New Roman"/>
                <w:sz w:val="22"/>
                <w:szCs w:val="24"/>
              </w:rPr>
            </w:pPr>
            <w:r w:rsidRPr="00EC2F91">
              <w:rPr>
                <w:rFonts w:ascii="宋体" w:eastAsia="宋体" w:hAnsi="宋体" w:cs="Times New Roman"/>
                <w:sz w:val="22"/>
                <w:szCs w:val="24"/>
              </w:rPr>
              <w:t>√</w:t>
            </w:r>
            <w:r w:rsidR="00E579B4" w:rsidRPr="005D2A70">
              <w:rPr>
                <w:rFonts w:ascii="宋体" w:eastAsia="宋体" w:hAnsi="宋体" w:cs="Times New Roman"/>
                <w:b/>
                <w:sz w:val="22"/>
                <w:szCs w:val="24"/>
              </w:rPr>
              <w:t>现场调研</w:t>
            </w:r>
          </w:p>
        </w:tc>
        <w:tc>
          <w:tcPr>
            <w:tcW w:w="4526" w:type="dxa"/>
            <w:tcBorders>
              <w:top w:val="nil"/>
              <w:left w:val="nil"/>
              <w:bottom w:val="nil"/>
              <w:right w:val="single" w:sz="4" w:space="0" w:color="auto"/>
            </w:tcBorders>
            <w:vAlign w:val="center"/>
          </w:tcPr>
          <w:p w:rsidR="00E579B4" w:rsidRPr="00EC2F91" w:rsidRDefault="00A064B5" w:rsidP="00A64E8C">
            <w:pPr>
              <w:rPr>
                <w:rFonts w:ascii="宋体" w:eastAsia="宋体" w:hAnsi="宋体" w:cs="Times New Roman"/>
                <w:sz w:val="22"/>
                <w:szCs w:val="24"/>
              </w:rPr>
            </w:pPr>
            <w:r w:rsidRPr="00EC2F91">
              <w:rPr>
                <w:rFonts w:ascii="宋体" w:eastAsia="宋体" w:hAnsi="宋体" w:cs="Times New Roman"/>
                <w:sz w:val="22"/>
                <w:szCs w:val="24"/>
              </w:rPr>
              <w:t>√</w:t>
            </w:r>
            <w:r w:rsidR="00E579B4" w:rsidRPr="005D2A70">
              <w:rPr>
                <w:rFonts w:ascii="宋体" w:eastAsia="宋体" w:hAnsi="宋体" w:cs="Times New Roman"/>
                <w:b/>
                <w:sz w:val="22"/>
                <w:szCs w:val="24"/>
              </w:rPr>
              <w:t>电话会议</w:t>
            </w:r>
          </w:p>
        </w:tc>
      </w:tr>
      <w:tr w:rsidR="00E579B4" w:rsidRPr="00EC2F91" w:rsidTr="00D84AA6">
        <w:trPr>
          <w:trHeight w:val="371"/>
          <w:jc w:val="center"/>
        </w:trPr>
        <w:tc>
          <w:tcPr>
            <w:tcW w:w="1282" w:type="dxa"/>
            <w:vMerge/>
            <w:tcBorders>
              <w:top w:val="nil"/>
              <w:left w:val="single" w:sz="4" w:space="0" w:color="auto"/>
              <w:bottom w:val="single" w:sz="4" w:space="0" w:color="auto"/>
              <w:right w:val="single" w:sz="4" w:space="0" w:color="auto"/>
            </w:tcBorders>
            <w:vAlign w:val="center"/>
          </w:tcPr>
          <w:p w:rsidR="00E579B4" w:rsidRPr="00EC2F91" w:rsidRDefault="00E579B4" w:rsidP="00E579B4">
            <w:pPr>
              <w:rPr>
                <w:rFonts w:ascii="Times New Roman" w:eastAsia="宋体" w:hAnsi="Times New Roman" w:cs="Times New Roman"/>
                <w:b/>
                <w:sz w:val="22"/>
                <w:szCs w:val="24"/>
              </w:rPr>
            </w:pPr>
          </w:p>
        </w:tc>
        <w:tc>
          <w:tcPr>
            <w:tcW w:w="8211" w:type="dxa"/>
            <w:gridSpan w:val="2"/>
            <w:tcBorders>
              <w:top w:val="nil"/>
              <w:left w:val="single" w:sz="4" w:space="0" w:color="auto"/>
            </w:tcBorders>
            <w:vAlign w:val="center"/>
          </w:tcPr>
          <w:p w:rsidR="00E579B4" w:rsidRPr="00EC2F91" w:rsidRDefault="00A064B5" w:rsidP="00A064B5">
            <w:pPr>
              <w:spacing w:line="360" w:lineRule="auto"/>
              <w:rPr>
                <w:rFonts w:ascii="宋体" w:eastAsia="宋体" w:hAnsi="宋体" w:cs="Times New Roman"/>
                <w:sz w:val="22"/>
                <w:szCs w:val="24"/>
              </w:rPr>
            </w:pPr>
            <w:r w:rsidRPr="00EC2F91">
              <w:rPr>
                <w:rFonts w:ascii="宋体" w:eastAsia="宋体" w:hAnsi="宋体" w:cs="Times New Roman"/>
                <w:sz w:val="22"/>
                <w:szCs w:val="24"/>
              </w:rPr>
              <w:t>□</w:t>
            </w:r>
            <w:r w:rsidR="00E579B4" w:rsidRPr="00EC2F91">
              <w:rPr>
                <w:rFonts w:ascii="宋体" w:eastAsia="宋体" w:hAnsi="宋体" w:cs="Times New Roman"/>
                <w:sz w:val="22"/>
                <w:szCs w:val="24"/>
              </w:rPr>
              <w:t xml:space="preserve">其他 </w:t>
            </w:r>
            <w:r w:rsidR="00E579B4" w:rsidRPr="00EC2F91">
              <w:rPr>
                <w:rFonts w:ascii="宋体" w:eastAsia="宋体" w:hAnsi="宋体" w:cs="Times New Roman"/>
                <w:sz w:val="22"/>
                <w:szCs w:val="24"/>
                <w:u w:val="single"/>
              </w:rPr>
              <w:t xml:space="preserve">                   </w:t>
            </w:r>
          </w:p>
        </w:tc>
      </w:tr>
      <w:tr w:rsidR="00E579B4" w:rsidRPr="00EC2F91" w:rsidTr="00D84AA6">
        <w:trPr>
          <w:trHeight w:val="567"/>
          <w:jc w:val="center"/>
        </w:trPr>
        <w:tc>
          <w:tcPr>
            <w:tcW w:w="1282" w:type="dxa"/>
            <w:tcBorders>
              <w:top w:val="single" w:sz="4" w:space="0" w:color="auto"/>
            </w:tcBorders>
            <w:vAlign w:val="center"/>
          </w:tcPr>
          <w:p w:rsidR="00E579B4" w:rsidRPr="00EC2F91" w:rsidRDefault="00E579B4" w:rsidP="00E579B4">
            <w:pPr>
              <w:rPr>
                <w:rFonts w:ascii="Times New Roman" w:eastAsia="宋体" w:hAnsi="Times New Roman" w:cs="Times New Roman"/>
                <w:b/>
                <w:sz w:val="22"/>
                <w:szCs w:val="24"/>
              </w:rPr>
            </w:pPr>
            <w:r w:rsidRPr="00EC2F91">
              <w:rPr>
                <w:rFonts w:ascii="Times New Roman" w:eastAsia="宋体" w:hAnsi="Times New Roman" w:cs="Times New Roman"/>
                <w:b/>
                <w:sz w:val="22"/>
                <w:szCs w:val="24"/>
              </w:rPr>
              <w:t>会议时间</w:t>
            </w:r>
          </w:p>
        </w:tc>
        <w:tc>
          <w:tcPr>
            <w:tcW w:w="8211" w:type="dxa"/>
            <w:gridSpan w:val="2"/>
            <w:vAlign w:val="center"/>
          </w:tcPr>
          <w:p w:rsidR="005F659D" w:rsidRPr="00EC2F91" w:rsidRDefault="00A64E8C" w:rsidP="00A064B5">
            <w:pPr>
              <w:rPr>
                <w:rFonts w:ascii="Times New Roman" w:eastAsia="宋体" w:hAnsi="Times New Roman" w:cs="Times New Roman"/>
                <w:sz w:val="22"/>
                <w:szCs w:val="24"/>
              </w:rPr>
            </w:pPr>
            <w:r w:rsidRPr="00EC2F91">
              <w:rPr>
                <w:rFonts w:ascii="Times New Roman" w:eastAsia="宋体" w:hAnsi="Times New Roman" w:cs="Times New Roman"/>
                <w:sz w:val="22"/>
                <w:szCs w:val="24"/>
              </w:rPr>
              <w:t>2025</w:t>
            </w:r>
            <w:r w:rsidRPr="00EC2F91">
              <w:rPr>
                <w:rFonts w:ascii="Times New Roman" w:eastAsia="宋体" w:hAnsi="Times New Roman" w:cs="Times New Roman"/>
                <w:sz w:val="22"/>
                <w:szCs w:val="24"/>
              </w:rPr>
              <w:t>年</w:t>
            </w:r>
            <w:r w:rsidR="00A064B5" w:rsidRPr="00EC2F91">
              <w:rPr>
                <w:rFonts w:ascii="Times New Roman" w:eastAsia="宋体" w:hAnsi="Times New Roman" w:cs="Times New Roman"/>
                <w:sz w:val="22"/>
                <w:szCs w:val="24"/>
              </w:rPr>
              <w:t>4</w:t>
            </w:r>
            <w:r w:rsidRPr="00EC2F91">
              <w:rPr>
                <w:rFonts w:ascii="Times New Roman" w:eastAsia="宋体" w:hAnsi="Times New Roman" w:cs="Times New Roman"/>
                <w:sz w:val="22"/>
                <w:szCs w:val="24"/>
              </w:rPr>
              <w:t>月</w:t>
            </w:r>
          </w:p>
        </w:tc>
      </w:tr>
      <w:tr w:rsidR="00E579B4" w:rsidRPr="00EC2F91" w:rsidTr="00D84AA6">
        <w:trPr>
          <w:trHeight w:val="567"/>
          <w:jc w:val="center"/>
        </w:trPr>
        <w:tc>
          <w:tcPr>
            <w:tcW w:w="1282" w:type="dxa"/>
            <w:vAlign w:val="center"/>
          </w:tcPr>
          <w:p w:rsidR="00E579B4" w:rsidRPr="00EC2F91" w:rsidRDefault="00E579B4" w:rsidP="00E579B4">
            <w:pPr>
              <w:rPr>
                <w:rFonts w:ascii="Times New Roman" w:eastAsia="宋体" w:hAnsi="Times New Roman" w:cs="Times New Roman"/>
                <w:b/>
                <w:sz w:val="22"/>
                <w:szCs w:val="24"/>
              </w:rPr>
            </w:pPr>
            <w:r w:rsidRPr="00EC2F91">
              <w:rPr>
                <w:rFonts w:ascii="Times New Roman" w:eastAsia="宋体" w:hAnsi="Times New Roman" w:cs="Times New Roman"/>
                <w:b/>
                <w:sz w:val="22"/>
                <w:szCs w:val="24"/>
              </w:rPr>
              <w:t>会议地点</w:t>
            </w:r>
          </w:p>
        </w:tc>
        <w:tc>
          <w:tcPr>
            <w:tcW w:w="8211" w:type="dxa"/>
            <w:gridSpan w:val="2"/>
            <w:vAlign w:val="center"/>
          </w:tcPr>
          <w:p w:rsidR="005F659D" w:rsidRPr="00EC2F91" w:rsidRDefault="005F659D" w:rsidP="00A064B5">
            <w:pPr>
              <w:rPr>
                <w:rFonts w:ascii="Times New Roman" w:eastAsia="宋体" w:hAnsi="Times New Roman" w:cs="Times New Roman"/>
                <w:sz w:val="22"/>
                <w:szCs w:val="24"/>
              </w:rPr>
            </w:pPr>
            <w:r w:rsidRPr="00EC2F91">
              <w:rPr>
                <w:rFonts w:ascii="Times New Roman" w:eastAsia="宋体" w:hAnsi="Times New Roman" w:cs="Times New Roman"/>
                <w:sz w:val="22"/>
                <w:szCs w:val="24"/>
              </w:rPr>
              <w:t>公司会议室</w:t>
            </w:r>
          </w:p>
        </w:tc>
      </w:tr>
      <w:tr w:rsidR="00E579B4" w:rsidRPr="00EC2F91" w:rsidTr="00D84AA6">
        <w:trPr>
          <w:trHeight w:val="567"/>
          <w:jc w:val="center"/>
        </w:trPr>
        <w:tc>
          <w:tcPr>
            <w:tcW w:w="1282" w:type="dxa"/>
            <w:vAlign w:val="center"/>
          </w:tcPr>
          <w:p w:rsidR="00E579B4" w:rsidRPr="00EC2F91" w:rsidRDefault="00E579B4" w:rsidP="00E579B4">
            <w:pPr>
              <w:rPr>
                <w:rFonts w:ascii="Times New Roman" w:eastAsia="宋体" w:hAnsi="Times New Roman" w:cs="Times New Roman"/>
                <w:b/>
                <w:sz w:val="22"/>
                <w:szCs w:val="24"/>
              </w:rPr>
            </w:pPr>
            <w:r w:rsidRPr="00EC2F91">
              <w:rPr>
                <w:rFonts w:ascii="Times New Roman" w:eastAsia="宋体" w:hAnsi="Times New Roman" w:cs="Times New Roman"/>
                <w:b/>
                <w:sz w:val="22"/>
                <w:szCs w:val="24"/>
              </w:rPr>
              <w:t>参与单位</w:t>
            </w:r>
          </w:p>
        </w:tc>
        <w:tc>
          <w:tcPr>
            <w:tcW w:w="8211" w:type="dxa"/>
            <w:gridSpan w:val="2"/>
            <w:vAlign w:val="center"/>
          </w:tcPr>
          <w:p w:rsidR="00E579B4" w:rsidRPr="00EC2F91" w:rsidRDefault="00A064B5" w:rsidP="005D2A70">
            <w:pPr>
              <w:rPr>
                <w:rFonts w:ascii="Times New Roman" w:eastAsia="宋体" w:hAnsi="Times New Roman" w:cs="Times New Roman"/>
                <w:sz w:val="22"/>
                <w:szCs w:val="24"/>
              </w:rPr>
            </w:pPr>
            <w:r w:rsidRPr="00EC2F91">
              <w:rPr>
                <w:rFonts w:ascii="Times New Roman" w:eastAsia="宋体" w:hAnsi="Times New Roman" w:cs="Times New Roman"/>
                <w:sz w:val="22"/>
                <w:szCs w:val="24"/>
              </w:rPr>
              <w:t>申万宏源</w:t>
            </w:r>
            <w:r w:rsidR="005F659D" w:rsidRPr="00EC2F91">
              <w:rPr>
                <w:rFonts w:ascii="Times New Roman" w:eastAsia="宋体" w:hAnsi="Times New Roman" w:cs="Times New Roman"/>
                <w:sz w:val="22"/>
                <w:szCs w:val="24"/>
              </w:rPr>
              <w:t>、</w:t>
            </w:r>
            <w:r w:rsidRPr="00EC2F91">
              <w:rPr>
                <w:rFonts w:ascii="Times New Roman" w:eastAsia="宋体" w:hAnsi="Times New Roman" w:cs="Times New Roman"/>
                <w:sz w:val="22"/>
                <w:szCs w:val="24"/>
              </w:rPr>
              <w:t>长江证券、华泰证券、</w:t>
            </w:r>
            <w:r w:rsidR="00F64A7B" w:rsidRPr="00EC2F91">
              <w:rPr>
                <w:rFonts w:ascii="Times New Roman" w:eastAsia="宋体" w:hAnsi="Times New Roman" w:cs="Times New Roman"/>
                <w:sz w:val="22"/>
                <w:szCs w:val="24"/>
              </w:rPr>
              <w:t>海通证券、西南证券、国海证券、</w:t>
            </w:r>
            <w:r w:rsidR="005D2A70">
              <w:rPr>
                <w:rFonts w:ascii="Times New Roman" w:eastAsia="宋体" w:hAnsi="Times New Roman" w:cs="Times New Roman" w:hint="eastAsia"/>
                <w:sz w:val="22"/>
                <w:szCs w:val="24"/>
              </w:rPr>
              <w:t>中信证券、</w:t>
            </w:r>
            <w:r w:rsidR="005D2A70" w:rsidRPr="003C51B5">
              <w:rPr>
                <w:rFonts w:ascii="Times New Roman" w:eastAsia="宋体" w:hAnsi="Times New Roman" w:cs="Times New Roman" w:hint="eastAsia"/>
                <w:sz w:val="22"/>
                <w:szCs w:val="24"/>
              </w:rPr>
              <w:t>国泰君安证券</w:t>
            </w:r>
            <w:r w:rsidR="005D2A70">
              <w:rPr>
                <w:rFonts w:ascii="Times New Roman" w:eastAsia="宋体" w:hAnsi="Times New Roman" w:cs="Times New Roman" w:hint="eastAsia"/>
                <w:sz w:val="22"/>
                <w:szCs w:val="24"/>
              </w:rPr>
              <w:t>、</w:t>
            </w:r>
            <w:r w:rsidR="005D2A70" w:rsidRPr="003C51B5">
              <w:rPr>
                <w:rFonts w:ascii="Times New Roman" w:eastAsia="宋体" w:hAnsi="Times New Roman" w:cs="Times New Roman" w:hint="eastAsia"/>
                <w:sz w:val="22"/>
                <w:szCs w:val="24"/>
              </w:rPr>
              <w:t>东北证券</w:t>
            </w:r>
            <w:r w:rsidR="005D2A70">
              <w:rPr>
                <w:rFonts w:ascii="Times New Roman" w:eastAsia="宋体" w:hAnsi="Times New Roman" w:cs="Times New Roman" w:hint="eastAsia"/>
                <w:sz w:val="22"/>
                <w:szCs w:val="24"/>
              </w:rPr>
              <w:t>、</w:t>
            </w:r>
            <w:r w:rsidR="005D2A70" w:rsidRPr="00212EB2">
              <w:rPr>
                <w:rFonts w:ascii="Times New Roman" w:eastAsia="宋体" w:hAnsi="Times New Roman" w:cs="Times New Roman" w:hint="eastAsia"/>
                <w:sz w:val="22"/>
                <w:szCs w:val="24"/>
              </w:rPr>
              <w:t>东吴证券</w:t>
            </w:r>
            <w:r w:rsidR="005D2A70">
              <w:rPr>
                <w:rFonts w:ascii="Times New Roman" w:eastAsia="宋体" w:hAnsi="Times New Roman" w:cs="Times New Roman" w:hint="eastAsia"/>
                <w:sz w:val="22"/>
                <w:szCs w:val="24"/>
              </w:rPr>
              <w:t>、</w:t>
            </w:r>
            <w:r w:rsidR="005D2A70" w:rsidRPr="00EC2F91">
              <w:rPr>
                <w:rFonts w:ascii="Times New Roman" w:eastAsia="宋体" w:hAnsi="Times New Roman" w:cs="Times New Roman"/>
                <w:sz w:val="22"/>
                <w:szCs w:val="24"/>
              </w:rPr>
              <w:t>华创证券、</w:t>
            </w:r>
            <w:r w:rsidR="005D2A70" w:rsidRPr="003C51B5">
              <w:rPr>
                <w:rFonts w:ascii="Times New Roman" w:eastAsia="宋体" w:hAnsi="Times New Roman" w:cs="Times New Roman" w:hint="eastAsia"/>
                <w:sz w:val="22"/>
                <w:szCs w:val="24"/>
              </w:rPr>
              <w:t>国融证券</w:t>
            </w:r>
            <w:r w:rsidR="005D2A70">
              <w:rPr>
                <w:rFonts w:ascii="Times New Roman" w:eastAsia="宋体" w:hAnsi="Times New Roman" w:cs="Times New Roman" w:hint="eastAsia"/>
                <w:sz w:val="22"/>
                <w:szCs w:val="24"/>
              </w:rPr>
              <w:t>、</w:t>
            </w:r>
            <w:r w:rsidR="005D2A70" w:rsidRPr="003C51B5">
              <w:rPr>
                <w:rFonts w:ascii="Times New Roman" w:eastAsia="宋体" w:hAnsi="Times New Roman" w:cs="Times New Roman" w:hint="eastAsia"/>
                <w:sz w:val="22"/>
                <w:szCs w:val="24"/>
              </w:rPr>
              <w:t>财通证券</w:t>
            </w:r>
            <w:r w:rsidR="005D2A70">
              <w:rPr>
                <w:rFonts w:ascii="Times New Roman" w:eastAsia="宋体" w:hAnsi="Times New Roman" w:cs="Times New Roman" w:hint="eastAsia"/>
                <w:sz w:val="22"/>
                <w:szCs w:val="24"/>
              </w:rPr>
              <w:t>、</w:t>
            </w:r>
            <w:r w:rsidR="00F64A7B" w:rsidRPr="00EC2F91">
              <w:rPr>
                <w:rFonts w:ascii="Times New Roman" w:eastAsia="宋体" w:hAnsi="Times New Roman" w:cs="Times New Roman"/>
                <w:sz w:val="22"/>
                <w:szCs w:val="24"/>
              </w:rPr>
              <w:t>华安基金、</w:t>
            </w:r>
            <w:r w:rsidR="0006133F" w:rsidRPr="003C51B5">
              <w:rPr>
                <w:rFonts w:ascii="Times New Roman" w:eastAsia="宋体" w:hAnsi="Times New Roman" w:cs="Times New Roman" w:hint="eastAsia"/>
                <w:sz w:val="22"/>
                <w:szCs w:val="24"/>
              </w:rPr>
              <w:t>国泰基金</w:t>
            </w:r>
            <w:r w:rsidR="0006133F">
              <w:rPr>
                <w:rFonts w:ascii="Times New Roman" w:eastAsia="宋体" w:hAnsi="Times New Roman" w:cs="Times New Roman" w:hint="eastAsia"/>
                <w:sz w:val="22"/>
                <w:szCs w:val="24"/>
              </w:rPr>
              <w:t>、</w:t>
            </w:r>
            <w:r w:rsidR="0006133F" w:rsidRPr="003C51B5">
              <w:rPr>
                <w:rFonts w:ascii="Times New Roman" w:eastAsia="宋体" w:hAnsi="Times New Roman" w:cs="Times New Roman" w:hint="eastAsia"/>
                <w:sz w:val="22"/>
                <w:szCs w:val="24"/>
              </w:rPr>
              <w:t>招商基金</w:t>
            </w:r>
            <w:r w:rsidR="0006133F">
              <w:rPr>
                <w:rFonts w:ascii="Times New Roman" w:eastAsia="宋体" w:hAnsi="Times New Roman" w:cs="Times New Roman" w:hint="eastAsia"/>
                <w:sz w:val="22"/>
                <w:szCs w:val="24"/>
              </w:rPr>
              <w:t>、</w:t>
            </w:r>
            <w:proofErr w:type="gramStart"/>
            <w:r w:rsidR="0006133F" w:rsidRPr="003C51B5">
              <w:rPr>
                <w:rFonts w:ascii="Times New Roman" w:eastAsia="宋体" w:hAnsi="Times New Roman" w:cs="Times New Roman" w:hint="eastAsia"/>
                <w:sz w:val="22"/>
                <w:szCs w:val="24"/>
              </w:rPr>
              <w:t>汇添富</w:t>
            </w:r>
            <w:proofErr w:type="gramEnd"/>
            <w:r w:rsidR="0006133F">
              <w:rPr>
                <w:rFonts w:ascii="Times New Roman" w:eastAsia="宋体" w:hAnsi="Times New Roman" w:cs="Times New Roman" w:hint="eastAsia"/>
                <w:sz w:val="22"/>
                <w:szCs w:val="24"/>
              </w:rPr>
              <w:t>、</w:t>
            </w:r>
            <w:r w:rsidRPr="00EC2F91">
              <w:rPr>
                <w:rFonts w:ascii="Times New Roman" w:eastAsia="宋体" w:hAnsi="Times New Roman" w:cs="Times New Roman"/>
                <w:sz w:val="22"/>
                <w:szCs w:val="24"/>
              </w:rPr>
              <w:t>南方基金、</w:t>
            </w:r>
            <w:r w:rsidR="0006133F" w:rsidRPr="00212EB2">
              <w:rPr>
                <w:rFonts w:ascii="Times New Roman" w:eastAsia="宋体" w:hAnsi="Times New Roman" w:cs="Times New Roman" w:hint="eastAsia"/>
                <w:sz w:val="22"/>
                <w:szCs w:val="24"/>
              </w:rPr>
              <w:t>广发基金</w:t>
            </w:r>
            <w:r w:rsidR="0006133F">
              <w:rPr>
                <w:rFonts w:ascii="Times New Roman" w:eastAsia="宋体" w:hAnsi="Times New Roman" w:cs="Times New Roman" w:hint="eastAsia"/>
                <w:sz w:val="22"/>
                <w:szCs w:val="24"/>
              </w:rPr>
              <w:t>、</w:t>
            </w:r>
            <w:r w:rsidR="0006133F" w:rsidRPr="00EC2F91">
              <w:rPr>
                <w:rFonts w:ascii="Times New Roman" w:eastAsia="宋体" w:hAnsi="Times New Roman" w:cs="Times New Roman"/>
                <w:sz w:val="22"/>
                <w:szCs w:val="24"/>
              </w:rPr>
              <w:t>国海富兰克林、</w:t>
            </w:r>
            <w:r w:rsidR="005D2A70" w:rsidRPr="003C51B5">
              <w:rPr>
                <w:rFonts w:ascii="Times New Roman" w:eastAsia="宋体" w:hAnsi="Times New Roman" w:cs="Times New Roman" w:hint="eastAsia"/>
                <w:sz w:val="22"/>
                <w:szCs w:val="24"/>
              </w:rPr>
              <w:t>博时基金</w:t>
            </w:r>
            <w:r w:rsidR="005D2A70">
              <w:rPr>
                <w:rFonts w:ascii="Times New Roman" w:eastAsia="宋体" w:hAnsi="Times New Roman" w:cs="Times New Roman" w:hint="eastAsia"/>
                <w:sz w:val="22"/>
                <w:szCs w:val="24"/>
              </w:rPr>
              <w:t>、</w:t>
            </w:r>
            <w:r w:rsidR="005D2A70" w:rsidRPr="003C51B5">
              <w:rPr>
                <w:rFonts w:ascii="Times New Roman" w:eastAsia="宋体" w:hAnsi="Times New Roman" w:cs="Times New Roman" w:hint="eastAsia"/>
                <w:sz w:val="22"/>
                <w:szCs w:val="24"/>
              </w:rPr>
              <w:t>富国基金</w:t>
            </w:r>
            <w:r w:rsidR="005D2A70">
              <w:rPr>
                <w:rFonts w:ascii="Times New Roman" w:eastAsia="宋体" w:hAnsi="Times New Roman" w:cs="Times New Roman" w:hint="eastAsia"/>
                <w:sz w:val="22"/>
                <w:szCs w:val="24"/>
              </w:rPr>
              <w:t>、</w:t>
            </w:r>
            <w:r w:rsidR="005D2A70" w:rsidRPr="00212EB2">
              <w:rPr>
                <w:rFonts w:ascii="Times New Roman" w:eastAsia="宋体" w:hAnsi="Times New Roman" w:cs="Times New Roman" w:hint="eastAsia"/>
                <w:sz w:val="22"/>
                <w:szCs w:val="24"/>
              </w:rPr>
              <w:t>中国国际金融</w:t>
            </w:r>
            <w:r w:rsidR="005D2A70">
              <w:rPr>
                <w:rFonts w:ascii="Times New Roman" w:eastAsia="宋体" w:hAnsi="Times New Roman" w:cs="Times New Roman" w:hint="eastAsia"/>
                <w:sz w:val="22"/>
                <w:szCs w:val="24"/>
              </w:rPr>
              <w:t>、</w:t>
            </w:r>
            <w:r w:rsidR="005D2A70" w:rsidRPr="00212EB2">
              <w:rPr>
                <w:rFonts w:ascii="Times New Roman" w:eastAsia="宋体" w:hAnsi="Times New Roman" w:cs="Times New Roman" w:hint="eastAsia"/>
                <w:sz w:val="22"/>
                <w:szCs w:val="24"/>
              </w:rPr>
              <w:t>银河基金</w:t>
            </w:r>
            <w:r w:rsidR="005D2A70">
              <w:rPr>
                <w:rFonts w:ascii="Times New Roman" w:eastAsia="宋体" w:hAnsi="Times New Roman" w:cs="Times New Roman" w:hint="eastAsia"/>
                <w:sz w:val="22"/>
                <w:szCs w:val="24"/>
              </w:rPr>
              <w:t>、</w:t>
            </w:r>
            <w:r w:rsidR="005D2A70" w:rsidRPr="00EC2F91">
              <w:rPr>
                <w:rFonts w:ascii="Times New Roman" w:eastAsia="宋体" w:hAnsi="Times New Roman" w:cs="Times New Roman"/>
                <w:sz w:val="22"/>
                <w:szCs w:val="24"/>
              </w:rPr>
              <w:t>阳光资产、兴业基金、</w:t>
            </w:r>
            <w:r w:rsidR="005D2A70" w:rsidRPr="003C51B5">
              <w:rPr>
                <w:rFonts w:ascii="Times New Roman" w:eastAsia="宋体" w:hAnsi="Times New Roman" w:cs="Times New Roman" w:hint="eastAsia"/>
                <w:sz w:val="22"/>
                <w:szCs w:val="24"/>
              </w:rPr>
              <w:t>华夏基金</w:t>
            </w:r>
            <w:r w:rsidR="005D2A70">
              <w:rPr>
                <w:rFonts w:ascii="Times New Roman" w:eastAsia="宋体" w:hAnsi="Times New Roman" w:cs="Times New Roman" w:hint="eastAsia"/>
                <w:sz w:val="22"/>
                <w:szCs w:val="24"/>
              </w:rPr>
              <w:t>、</w:t>
            </w:r>
            <w:r w:rsidR="005D2A70" w:rsidRPr="003C51B5">
              <w:rPr>
                <w:rFonts w:ascii="Times New Roman" w:eastAsia="宋体" w:hAnsi="Times New Roman" w:cs="Times New Roman" w:hint="eastAsia"/>
                <w:sz w:val="22"/>
                <w:szCs w:val="24"/>
              </w:rPr>
              <w:t>长信基金</w:t>
            </w:r>
            <w:r w:rsidR="005D2A70">
              <w:rPr>
                <w:rFonts w:ascii="Times New Roman" w:eastAsia="宋体" w:hAnsi="Times New Roman" w:cs="Times New Roman" w:hint="eastAsia"/>
                <w:sz w:val="22"/>
                <w:szCs w:val="24"/>
              </w:rPr>
              <w:t>、</w:t>
            </w:r>
            <w:r w:rsidRPr="005D2A70">
              <w:rPr>
                <w:rFonts w:ascii="Times New Roman" w:eastAsia="宋体" w:hAnsi="Times New Roman" w:cs="Times New Roman"/>
                <w:sz w:val="22"/>
                <w:szCs w:val="24"/>
              </w:rPr>
              <w:t>民生加</w:t>
            </w:r>
            <w:r w:rsidRPr="00EC2F91">
              <w:rPr>
                <w:rFonts w:ascii="Times New Roman" w:eastAsia="宋体" w:hAnsi="Times New Roman" w:cs="Times New Roman"/>
                <w:sz w:val="22"/>
                <w:szCs w:val="24"/>
              </w:rPr>
              <w:t>银、</w:t>
            </w:r>
            <w:proofErr w:type="gramStart"/>
            <w:r w:rsidRPr="00EC2F91">
              <w:rPr>
                <w:rFonts w:ascii="Times New Roman" w:eastAsia="宋体" w:hAnsi="Times New Roman" w:cs="Times New Roman"/>
                <w:sz w:val="22"/>
                <w:szCs w:val="24"/>
              </w:rPr>
              <w:t>交银施罗</w:t>
            </w:r>
            <w:proofErr w:type="gramEnd"/>
            <w:r w:rsidRPr="00EC2F91">
              <w:rPr>
                <w:rFonts w:ascii="Times New Roman" w:eastAsia="宋体" w:hAnsi="Times New Roman" w:cs="Times New Roman"/>
                <w:sz w:val="22"/>
                <w:szCs w:val="24"/>
              </w:rPr>
              <w:t>德、</w:t>
            </w:r>
            <w:r w:rsidR="005D2A70" w:rsidRPr="003C51B5">
              <w:rPr>
                <w:rFonts w:ascii="Times New Roman" w:eastAsia="宋体" w:hAnsi="Times New Roman" w:cs="Times New Roman" w:hint="eastAsia"/>
                <w:sz w:val="22"/>
                <w:szCs w:val="24"/>
              </w:rPr>
              <w:t>中国人寿</w:t>
            </w:r>
            <w:r w:rsidR="005D2A70">
              <w:rPr>
                <w:rFonts w:ascii="Times New Roman" w:eastAsia="宋体" w:hAnsi="Times New Roman" w:cs="Times New Roman" w:hint="eastAsia"/>
                <w:sz w:val="22"/>
                <w:szCs w:val="24"/>
              </w:rPr>
              <w:t>、</w:t>
            </w:r>
            <w:r w:rsidR="005D2A70" w:rsidRPr="003C51B5">
              <w:rPr>
                <w:rFonts w:ascii="Times New Roman" w:eastAsia="宋体" w:hAnsi="Times New Roman" w:cs="Times New Roman" w:hint="eastAsia"/>
                <w:sz w:val="22"/>
                <w:szCs w:val="24"/>
              </w:rPr>
              <w:t>平安资产</w:t>
            </w:r>
            <w:r w:rsidR="005D2A70">
              <w:rPr>
                <w:rFonts w:ascii="Times New Roman" w:eastAsia="宋体" w:hAnsi="Times New Roman" w:cs="Times New Roman" w:hint="eastAsia"/>
                <w:sz w:val="22"/>
                <w:szCs w:val="24"/>
              </w:rPr>
              <w:t>、</w:t>
            </w:r>
            <w:r w:rsidR="005D2A70" w:rsidRPr="003C51B5">
              <w:rPr>
                <w:rFonts w:ascii="Times New Roman" w:eastAsia="宋体" w:hAnsi="Times New Roman" w:cs="Times New Roman" w:hint="eastAsia"/>
                <w:sz w:val="22"/>
                <w:szCs w:val="24"/>
              </w:rPr>
              <w:t>人保资产</w:t>
            </w:r>
            <w:r w:rsidR="005D2A70">
              <w:rPr>
                <w:rFonts w:ascii="Times New Roman" w:eastAsia="宋体" w:hAnsi="Times New Roman" w:cs="Times New Roman" w:hint="eastAsia"/>
                <w:sz w:val="22"/>
                <w:szCs w:val="24"/>
              </w:rPr>
              <w:t>、</w:t>
            </w:r>
            <w:r w:rsidRPr="00EC2F91">
              <w:rPr>
                <w:rFonts w:ascii="Times New Roman" w:eastAsia="宋体" w:hAnsi="Times New Roman" w:cs="Times New Roman"/>
                <w:sz w:val="22"/>
                <w:szCs w:val="24"/>
              </w:rPr>
              <w:t>太平资产、民生通惠、金鹰基金、东方红基金、金信基金、中信资管、国寿养老基金</w:t>
            </w:r>
            <w:r w:rsidR="003C51B5">
              <w:rPr>
                <w:rFonts w:ascii="Times New Roman" w:eastAsia="宋体" w:hAnsi="Times New Roman" w:cs="Times New Roman"/>
                <w:sz w:val="22"/>
                <w:szCs w:val="24"/>
              </w:rPr>
              <w:t>、</w:t>
            </w:r>
            <w:proofErr w:type="gramStart"/>
            <w:r w:rsidR="003C51B5" w:rsidRPr="003C51B5">
              <w:rPr>
                <w:rFonts w:ascii="Times New Roman" w:eastAsia="宋体" w:hAnsi="Times New Roman" w:cs="Times New Roman" w:hint="eastAsia"/>
                <w:sz w:val="22"/>
                <w:szCs w:val="24"/>
              </w:rPr>
              <w:t>永赢基金</w:t>
            </w:r>
            <w:proofErr w:type="gramEnd"/>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瀚</w:t>
            </w:r>
            <w:proofErr w:type="gramEnd"/>
            <w:r w:rsidR="003C51B5" w:rsidRPr="003C51B5">
              <w:rPr>
                <w:rFonts w:ascii="Times New Roman" w:eastAsia="宋体" w:hAnsi="Times New Roman" w:cs="Times New Roman" w:hint="eastAsia"/>
                <w:sz w:val="22"/>
                <w:szCs w:val="24"/>
              </w:rPr>
              <w:t>伦投资</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大象投资</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国金基金</w:t>
            </w:r>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弘尚资产</w:t>
            </w:r>
            <w:proofErr w:type="gramEnd"/>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彬</w:t>
            </w:r>
            <w:proofErr w:type="gramEnd"/>
            <w:r w:rsidR="003C51B5" w:rsidRPr="003C51B5">
              <w:rPr>
                <w:rFonts w:ascii="Times New Roman" w:eastAsia="宋体" w:hAnsi="Times New Roman" w:cs="Times New Roman" w:hint="eastAsia"/>
                <w:sz w:val="22"/>
                <w:szCs w:val="24"/>
              </w:rPr>
              <w:t>元资本</w:t>
            </w:r>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昭图投资</w:t>
            </w:r>
            <w:proofErr w:type="gramEnd"/>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天弘基金</w:t>
            </w:r>
            <w:proofErr w:type="gramEnd"/>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安联保险资产</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光大永明资产</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银华基金</w:t>
            </w:r>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工银瑞信</w:t>
            </w:r>
            <w:proofErr w:type="gramEnd"/>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国投瑞银</w:t>
            </w:r>
            <w:proofErr w:type="gramEnd"/>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安联基金</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同泰基金</w:t>
            </w:r>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创金合</w:t>
            </w:r>
            <w:proofErr w:type="gramEnd"/>
            <w:r w:rsidR="003C51B5" w:rsidRPr="003C51B5">
              <w:rPr>
                <w:rFonts w:ascii="Times New Roman" w:eastAsia="宋体" w:hAnsi="Times New Roman" w:cs="Times New Roman" w:hint="eastAsia"/>
                <w:sz w:val="22"/>
                <w:szCs w:val="24"/>
              </w:rPr>
              <w:t>信</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安信基金</w:t>
            </w:r>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西部利</w:t>
            </w:r>
            <w:proofErr w:type="gramEnd"/>
            <w:r w:rsidR="003C51B5" w:rsidRPr="003C51B5">
              <w:rPr>
                <w:rFonts w:ascii="Times New Roman" w:eastAsia="宋体" w:hAnsi="Times New Roman" w:cs="Times New Roman" w:hint="eastAsia"/>
                <w:sz w:val="22"/>
                <w:szCs w:val="24"/>
              </w:rPr>
              <w:t>得</w:t>
            </w:r>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天弘基金</w:t>
            </w:r>
            <w:proofErr w:type="gramEnd"/>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中邮资管</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中</w:t>
            </w:r>
            <w:proofErr w:type="gramStart"/>
            <w:r w:rsidR="003C51B5" w:rsidRPr="003C51B5">
              <w:rPr>
                <w:rFonts w:ascii="Times New Roman" w:eastAsia="宋体" w:hAnsi="Times New Roman" w:cs="Times New Roman" w:hint="eastAsia"/>
                <w:sz w:val="22"/>
                <w:szCs w:val="24"/>
              </w:rPr>
              <w:t>银资管</w:t>
            </w:r>
            <w:proofErr w:type="gramEnd"/>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中</w:t>
            </w:r>
            <w:proofErr w:type="gramStart"/>
            <w:r w:rsidR="003C51B5" w:rsidRPr="003C51B5">
              <w:rPr>
                <w:rFonts w:ascii="Times New Roman" w:eastAsia="宋体" w:hAnsi="Times New Roman" w:cs="Times New Roman" w:hint="eastAsia"/>
                <w:sz w:val="22"/>
                <w:szCs w:val="24"/>
              </w:rPr>
              <w:t>信建投自营</w:t>
            </w:r>
            <w:proofErr w:type="gramEnd"/>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中信建投资管</w:t>
            </w:r>
            <w:r w:rsidR="003C51B5">
              <w:rPr>
                <w:rFonts w:ascii="Times New Roman" w:eastAsia="宋体" w:hAnsi="Times New Roman" w:cs="Times New Roman"/>
                <w:sz w:val="22"/>
                <w:szCs w:val="24"/>
              </w:rPr>
              <w:t>、</w:t>
            </w:r>
            <w:r w:rsidR="003C51B5" w:rsidRPr="003C51B5">
              <w:rPr>
                <w:rFonts w:ascii="Times New Roman" w:eastAsia="宋体" w:hAnsi="Times New Roman" w:cs="Times New Roman" w:hint="eastAsia"/>
                <w:sz w:val="22"/>
                <w:szCs w:val="24"/>
              </w:rPr>
              <w:t>红杉资本</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长城财富</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工银理财</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清和泉资本</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玄卜投资</w:t>
            </w:r>
            <w:r w:rsidR="003C51B5">
              <w:rPr>
                <w:rFonts w:ascii="Times New Roman" w:eastAsia="宋体" w:hAnsi="Times New Roman" w:cs="Times New Roman" w:hint="eastAsia"/>
                <w:sz w:val="22"/>
                <w:szCs w:val="24"/>
              </w:rPr>
              <w:t>、</w:t>
            </w:r>
            <w:proofErr w:type="gramStart"/>
            <w:r w:rsidR="003C51B5" w:rsidRPr="003C51B5">
              <w:rPr>
                <w:rFonts w:ascii="Times New Roman" w:eastAsia="宋体" w:hAnsi="Times New Roman" w:cs="Times New Roman" w:hint="eastAsia"/>
                <w:sz w:val="22"/>
                <w:szCs w:val="24"/>
              </w:rPr>
              <w:t>稷</w:t>
            </w:r>
            <w:proofErr w:type="gramEnd"/>
            <w:r w:rsidR="003C51B5" w:rsidRPr="003C51B5">
              <w:rPr>
                <w:rFonts w:ascii="Times New Roman" w:eastAsia="宋体" w:hAnsi="Times New Roman" w:cs="Times New Roman" w:hint="eastAsia"/>
                <w:sz w:val="22"/>
                <w:szCs w:val="24"/>
              </w:rPr>
              <w:t>定资本</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国丰兴华</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正圆投资</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三亚鸿盛</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工银理财</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华夏久盈</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南方东英</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上海混沌</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上海明河</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申万菱信</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上海于翼</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长城财富</w:t>
            </w:r>
            <w:r w:rsidR="003C51B5">
              <w:rPr>
                <w:rFonts w:ascii="Times New Roman" w:eastAsia="宋体" w:hAnsi="Times New Roman" w:cs="Times New Roman" w:hint="eastAsia"/>
                <w:sz w:val="22"/>
                <w:szCs w:val="24"/>
              </w:rPr>
              <w:t>、</w:t>
            </w:r>
            <w:r w:rsidR="003C51B5" w:rsidRPr="003C51B5">
              <w:rPr>
                <w:rFonts w:ascii="Times New Roman" w:eastAsia="宋体" w:hAnsi="Times New Roman" w:cs="Times New Roman" w:hint="eastAsia"/>
                <w:sz w:val="22"/>
                <w:szCs w:val="24"/>
              </w:rPr>
              <w:t>上海度势</w:t>
            </w:r>
            <w:r w:rsidR="003C51B5">
              <w:rPr>
                <w:rFonts w:ascii="Times New Roman" w:eastAsia="宋体" w:hAnsi="Times New Roman" w:cs="Times New Roman" w:hint="eastAsia"/>
                <w:sz w:val="22"/>
                <w:szCs w:val="24"/>
              </w:rPr>
              <w:t>、</w:t>
            </w:r>
            <w:r w:rsidR="00212EB2" w:rsidRPr="00212EB2">
              <w:rPr>
                <w:rFonts w:ascii="Times New Roman" w:eastAsia="宋体" w:hAnsi="Times New Roman" w:cs="Times New Roman" w:hint="eastAsia"/>
                <w:sz w:val="22"/>
                <w:szCs w:val="24"/>
              </w:rPr>
              <w:t>农银理财</w:t>
            </w:r>
            <w:r w:rsidR="00212EB2">
              <w:rPr>
                <w:rFonts w:ascii="Times New Roman" w:eastAsia="宋体" w:hAnsi="Times New Roman" w:cs="Times New Roman" w:hint="eastAsia"/>
                <w:sz w:val="22"/>
                <w:szCs w:val="24"/>
              </w:rPr>
              <w:t>、</w:t>
            </w:r>
            <w:r w:rsidR="00212EB2" w:rsidRPr="00212EB2">
              <w:rPr>
                <w:rFonts w:ascii="Times New Roman" w:eastAsia="宋体" w:hAnsi="Times New Roman" w:cs="Times New Roman" w:hint="eastAsia"/>
                <w:sz w:val="22"/>
                <w:szCs w:val="24"/>
              </w:rPr>
              <w:t>上海</w:t>
            </w:r>
            <w:proofErr w:type="gramStart"/>
            <w:r w:rsidR="00212EB2" w:rsidRPr="00212EB2">
              <w:rPr>
                <w:rFonts w:ascii="Times New Roman" w:eastAsia="宋体" w:hAnsi="Times New Roman" w:cs="Times New Roman" w:hint="eastAsia"/>
                <w:sz w:val="22"/>
                <w:szCs w:val="24"/>
              </w:rPr>
              <w:t>银行资管部</w:t>
            </w:r>
            <w:proofErr w:type="gramEnd"/>
            <w:r w:rsidR="00212EB2">
              <w:rPr>
                <w:rFonts w:ascii="Times New Roman" w:eastAsia="宋体" w:hAnsi="Times New Roman" w:cs="Times New Roman" w:hint="eastAsia"/>
                <w:sz w:val="22"/>
                <w:szCs w:val="24"/>
              </w:rPr>
              <w:t>、</w:t>
            </w:r>
            <w:r w:rsidR="00212EB2" w:rsidRPr="00212EB2">
              <w:rPr>
                <w:rFonts w:ascii="Times New Roman" w:eastAsia="宋体" w:hAnsi="Times New Roman" w:cs="Times New Roman" w:hint="eastAsia"/>
                <w:sz w:val="22"/>
                <w:szCs w:val="24"/>
              </w:rPr>
              <w:t>深圳宏鼎</w:t>
            </w:r>
            <w:r w:rsidR="00212EB2">
              <w:rPr>
                <w:rFonts w:ascii="Times New Roman" w:eastAsia="宋体" w:hAnsi="Times New Roman" w:cs="Times New Roman" w:hint="eastAsia"/>
                <w:sz w:val="22"/>
                <w:szCs w:val="24"/>
              </w:rPr>
              <w:t>、</w:t>
            </w:r>
            <w:proofErr w:type="gramStart"/>
            <w:r w:rsidR="00212EB2" w:rsidRPr="00212EB2">
              <w:rPr>
                <w:rFonts w:ascii="Times New Roman" w:eastAsia="宋体" w:hAnsi="Times New Roman" w:cs="Times New Roman" w:hint="eastAsia"/>
                <w:sz w:val="22"/>
                <w:szCs w:val="24"/>
              </w:rPr>
              <w:t>凯</w:t>
            </w:r>
            <w:proofErr w:type="gramEnd"/>
            <w:r w:rsidR="00212EB2" w:rsidRPr="00212EB2">
              <w:rPr>
                <w:rFonts w:ascii="Times New Roman" w:eastAsia="宋体" w:hAnsi="Times New Roman" w:cs="Times New Roman" w:hint="eastAsia"/>
                <w:sz w:val="22"/>
                <w:szCs w:val="24"/>
              </w:rPr>
              <w:t>联资本</w:t>
            </w:r>
            <w:r w:rsidR="00212EB2">
              <w:rPr>
                <w:rFonts w:ascii="Times New Roman" w:eastAsia="宋体" w:hAnsi="Times New Roman" w:cs="Times New Roman"/>
                <w:sz w:val="22"/>
                <w:szCs w:val="24"/>
              </w:rPr>
              <w:t>、</w:t>
            </w:r>
            <w:proofErr w:type="gramStart"/>
            <w:r w:rsidR="00212EB2" w:rsidRPr="00212EB2">
              <w:rPr>
                <w:rFonts w:ascii="Times New Roman" w:eastAsia="宋体" w:hAnsi="Times New Roman" w:cs="Times New Roman" w:hint="eastAsia"/>
                <w:sz w:val="22"/>
                <w:szCs w:val="24"/>
              </w:rPr>
              <w:t>航长投资</w:t>
            </w:r>
            <w:proofErr w:type="gramEnd"/>
            <w:r w:rsidR="00212EB2">
              <w:rPr>
                <w:rFonts w:ascii="Times New Roman" w:eastAsia="宋体" w:hAnsi="Times New Roman" w:cs="Times New Roman" w:hint="eastAsia"/>
                <w:sz w:val="22"/>
                <w:szCs w:val="24"/>
              </w:rPr>
              <w:t>、</w:t>
            </w:r>
            <w:r w:rsidR="00212EB2" w:rsidRPr="00212EB2">
              <w:rPr>
                <w:rFonts w:ascii="Times New Roman" w:eastAsia="宋体" w:hAnsi="Times New Roman" w:cs="Times New Roman" w:hint="eastAsia"/>
                <w:sz w:val="22"/>
                <w:szCs w:val="24"/>
              </w:rPr>
              <w:t>壹拾资产</w:t>
            </w:r>
            <w:r w:rsidR="00212EB2">
              <w:rPr>
                <w:rFonts w:ascii="Times New Roman" w:eastAsia="宋体" w:hAnsi="Times New Roman" w:cs="Times New Roman"/>
                <w:sz w:val="22"/>
                <w:szCs w:val="24"/>
              </w:rPr>
              <w:t>、</w:t>
            </w:r>
            <w:proofErr w:type="gramStart"/>
            <w:r w:rsidR="00212EB2" w:rsidRPr="00212EB2">
              <w:rPr>
                <w:rFonts w:ascii="Times New Roman" w:eastAsia="宋体" w:hAnsi="Times New Roman" w:cs="Times New Roman" w:hint="eastAsia"/>
                <w:sz w:val="22"/>
                <w:szCs w:val="24"/>
              </w:rPr>
              <w:t>中信保诚</w:t>
            </w:r>
            <w:proofErr w:type="gramEnd"/>
            <w:r w:rsidR="00212EB2">
              <w:rPr>
                <w:rFonts w:ascii="Times New Roman" w:eastAsia="宋体" w:hAnsi="Times New Roman" w:cs="Times New Roman" w:hint="eastAsia"/>
                <w:sz w:val="22"/>
                <w:szCs w:val="24"/>
              </w:rPr>
              <w:t>、</w:t>
            </w:r>
            <w:r w:rsidR="00212EB2" w:rsidRPr="00212EB2">
              <w:rPr>
                <w:rFonts w:ascii="Times New Roman" w:eastAsia="宋体" w:hAnsi="Times New Roman" w:cs="Times New Roman" w:hint="eastAsia"/>
                <w:sz w:val="22"/>
                <w:szCs w:val="24"/>
              </w:rPr>
              <w:t>君怀投资</w:t>
            </w:r>
            <w:r w:rsidR="00212EB2">
              <w:rPr>
                <w:rFonts w:ascii="Times New Roman" w:eastAsia="宋体" w:hAnsi="Times New Roman" w:cs="Times New Roman" w:hint="eastAsia"/>
                <w:sz w:val="22"/>
                <w:szCs w:val="24"/>
              </w:rPr>
              <w:t>、</w:t>
            </w:r>
            <w:r w:rsidR="00212EB2" w:rsidRPr="00212EB2">
              <w:rPr>
                <w:rFonts w:ascii="Times New Roman" w:eastAsia="宋体" w:hAnsi="Times New Roman" w:cs="Times New Roman" w:hint="eastAsia"/>
                <w:sz w:val="22"/>
                <w:szCs w:val="24"/>
              </w:rPr>
              <w:t>财通基金</w:t>
            </w:r>
            <w:r w:rsidR="00212EB2">
              <w:rPr>
                <w:rFonts w:ascii="Times New Roman" w:eastAsia="宋体" w:hAnsi="Times New Roman" w:cs="Times New Roman" w:hint="eastAsia"/>
                <w:sz w:val="22"/>
                <w:szCs w:val="24"/>
              </w:rPr>
              <w:t>、</w:t>
            </w:r>
            <w:r w:rsidR="00212EB2" w:rsidRPr="00212EB2">
              <w:rPr>
                <w:rFonts w:ascii="Times New Roman" w:eastAsia="宋体" w:hAnsi="Times New Roman" w:cs="Times New Roman" w:hint="eastAsia"/>
                <w:sz w:val="22"/>
                <w:szCs w:val="24"/>
              </w:rPr>
              <w:t>华宝基金</w:t>
            </w:r>
            <w:r w:rsidR="00212EB2">
              <w:rPr>
                <w:rFonts w:ascii="Times New Roman" w:eastAsia="宋体" w:hAnsi="Times New Roman" w:cs="Times New Roman" w:hint="eastAsia"/>
                <w:sz w:val="22"/>
                <w:szCs w:val="24"/>
              </w:rPr>
              <w:t>、</w:t>
            </w:r>
            <w:r w:rsidR="00212EB2" w:rsidRPr="003C51B5">
              <w:rPr>
                <w:rFonts w:ascii="Times New Roman" w:eastAsia="宋体" w:hAnsi="Times New Roman" w:cs="Times New Roman" w:hint="eastAsia"/>
                <w:sz w:val="22"/>
                <w:szCs w:val="24"/>
              </w:rPr>
              <w:t>Trial</w:t>
            </w:r>
            <w:r w:rsidR="00212EB2">
              <w:rPr>
                <w:rFonts w:ascii="Times New Roman" w:eastAsia="宋体" w:hAnsi="Times New Roman" w:cs="Times New Roman"/>
                <w:sz w:val="22"/>
                <w:szCs w:val="24"/>
              </w:rPr>
              <w:t xml:space="preserve"> </w:t>
            </w:r>
            <w:r w:rsidR="00212EB2" w:rsidRPr="003C51B5">
              <w:rPr>
                <w:rFonts w:ascii="Times New Roman" w:eastAsia="宋体" w:hAnsi="Times New Roman" w:cs="Times New Roman" w:hint="eastAsia"/>
                <w:sz w:val="22"/>
                <w:szCs w:val="24"/>
              </w:rPr>
              <w:t>Account</w:t>
            </w:r>
            <w:r w:rsidR="00212EB2">
              <w:rPr>
                <w:rFonts w:ascii="Times New Roman" w:eastAsia="宋体" w:hAnsi="Times New Roman" w:cs="Times New Roman" w:hint="eastAsia"/>
                <w:sz w:val="22"/>
                <w:szCs w:val="24"/>
              </w:rPr>
              <w:t>、</w:t>
            </w:r>
            <w:r w:rsidR="00212EB2" w:rsidRPr="003C51B5">
              <w:rPr>
                <w:rFonts w:ascii="Times New Roman" w:eastAsia="宋体" w:hAnsi="Times New Roman" w:cs="Times New Roman"/>
                <w:sz w:val="22"/>
                <w:szCs w:val="24"/>
              </w:rPr>
              <w:t>Pinpoint Asset Management Limited</w:t>
            </w:r>
            <w:r w:rsidR="00212EB2">
              <w:rPr>
                <w:rFonts w:ascii="Times New Roman" w:eastAsia="宋体" w:hAnsi="Times New Roman" w:cs="Times New Roman"/>
                <w:sz w:val="22"/>
                <w:szCs w:val="24"/>
              </w:rPr>
              <w:t>、</w:t>
            </w:r>
            <w:r w:rsidR="00212EB2" w:rsidRPr="003C51B5">
              <w:rPr>
                <w:rFonts w:ascii="Times New Roman" w:eastAsia="宋体" w:hAnsi="Times New Roman" w:cs="Times New Roman"/>
                <w:sz w:val="22"/>
                <w:szCs w:val="24"/>
              </w:rPr>
              <w:t>Seouoia Capital Llp</w:t>
            </w:r>
            <w:r w:rsidRPr="00EC2F91">
              <w:rPr>
                <w:rFonts w:ascii="Times New Roman" w:eastAsia="宋体" w:hAnsi="Times New Roman" w:cs="Times New Roman"/>
                <w:sz w:val="22"/>
                <w:szCs w:val="24"/>
              </w:rPr>
              <w:t>等</w:t>
            </w:r>
            <w:r w:rsidR="007F312D">
              <w:rPr>
                <w:rFonts w:ascii="Times New Roman" w:eastAsia="宋体" w:hAnsi="Times New Roman" w:cs="Times New Roman"/>
                <w:sz w:val="22"/>
                <w:szCs w:val="24"/>
              </w:rPr>
              <w:t>机构</w:t>
            </w:r>
          </w:p>
        </w:tc>
      </w:tr>
      <w:tr w:rsidR="00E579B4" w:rsidRPr="00EC2F91" w:rsidTr="00D84AA6">
        <w:trPr>
          <w:trHeight w:val="567"/>
          <w:jc w:val="center"/>
        </w:trPr>
        <w:tc>
          <w:tcPr>
            <w:tcW w:w="1282" w:type="dxa"/>
            <w:vAlign w:val="center"/>
          </w:tcPr>
          <w:p w:rsidR="00E579B4" w:rsidRPr="00EC2F91" w:rsidRDefault="007A1E3F" w:rsidP="00E579B4">
            <w:pPr>
              <w:rPr>
                <w:rFonts w:ascii="Times New Roman" w:eastAsia="宋体" w:hAnsi="Times New Roman" w:cs="Times New Roman"/>
                <w:b/>
                <w:sz w:val="22"/>
                <w:szCs w:val="24"/>
              </w:rPr>
            </w:pPr>
            <w:r w:rsidRPr="00EC2F91">
              <w:rPr>
                <w:rFonts w:ascii="Times New Roman" w:eastAsia="宋体" w:hAnsi="Times New Roman" w:cs="Times New Roman"/>
                <w:b/>
                <w:sz w:val="22"/>
                <w:szCs w:val="24"/>
              </w:rPr>
              <w:t>上市</w:t>
            </w:r>
            <w:r w:rsidR="00E579B4" w:rsidRPr="00EC2F91">
              <w:rPr>
                <w:rFonts w:ascii="Times New Roman" w:eastAsia="宋体" w:hAnsi="Times New Roman" w:cs="Times New Roman"/>
                <w:b/>
                <w:sz w:val="22"/>
                <w:szCs w:val="24"/>
              </w:rPr>
              <w:t>公司接待人员</w:t>
            </w:r>
          </w:p>
        </w:tc>
        <w:tc>
          <w:tcPr>
            <w:tcW w:w="8211" w:type="dxa"/>
            <w:gridSpan w:val="2"/>
            <w:vAlign w:val="center"/>
          </w:tcPr>
          <w:p w:rsidR="00E579B4" w:rsidRPr="00EC2F91" w:rsidRDefault="00461D20" w:rsidP="00A64E8C">
            <w:pPr>
              <w:rPr>
                <w:rFonts w:ascii="Times New Roman" w:eastAsia="宋体" w:hAnsi="Times New Roman" w:cs="Times New Roman"/>
                <w:sz w:val="22"/>
                <w:szCs w:val="24"/>
              </w:rPr>
            </w:pPr>
            <w:r>
              <w:rPr>
                <w:rFonts w:ascii="Times New Roman" w:eastAsia="宋体" w:hAnsi="Times New Roman" w:cs="Times New Roman"/>
                <w:sz w:val="22"/>
                <w:szCs w:val="24"/>
              </w:rPr>
              <w:t>公司</w:t>
            </w:r>
            <w:r w:rsidR="00A64E8C" w:rsidRPr="00EC2F91">
              <w:rPr>
                <w:rFonts w:ascii="Times New Roman" w:eastAsia="宋体" w:hAnsi="Times New Roman" w:cs="Times New Roman"/>
                <w:sz w:val="22"/>
                <w:szCs w:val="24"/>
              </w:rPr>
              <w:t>董事会秘书</w:t>
            </w:r>
            <w:r w:rsidR="005E7891" w:rsidRPr="00EC2F91">
              <w:rPr>
                <w:rFonts w:ascii="Times New Roman" w:eastAsia="宋体" w:hAnsi="Times New Roman" w:cs="Times New Roman"/>
                <w:sz w:val="22"/>
                <w:szCs w:val="24"/>
              </w:rPr>
              <w:t xml:space="preserve"> </w:t>
            </w:r>
            <w:r w:rsidR="003A4AD1" w:rsidRPr="00EC2F91">
              <w:rPr>
                <w:rFonts w:ascii="Times New Roman" w:eastAsia="宋体" w:hAnsi="Times New Roman" w:cs="Times New Roman"/>
                <w:sz w:val="22"/>
                <w:szCs w:val="24"/>
              </w:rPr>
              <w:t>骆开尚</w:t>
            </w:r>
            <w:r w:rsidR="007B6CEF">
              <w:rPr>
                <w:rFonts w:ascii="Times New Roman" w:eastAsia="宋体" w:hAnsi="Times New Roman" w:cs="Times New Roman"/>
                <w:sz w:val="22"/>
                <w:szCs w:val="24"/>
              </w:rPr>
              <w:t>先生</w:t>
            </w:r>
            <w:r w:rsidR="003A4AD1" w:rsidRPr="00EC2F91">
              <w:rPr>
                <w:rFonts w:ascii="Times New Roman" w:eastAsia="宋体" w:hAnsi="Times New Roman" w:cs="Times New Roman"/>
                <w:sz w:val="22"/>
                <w:szCs w:val="24"/>
              </w:rPr>
              <w:t xml:space="preserve"> </w:t>
            </w:r>
          </w:p>
        </w:tc>
      </w:tr>
      <w:tr w:rsidR="00E579B4" w:rsidRPr="00EC2F91" w:rsidTr="00ED7676">
        <w:trPr>
          <w:trHeight w:val="2347"/>
          <w:jc w:val="center"/>
        </w:trPr>
        <w:tc>
          <w:tcPr>
            <w:tcW w:w="1282" w:type="dxa"/>
            <w:vAlign w:val="center"/>
          </w:tcPr>
          <w:p w:rsidR="00E579B4" w:rsidRPr="00EC2F91" w:rsidRDefault="00E579B4" w:rsidP="00E579B4">
            <w:pPr>
              <w:rPr>
                <w:rFonts w:ascii="Times New Roman" w:eastAsia="宋体" w:hAnsi="Times New Roman" w:cs="Times New Roman"/>
                <w:b/>
                <w:sz w:val="22"/>
                <w:szCs w:val="24"/>
              </w:rPr>
            </w:pPr>
            <w:r w:rsidRPr="00EC2F91">
              <w:rPr>
                <w:rFonts w:ascii="Times New Roman" w:eastAsia="宋体" w:hAnsi="Times New Roman" w:cs="Times New Roman"/>
                <w:b/>
                <w:sz w:val="22"/>
                <w:szCs w:val="24"/>
              </w:rPr>
              <w:t>投资者关系活动主要内容</w:t>
            </w:r>
          </w:p>
        </w:tc>
        <w:tc>
          <w:tcPr>
            <w:tcW w:w="8211" w:type="dxa"/>
            <w:gridSpan w:val="2"/>
            <w:vAlign w:val="center"/>
          </w:tcPr>
          <w:p w:rsidR="00EC2F91" w:rsidRPr="00EC2F91" w:rsidRDefault="00EC2F91" w:rsidP="00EC2F91">
            <w:pPr>
              <w:pStyle w:val="a6"/>
              <w:spacing w:line="360" w:lineRule="auto"/>
              <w:ind w:firstLineChars="0" w:firstLine="0"/>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w:t>
            </w:r>
            <w:r w:rsidRPr="00EC2F91">
              <w:rPr>
                <w:rFonts w:ascii="Times New Roman" w:eastAsia="宋体" w:hAnsi="Times New Roman" w:cs="Times New Roman"/>
                <w:b/>
              </w:rPr>
              <w:t>：请介绍一下公司</w:t>
            </w:r>
            <w:r w:rsidRPr="00EC2F91">
              <w:rPr>
                <w:rFonts w:ascii="Times New Roman" w:eastAsia="宋体" w:hAnsi="Times New Roman" w:cs="Times New Roman"/>
                <w:b/>
              </w:rPr>
              <w:t>2024</w:t>
            </w:r>
            <w:r w:rsidRPr="00EC2F91">
              <w:rPr>
                <w:rFonts w:ascii="Times New Roman" w:eastAsia="宋体" w:hAnsi="Times New Roman" w:cs="Times New Roman"/>
                <w:b/>
              </w:rPr>
              <w:t>年度经营形势及</w:t>
            </w:r>
            <w:r w:rsidRPr="00EC2F91">
              <w:rPr>
                <w:rFonts w:ascii="Times New Roman" w:eastAsia="宋体" w:hAnsi="Times New Roman" w:cs="Times New Roman"/>
                <w:b/>
              </w:rPr>
              <w:t>2025</w:t>
            </w:r>
            <w:r w:rsidRPr="00EC2F91">
              <w:rPr>
                <w:rFonts w:ascii="Times New Roman" w:eastAsia="宋体" w:hAnsi="Times New Roman" w:cs="Times New Roman"/>
                <w:b/>
              </w:rPr>
              <w:t>年的订单预期、三大业务的增长驱动因素。</w:t>
            </w:r>
          </w:p>
          <w:p w:rsidR="00EC2F91" w:rsidRPr="00EC2F91" w:rsidRDefault="00EC2F91" w:rsidP="00EC2F91">
            <w:pPr>
              <w:pStyle w:val="a6"/>
              <w:spacing w:line="360" w:lineRule="auto"/>
              <w:rPr>
                <w:rFonts w:ascii="Times New Roman" w:eastAsia="宋体" w:hAnsi="Times New Roman" w:cs="Times New Roman"/>
              </w:rPr>
            </w:pPr>
            <w:r w:rsidRPr="00EC2F91">
              <w:rPr>
                <w:rFonts w:ascii="Times New Roman" w:eastAsia="宋体" w:hAnsi="Times New Roman" w:cs="Times New Roman"/>
              </w:rPr>
              <w:t>回复：</w:t>
            </w:r>
            <w:r w:rsidRPr="00EC2F91">
              <w:rPr>
                <w:rFonts w:ascii="Times New Roman" w:eastAsia="宋体" w:hAnsi="Times New Roman" w:cs="Times New Roman"/>
              </w:rPr>
              <w:t>2024</w:t>
            </w:r>
            <w:r w:rsidRPr="00EC2F91">
              <w:rPr>
                <w:rFonts w:ascii="Times New Roman" w:eastAsia="宋体" w:hAnsi="Times New Roman" w:cs="Times New Roman"/>
              </w:rPr>
              <w:t>年度，公司生产经营持续向好，新签订单再创新高，营业收入和净利润均实现了</w:t>
            </w:r>
            <w:r w:rsidRPr="00EC2F91">
              <w:rPr>
                <w:rFonts w:ascii="Times New Roman" w:eastAsia="宋体" w:hAnsi="Times New Roman" w:cs="Times New Roman"/>
              </w:rPr>
              <w:t>28%</w:t>
            </w:r>
            <w:r w:rsidRPr="00EC2F91">
              <w:rPr>
                <w:rFonts w:ascii="Times New Roman" w:eastAsia="宋体" w:hAnsi="Times New Roman" w:cs="Times New Roman"/>
              </w:rPr>
              <w:t>以上的稳健增长。报告期内，公司实现营业收入</w:t>
            </w:r>
            <w:r w:rsidRPr="00EC2F91">
              <w:rPr>
                <w:rFonts w:ascii="Times New Roman" w:eastAsia="宋体" w:hAnsi="Times New Roman" w:cs="Times New Roman"/>
              </w:rPr>
              <w:t>15.15</w:t>
            </w:r>
            <w:r w:rsidRPr="00EC2F91">
              <w:rPr>
                <w:rFonts w:ascii="Times New Roman" w:eastAsia="宋体" w:hAnsi="Times New Roman" w:cs="Times New Roman"/>
              </w:rPr>
              <w:t>亿元，同比增长</w:t>
            </w:r>
            <w:r w:rsidRPr="00EC2F91">
              <w:rPr>
                <w:rFonts w:ascii="Times New Roman" w:eastAsia="宋体" w:hAnsi="Times New Roman" w:cs="Times New Roman"/>
              </w:rPr>
              <w:t>28.38%</w:t>
            </w:r>
            <w:r w:rsidRPr="00EC2F91">
              <w:rPr>
                <w:rFonts w:ascii="Times New Roman" w:eastAsia="宋体" w:hAnsi="Times New Roman" w:cs="Times New Roman"/>
              </w:rPr>
              <w:t>；实现归属于上市公司股东的净利润</w:t>
            </w:r>
            <w:r w:rsidRPr="00EC2F91">
              <w:rPr>
                <w:rFonts w:ascii="Times New Roman" w:eastAsia="宋体" w:hAnsi="Times New Roman" w:cs="Times New Roman"/>
              </w:rPr>
              <w:t>5.48</w:t>
            </w:r>
            <w:r w:rsidRPr="00EC2F91">
              <w:rPr>
                <w:rFonts w:ascii="Times New Roman" w:eastAsia="宋体" w:hAnsi="Times New Roman" w:cs="Times New Roman"/>
              </w:rPr>
              <w:t>亿元，同比增长</w:t>
            </w:r>
            <w:r w:rsidRPr="00EC2F91">
              <w:rPr>
                <w:rFonts w:ascii="Times New Roman" w:eastAsia="宋体" w:hAnsi="Times New Roman" w:cs="Times New Roman"/>
              </w:rPr>
              <w:t>33.08%</w:t>
            </w:r>
            <w:r w:rsidRPr="00EC2F91">
              <w:rPr>
                <w:rFonts w:ascii="Times New Roman" w:eastAsia="宋体" w:hAnsi="Times New Roman" w:cs="Times New Roman"/>
              </w:rPr>
              <w:t>；实现</w:t>
            </w:r>
            <w:proofErr w:type="gramStart"/>
            <w:r w:rsidRPr="00EC2F91">
              <w:rPr>
                <w:rFonts w:ascii="Times New Roman" w:eastAsia="宋体" w:hAnsi="Times New Roman" w:cs="Times New Roman"/>
              </w:rPr>
              <w:t>扣非净</w:t>
            </w:r>
            <w:proofErr w:type="gramEnd"/>
            <w:r w:rsidRPr="00EC2F91">
              <w:rPr>
                <w:rFonts w:ascii="Times New Roman" w:eastAsia="宋体" w:hAnsi="Times New Roman" w:cs="Times New Roman"/>
              </w:rPr>
              <w:t>利润</w:t>
            </w:r>
            <w:r w:rsidRPr="00EC2F91">
              <w:rPr>
                <w:rFonts w:ascii="Times New Roman" w:eastAsia="宋体" w:hAnsi="Times New Roman" w:cs="Times New Roman"/>
              </w:rPr>
              <w:t>5.49</w:t>
            </w:r>
            <w:r w:rsidRPr="00EC2F91">
              <w:rPr>
                <w:rFonts w:ascii="Times New Roman" w:eastAsia="宋体" w:hAnsi="Times New Roman" w:cs="Times New Roman"/>
              </w:rPr>
              <w:t>亿元，同比增长</w:t>
            </w:r>
            <w:r w:rsidRPr="00EC2F91">
              <w:rPr>
                <w:rFonts w:ascii="Times New Roman" w:eastAsia="宋体" w:hAnsi="Times New Roman" w:cs="Times New Roman"/>
              </w:rPr>
              <w:t>35.02%</w:t>
            </w:r>
            <w:r w:rsidRPr="00EC2F91">
              <w:rPr>
                <w:rFonts w:ascii="Times New Roman" w:eastAsia="宋体" w:hAnsi="Times New Roman" w:cs="Times New Roman"/>
              </w:rPr>
              <w:t>。基本每股收益为</w:t>
            </w:r>
            <w:r w:rsidRPr="00EC2F91">
              <w:rPr>
                <w:rFonts w:ascii="Times New Roman" w:eastAsia="宋体" w:hAnsi="Times New Roman" w:cs="Times New Roman"/>
              </w:rPr>
              <w:t>1.44</w:t>
            </w:r>
            <w:r w:rsidRPr="00EC2F91">
              <w:rPr>
                <w:rFonts w:ascii="Times New Roman" w:eastAsia="宋体" w:hAnsi="Times New Roman" w:cs="Times New Roman"/>
              </w:rPr>
              <w:t>元</w:t>
            </w:r>
            <w:r w:rsidRPr="00EC2F91">
              <w:rPr>
                <w:rFonts w:ascii="Times New Roman" w:eastAsia="宋体" w:hAnsi="Times New Roman" w:cs="Times New Roman"/>
              </w:rPr>
              <w:t>/</w:t>
            </w:r>
            <w:r w:rsidRPr="00EC2F91">
              <w:rPr>
                <w:rFonts w:ascii="Times New Roman" w:eastAsia="宋体" w:hAnsi="Times New Roman" w:cs="Times New Roman"/>
              </w:rPr>
              <w:t>股，同比增长</w:t>
            </w:r>
            <w:r w:rsidRPr="00EC2F91">
              <w:rPr>
                <w:rFonts w:ascii="Times New Roman" w:eastAsia="宋体" w:hAnsi="Times New Roman" w:cs="Times New Roman"/>
              </w:rPr>
              <w:t>33.33%</w:t>
            </w:r>
            <w:r w:rsidRPr="00EC2F91">
              <w:rPr>
                <w:rFonts w:ascii="Times New Roman" w:eastAsia="宋体" w:hAnsi="Times New Roman" w:cs="Times New Roman"/>
              </w:rPr>
              <w:t>，盈利能力进一步提升。</w:t>
            </w:r>
          </w:p>
          <w:p w:rsidR="00EC2F91" w:rsidRPr="00EC2F91" w:rsidRDefault="00EC2F91" w:rsidP="00EC2F91">
            <w:pPr>
              <w:pStyle w:val="a6"/>
              <w:spacing w:line="360" w:lineRule="auto"/>
              <w:rPr>
                <w:rFonts w:ascii="Times New Roman" w:eastAsia="宋体" w:hAnsi="Times New Roman" w:cs="Times New Roman"/>
              </w:rPr>
            </w:pPr>
            <w:bookmarkStart w:id="0" w:name="OLE_LINK4"/>
            <w:r w:rsidRPr="00EC2F91">
              <w:rPr>
                <w:rFonts w:ascii="Times New Roman" w:eastAsia="宋体" w:hAnsi="Times New Roman" w:cs="Times New Roman"/>
              </w:rPr>
              <w:t>公司主营业务涉及普</w:t>
            </w:r>
            <w:proofErr w:type="gramStart"/>
            <w:r w:rsidRPr="00EC2F91">
              <w:rPr>
                <w:rFonts w:ascii="Times New Roman" w:eastAsia="宋体" w:hAnsi="Times New Roman" w:cs="Times New Roman"/>
              </w:rPr>
              <w:t>速铁路</w:t>
            </w:r>
            <w:proofErr w:type="gramEnd"/>
            <w:r w:rsidRPr="00EC2F91">
              <w:rPr>
                <w:rFonts w:ascii="Times New Roman" w:eastAsia="宋体" w:hAnsi="Times New Roman" w:cs="Times New Roman"/>
              </w:rPr>
              <w:t>和高速铁路两大领域，主要</w:t>
            </w:r>
            <w:proofErr w:type="gramStart"/>
            <w:r w:rsidRPr="00EC2F91">
              <w:rPr>
                <w:rFonts w:ascii="Times New Roman" w:eastAsia="宋体" w:hAnsi="Times New Roman" w:cs="Times New Roman"/>
              </w:rPr>
              <w:t>包括列控系统</w:t>
            </w:r>
            <w:proofErr w:type="gramEnd"/>
            <w:r w:rsidRPr="00EC2F91">
              <w:rPr>
                <w:rFonts w:ascii="Times New Roman" w:eastAsia="宋体" w:hAnsi="Times New Roman" w:cs="Times New Roman"/>
              </w:rPr>
              <w:t>、铁路安防系统、高铁运行监测系统三大业务。</w:t>
            </w:r>
            <w:bookmarkEnd w:id="0"/>
            <w:proofErr w:type="gramStart"/>
            <w:r w:rsidRPr="00EC2F91">
              <w:rPr>
                <w:rFonts w:ascii="Times New Roman" w:eastAsia="宋体" w:hAnsi="Times New Roman" w:cs="Times New Roman"/>
              </w:rPr>
              <w:t>分业务</w:t>
            </w:r>
            <w:proofErr w:type="gramEnd"/>
            <w:r w:rsidRPr="00EC2F91">
              <w:rPr>
                <w:rFonts w:ascii="Times New Roman" w:eastAsia="宋体" w:hAnsi="Times New Roman" w:cs="Times New Roman"/>
              </w:rPr>
              <w:t>来看，公司</w:t>
            </w:r>
            <w:proofErr w:type="gramStart"/>
            <w:r w:rsidRPr="00EC2F91">
              <w:rPr>
                <w:rFonts w:ascii="Times New Roman" w:eastAsia="宋体" w:hAnsi="Times New Roman" w:cs="Times New Roman"/>
              </w:rPr>
              <w:t>列控业务</w:t>
            </w:r>
            <w:proofErr w:type="gramEnd"/>
            <w:r w:rsidRPr="00EC2F91">
              <w:rPr>
                <w:rFonts w:ascii="Times New Roman" w:eastAsia="宋体" w:hAnsi="Times New Roman" w:cs="Times New Roman"/>
              </w:rPr>
              <w:t>实现收入</w:t>
            </w:r>
            <w:r w:rsidRPr="00EC2F91">
              <w:rPr>
                <w:rFonts w:ascii="Times New Roman" w:eastAsia="宋体" w:hAnsi="Times New Roman" w:cs="Times New Roman"/>
              </w:rPr>
              <w:t>8.86</w:t>
            </w:r>
            <w:r w:rsidRPr="00EC2F91">
              <w:rPr>
                <w:rFonts w:ascii="Times New Roman" w:eastAsia="宋体" w:hAnsi="Times New Roman" w:cs="Times New Roman"/>
              </w:rPr>
              <w:t>亿元，收入占比</w:t>
            </w:r>
            <w:r w:rsidRPr="00EC2F91">
              <w:rPr>
                <w:rFonts w:ascii="Times New Roman" w:eastAsia="宋体" w:hAnsi="Times New Roman" w:cs="Times New Roman"/>
              </w:rPr>
              <w:t>60%</w:t>
            </w:r>
            <w:r w:rsidRPr="00EC2F91">
              <w:rPr>
                <w:rFonts w:ascii="Times New Roman" w:eastAsia="宋体" w:hAnsi="Times New Roman" w:cs="Times New Roman"/>
              </w:rPr>
              <w:t>，同比增长</w:t>
            </w:r>
            <w:r w:rsidRPr="00EC2F91">
              <w:rPr>
                <w:rFonts w:ascii="Times New Roman" w:eastAsia="宋体" w:hAnsi="Times New Roman" w:cs="Times New Roman"/>
              </w:rPr>
              <w:t>25.89%</w:t>
            </w:r>
            <w:r w:rsidRPr="00EC2F91">
              <w:rPr>
                <w:rFonts w:ascii="Times New Roman" w:eastAsia="宋体" w:hAnsi="Times New Roman" w:cs="Times New Roman"/>
              </w:rPr>
              <w:t>，主要原因是新产品</w:t>
            </w:r>
            <w:r w:rsidRPr="00EC2F91">
              <w:rPr>
                <w:rFonts w:ascii="Times New Roman" w:eastAsia="宋体" w:hAnsi="Times New Roman" w:cs="Times New Roman"/>
              </w:rPr>
              <w:t>LKJ</w:t>
            </w:r>
            <w:r w:rsidRPr="00EC2F91">
              <w:rPr>
                <w:rFonts w:ascii="Times New Roman" w:eastAsia="宋体" w:hAnsi="Times New Roman" w:cs="Times New Roman"/>
              </w:rPr>
              <w:t>无线数据换装系统订单激增</w:t>
            </w:r>
            <w:r w:rsidRPr="00EC2F91">
              <w:rPr>
                <w:rFonts w:ascii="Times New Roman" w:eastAsia="宋体" w:hAnsi="Times New Roman" w:cs="Times New Roman"/>
              </w:rPr>
              <w:t>131.94%</w:t>
            </w:r>
            <w:r w:rsidRPr="00EC2F91">
              <w:rPr>
                <w:rFonts w:ascii="Times New Roman" w:eastAsia="宋体" w:hAnsi="Times New Roman" w:cs="Times New Roman"/>
              </w:rPr>
              <w:t>，</w:t>
            </w:r>
            <w:r w:rsidRPr="00EC2F91">
              <w:rPr>
                <w:rFonts w:ascii="Times New Roman" w:eastAsia="宋体" w:hAnsi="Times New Roman" w:cs="Times New Roman"/>
              </w:rPr>
              <w:lastRenderedPageBreak/>
              <w:t>LKJ-15S</w:t>
            </w:r>
            <w:r w:rsidRPr="00EC2F91">
              <w:rPr>
                <w:rFonts w:ascii="Times New Roman" w:eastAsia="宋体" w:hAnsi="Times New Roman" w:cs="Times New Roman"/>
              </w:rPr>
              <w:t>系统销量同比增长</w:t>
            </w:r>
            <w:r w:rsidRPr="00EC2F91">
              <w:rPr>
                <w:rFonts w:ascii="Times New Roman" w:eastAsia="宋体" w:hAnsi="Times New Roman" w:cs="Times New Roman"/>
              </w:rPr>
              <w:t>20%</w:t>
            </w:r>
            <w:r w:rsidRPr="00EC2F91">
              <w:rPr>
                <w:rFonts w:ascii="Times New Roman" w:eastAsia="宋体" w:hAnsi="Times New Roman" w:cs="Times New Roman"/>
              </w:rPr>
              <w:t>所致；铁路安全防护业务实现收入</w:t>
            </w:r>
            <w:r w:rsidRPr="00EC2F91">
              <w:rPr>
                <w:rFonts w:ascii="Times New Roman" w:eastAsia="宋体" w:hAnsi="Times New Roman" w:cs="Times New Roman"/>
              </w:rPr>
              <w:t>2.38</w:t>
            </w:r>
            <w:r w:rsidRPr="00EC2F91">
              <w:rPr>
                <w:rFonts w:ascii="Times New Roman" w:eastAsia="宋体" w:hAnsi="Times New Roman" w:cs="Times New Roman"/>
              </w:rPr>
              <w:t>亿元，收入占比</w:t>
            </w:r>
            <w:r w:rsidRPr="00EC2F91">
              <w:rPr>
                <w:rFonts w:ascii="Times New Roman" w:eastAsia="宋体" w:hAnsi="Times New Roman" w:cs="Times New Roman"/>
              </w:rPr>
              <w:t>14%</w:t>
            </w:r>
            <w:r w:rsidRPr="00EC2F91">
              <w:rPr>
                <w:rFonts w:ascii="Times New Roman" w:eastAsia="宋体" w:hAnsi="Times New Roman" w:cs="Times New Roman"/>
              </w:rPr>
              <w:t>，同比增长</w:t>
            </w:r>
            <w:r w:rsidRPr="00EC2F91">
              <w:rPr>
                <w:rFonts w:ascii="Times New Roman" w:eastAsia="宋体" w:hAnsi="Times New Roman" w:cs="Times New Roman"/>
              </w:rPr>
              <w:t>25.64%</w:t>
            </w:r>
            <w:r w:rsidRPr="00EC2F91">
              <w:rPr>
                <w:rFonts w:ascii="Times New Roman" w:eastAsia="宋体" w:hAnsi="Times New Roman" w:cs="Times New Roman"/>
              </w:rPr>
              <w:t>，主要因为客户对</w:t>
            </w:r>
            <w:r w:rsidRPr="00EC2F91">
              <w:rPr>
                <w:rFonts w:ascii="Times New Roman" w:eastAsia="宋体" w:hAnsi="Times New Roman" w:cs="Times New Roman"/>
              </w:rPr>
              <w:t>6A</w:t>
            </w:r>
            <w:r w:rsidRPr="00EC2F91">
              <w:rPr>
                <w:rFonts w:ascii="Times New Roman" w:eastAsia="宋体" w:hAnsi="Times New Roman" w:cs="Times New Roman"/>
              </w:rPr>
              <w:t>、</w:t>
            </w:r>
            <w:r w:rsidRPr="00EC2F91">
              <w:rPr>
                <w:rFonts w:ascii="Times New Roman" w:eastAsia="宋体" w:hAnsi="Times New Roman" w:cs="Times New Roman"/>
              </w:rPr>
              <w:t>CMD</w:t>
            </w:r>
            <w:r w:rsidRPr="00EC2F91">
              <w:rPr>
                <w:rFonts w:ascii="Times New Roman" w:eastAsia="宋体" w:hAnsi="Times New Roman" w:cs="Times New Roman"/>
              </w:rPr>
              <w:t>系统更新</w:t>
            </w:r>
            <w:proofErr w:type="gramStart"/>
            <w:r w:rsidRPr="00EC2F91">
              <w:rPr>
                <w:rFonts w:ascii="Times New Roman" w:eastAsia="宋体" w:hAnsi="Times New Roman" w:cs="Times New Roman"/>
              </w:rPr>
              <w:t>维保需求</w:t>
            </w:r>
            <w:proofErr w:type="gramEnd"/>
            <w:r w:rsidRPr="00EC2F91">
              <w:rPr>
                <w:rFonts w:ascii="Times New Roman" w:eastAsia="宋体" w:hAnsi="Times New Roman" w:cs="Times New Roman"/>
              </w:rPr>
              <w:t>旺盛，叠加新产品调车防护系统（</w:t>
            </w:r>
            <w:r w:rsidRPr="00EC2F91">
              <w:rPr>
                <w:rFonts w:ascii="Times New Roman" w:eastAsia="宋体" w:hAnsi="Times New Roman" w:cs="Times New Roman"/>
              </w:rPr>
              <w:t>LSP</w:t>
            </w:r>
            <w:r w:rsidRPr="00EC2F91">
              <w:rPr>
                <w:rFonts w:ascii="Times New Roman" w:eastAsia="宋体" w:hAnsi="Times New Roman" w:cs="Times New Roman"/>
              </w:rPr>
              <w:t>系统）加速推广，</w:t>
            </w:r>
            <w:r w:rsidRPr="00EC2F91">
              <w:rPr>
                <w:rFonts w:ascii="Times New Roman" w:eastAsia="宋体" w:hAnsi="Times New Roman" w:cs="Times New Roman"/>
              </w:rPr>
              <w:t>LSP</w:t>
            </w:r>
            <w:r w:rsidRPr="00EC2F91">
              <w:rPr>
                <w:rFonts w:ascii="Times New Roman" w:eastAsia="宋体" w:hAnsi="Times New Roman" w:cs="Times New Roman"/>
              </w:rPr>
              <w:t>子系统车站管控子系统推广应用成效显著所致；高铁运行监测业务实现收入</w:t>
            </w:r>
            <w:r w:rsidRPr="00EC2F91">
              <w:rPr>
                <w:rFonts w:ascii="Times New Roman" w:eastAsia="宋体" w:hAnsi="Times New Roman" w:cs="Times New Roman"/>
              </w:rPr>
              <w:t>3.58</w:t>
            </w:r>
            <w:r w:rsidRPr="00EC2F91">
              <w:rPr>
                <w:rFonts w:ascii="Times New Roman" w:eastAsia="宋体" w:hAnsi="Times New Roman" w:cs="Times New Roman"/>
              </w:rPr>
              <w:t>亿元，收入占比</w:t>
            </w:r>
            <w:r w:rsidRPr="00EC2F91">
              <w:rPr>
                <w:rFonts w:ascii="Times New Roman" w:eastAsia="宋体" w:hAnsi="Times New Roman" w:cs="Times New Roman"/>
              </w:rPr>
              <w:t>16%</w:t>
            </w:r>
            <w:r w:rsidRPr="00EC2F91">
              <w:rPr>
                <w:rFonts w:ascii="Times New Roman" w:eastAsia="宋体" w:hAnsi="Times New Roman" w:cs="Times New Roman"/>
              </w:rPr>
              <w:t>，同比增长</w:t>
            </w:r>
            <w:r w:rsidRPr="00EC2F91">
              <w:rPr>
                <w:rFonts w:ascii="Times New Roman" w:eastAsia="宋体" w:hAnsi="Times New Roman" w:cs="Times New Roman"/>
              </w:rPr>
              <w:t>39.79%</w:t>
            </w:r>
            <w:r w:rsidRPr="00EC2F91">
              <w:rPr>
                <w:rFonts w:ascii="Times New Roman" w:eastAsia="宋体" w:hAnsi="Times New Roman" w:cs="Times New Roman"/>
              </w:rPr>
              <w:t>，主要受益于高铁新造车、五级修需求增长明显，叠加存量</w:t>
            </w:r>
            <w:r w:rsidRPr="00EC2F91">
              <w:rPr>
                <w:rFonts w:ascii="Times New Roman" w:eastAsia="宋体" w:hAnsi="Times New Roman" w:cs="Times New Roman"/>
              </w:rPr>
              <w:t>DMS</w:t>
            </w:r>
            <w:r w:rsidRPr="00EC2F91">
              <w:rPr>
                <w:rFonts w:ascii="Times New Roman" w:eastAsia="宋体" w:hAnsi="Times New Roman" w:cs="Times New Roman"/>
              </w:rPr>
              <w:t>、</w:t>
            </w:r>
            <w:r w:rsidRPr="00EC2F91">
              <w:rPr>
                <w:rFonts w:ascii="Times New Roman" w:eastAsia="宋体" w:hAnsi="Times New Roman" w:cs="Times New Roman"/>
              </w:rPr>
              <w:t>EOAS</w:t>
            </w:r>
            <w:r w:rsidRPr="00EC2F91">
              <w:rPr>
                <w:rFonts w:ascii="Times New Roman" w:eastAsia="宋体" w:hAnsi="Times New Roman" w:cs="Times New Roman"/>
              </w:rPr>
              <w:t>、地面数据中心设备进入更新周期，新产品高铁移动视频平台（</w:t>
            </w:r>
            <w:r w:rsidRPr="00EC2F91">
              <w:rPr>
                <w:rFonts w:ascii="Times New Roman" w:eastAsia="宋体" w:hAnsi="Times New Roman" w:cs="Times New Roman"/>
              </w:rPr>
              <w:t>HMVP</w:t>
            </w:r>
            <w:r w:rsidRPr="00EC2F91">
              <w:rPr>
                <w:rFonts w:ascii="Times New Roman" w:eastAsia="宋体" w:hAnsi="Times New Roman" w:cs="Times New Roman"/>
              </w:rPr>
              <w:t>）、高铁国产化</w:t>
            </w:r>
            <w:r w:rsidRPr="00EC2F91">
              <w:rPr>
                <w:rFonts w:ascii="Times New Roman" w:eastAsia="宋体" w:hAnsi="Times New Roman" w:cs="Times New Roman"/>
              </w:rPr>
              <w:t>JRU</w:t>
            </w:r>
            <w:r w:rsidRPr="00EC2F91">
              <w:rPr>
                <w:rFonts w:ascii="Times New Roman" w:eastAsia="宋体" w:hAnsi="Times New Roman" w:cs="Times New Roman"/>
              </w:rPr>
              <w:t>等新产品加速渗透所致。</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2</w:t>
            </w:r>
            <w:r w:rsidRPr="00EC2F91">
              <w:rPr>
                <w:rFonts w:ascii="Times New Roman" w:eastAsia="宋体" w:hAnsi="Times New Roman" w:cs="Times New Roman"/>
                <w:b/>
              </w:rPr>
              <w:t>：请分析三项业务</w:t>
            </w:r>
            <w:r w:rsidRPr="00EC2F91">
              <w:rPr>
                <w:rFonts w:ascii="Times New Roman" w:eastAsia="宋体" w:hAnsi="Times New Roman" w:cs="Times New Roman"/>
                <w:b/>
              </w:rPr>
              <w:t>2024</w:t>
            </w:r>
            <w:r w:rsidRPr="00EC2F91">
              <w:rPr>
                <w:rFonts w:ascii="Times New Roman" w:eastAsia="宋体" w:hAnsi="Times New Roman" w:cs="Times New Roman"/>
                <w:b/>
              </w:rPr>
              <w:t>年毛利的变动原因及公司</w:t>
            </w:r>
            <w:r w:rsidRPr="00EC2F91">
              <w:rPr>
                <w:rFonts w:ascii="Times New Roman" w:eastAsia="宋体" w:hAnsi="Times New Roman" w:cs="Times New Roman"/>
                <w:b/>
              </w:rPr>
              <w:t>2025</w:t>
            </w:r>
            <w:r w:rsidRPr="00EC2F91">
              <w:rPr>
                <w:rFonts w:ascii="Times New Roman" w:eastAsia="宋体" w:hAnsi="Times New Roman" w:cs="Times New Roman"/>
                <w:b/>
              </w:rPr>
              <w:t>年毛利、净利的变化趋势？为什么净利率变动弱于毛利率变动？</w:t>
            </w:r>
          </w:p>
          <w:p w:rsidR="00EC2F91" w:rsidRPr="00EC2F91" w:rsidRDefault="00EC2F91" w:rsidP="00EC2F91">
            <w:pPr>
              <w:pStyle w:val="a6"/>
              <w:spacing w:line="360" w:lineRule="auto"/>
              <w:rPr>
                <w:rFonts w:ascii="Times New Roman" w:eastAsia="宋体" w:hAnsi="Times New Roman" w:cs="Times New Roman"/>
              </w:rPr>
            </w:pPr>
            <w:r w:rsidRPr="00EC2F91">
              <w:rPr>
                <w:rFonts w:ascii="Times New Roman" w:eastAsia="宋体" w:hAnsi="Times New Roman" w:cs="Times New Roman"/>
              </w:rPr>
              <w:t>回复：报告期内，</w:t>
            </w:r>
            <w:proofErr w:type="gramStart"/>
            <w:r w:rsidRPr="00EC2F91">
              <w:rPr>
                <w:rFonts w:ascii="Times New Roman" w:eastAsia="宋体" w:hAnsi="Times New Roman" w:cs="Times New Roman"/>
              </w:rPr>
              <w:t>公司列控系统</w:t>
            </w:r>
            <w:proofErr w:type="gramEnd"/>
            <w:r w:rsidRPr="00EC2F91">
              <w:rPr>
                <w:rFonts w:ascii="Times New Roman" w:eastAsia="宋体" w:hAnsi="Times New Roman" w:cs="Times New Roman"/>
              </w:rPr>
              <w:t>、铁路安防系统、高铁运行监测系统的毛利率分别为</w:t>
            </w:r>
            <w:r w:rsidRPr="00EC2F91">
              <w:rPr>
                <w:rFonts w:ascii="Times New Roman" w:eastAsia="宋体" w:hAnsi="Times New Roman" w:cs="Times New Roman"/>
              </w:rPr>
              <w:t>66.47%</w:t>
            </w:r>
            <w:r w:rsidRPr="00EC2F91">
              <w:rPr>
                <w:rFonts w:ascii="Times New Roman" w:eastAsia="宋体" w:hAnsi="Times New Roman" w:cs="Times New Roman"/>
              </w:rPr>
              <w:t>、</w:t>
            </w:r>
            <w:r w:rsidRPr="00EC2F91">
              <w:rPr>
                <w:rFonts w:ascii="Times New Roman" w:eastAsia="宋体" w:hAnsi="Times New Roman" w:cs="Times New Roman"/>
              </w:rPr>
              <w:t>64.34%</w:t>
            </w:r>
            <w:r w:rsidRPr="00EC2F91">
              <w:rPr>
                <w:rFonts w:ascii="Times New Roman" w:eastAsia="宋体" w:hAnsi="Times New Roman" w:cs="Times New Roman"/>
              </w:rPr>
              <w:t>、</w:t>
            </w:r>
            <w:r w:rsidRPr="00EC2F91">
              <w:rPr>
                <w:rFonts w:ascii="Times New Roman" w:eastAsia="宋体" w:hAnsi="Times New Roman" w:cs="Times New Roman"/>
              </w:rPr>
              <w:t>72.45%</w:t>
            </w:r>
            <w:r w:rsidRPr="00EC2F91">
              <w:rPr>
                <w:rFonts w:ascii="Times New Roman" w:eastAsia="宋体" w:hAnsi="Times New Roman" w:cs="Times New Roman"/>
              </w:rPr>
              <w:t>，分别增加</w:t>
            </w:r>
            <w:r w:rsidRPr="00EC2F91">
              <w:rPr>
                <w:rFonts w:ascii="Times New Roman" w:eastAsia="宋体" w:hAnsi="Times New Roman" w:cs="Times New Roman"/>
              </w:rPr>
              <w:t>3.37</w:t>
            </w:r>
            <w:r w:rsidRPr="00EC2F91">
              <w:rPr>
                <w:rFonts w:ascii="Times New Roman" w:eastAsia="宋体" w:hAnsi="Times New Roman" w:cs="Times New Roman"/>
              </w:rPr>
              <w:t>个百分点、</w:t>
            </w:r>
            <w:r w:rsidRPr="00EC2F91">
              <w:rPr>
                <w:rFonts w:ascii="Times New Roman" w:eastAsia="宋体" w:hAnsi="Times New Roman" w:cs="Times New Roman"/>
              </w:rPr>
              <w:t>3.61</w:t>
            </w:r>
            <w:r w:rsidRPr="00EC2F91">
              <w:rPr>
                <w:rFonts w:ascii="Times New Roman" w:eastAsia="宋体" w:hAnsi="Times New Roman" w:cs="Times New Roman"/>
              </w:rPr>
              <w:t>个百分点、</w:t>
            </w:r>
            <w:r w:rsidRPr="00EC2F91">
              <w:rPr>
                <w:rFonts w:ascii="Times New Roman" w:eastAsia="宋体" w:hAnsi="Times New Roman" w:cs="Times New Roman"/>
              </w:rPr>
              <w:t>2.96</w:t>
            </w:r>
            <w:r w:rsidRPr="00EC2F91">
              <w:rPr>
                <w:rFonts w:ascii="Times New Roman" w:eastAsia="宋体" w:hAnsi="Times New Roman" w:cs="Times New Roman"/>
              </w:rPr>
              <w:t>个百分点。主要原因如下：（</w:t>
            </w:r>
            <w:r w:rsidRPr="00EC2F91">
              <w:rPr>
                <w:rFonts w:ascii="Times New Roman" w:eastAsia="宋体" w:hAnsi="Times New Roman" w:cs="Times New Roman"/>
              </w:rPr>
              <w:t>1</w:t>
            </w:r>
            <w:r w:rsidRPr="00EC2F91">
              <w:rPr>
                <w:rFonts w:ascii="Times New Roman" w:eastAsia="宋体" w:hAnsi="Times New Roman" w:cs="Times New Roman"/>
              </w:rPr>
              <w:t>）</w:t>
            </w:r>
            <w:proofErr w:type="gramStart"/>
            <w:r w:rsidRPr="00EC2F91">
              <w:rPr>
                <w:rFonts w:ascii="Times New Roman" w:eastAsia="宋体" w:hAnsi="Times New Roman" w:cs="Times New Roman"/>
              </w:rPr>
              <w:t>列控系统</w:t>
            </w:r>
            <w:proofErr w:type="gramEnd"/>
            <w:r w:rsidRPr="00EC2F91">
              <w:rPr>
                <w:rFonts w:ascii="Times New Roman" w:eastAsia="宋体" w:hAnsi="Times New Roman" w:cs="Times New Roman"/>
              </w:rPr>
              <w:t>方面，公司着力推进</w:t>
            </w:r>
            <w:r w:rsidRPr="00EC2F91">
              <w:rPr>
                <w:rFonts w:ascii="Times New Roman" w:eastAsia="宋体" w:hAnsi="Times New Roman" w:cs="Times New Roman"/>
              </w:rPr>
              <w:t>LKJ</w:t>
            </w:r>
            <w:r w:rsidRPr="00EC2F91">
              <w:rPr>
                <w:rFonts w:ascii="Times New Roman" w:eastAsia="宋体" w:hAnsi="Times New Roman" w:cs="Times New Roman"/>
              </w:rPr>
              <w:t>无线数据换装系统、</w:t>
            </w:r>
            <w:r w:rsidRPr="00EC2F91">
              <w:rPr>
                <w:rFonts w:ascii="Times New Roman" w:eastAsia="宋体" w:hAnsi="Times New Roman" w:cs="Times New Roman"/>
              </w:rPr>
              <w:t>LKJ-15S</w:t>
            </w:r>
            <w:r w:rsidRPr="00EC2F91">
              <w:rPr>
                <w:rFonts w:ascii="Times New Roman" w:eastAsia="宋体" w:hAnsi="Times New Roman" w:cs="Times New Roman"/>
              </w:rPr>
              <w:t>系统等新产品推广，同时客户</w:t>
            </w:r>
            <w:proofErr w:type="gramStart"/>
            <w:r w:rsidRPr="00EC2F91">
              <w:rPr>
                <w:rFonts w:ascii="Times New Roman" w:eastAsia="宋体" w:hAnsi="Times New Roman" w:cs="Times New Roman"/>
              </w:rPr>
              <w:t>对列控产品</w:t>
            </w:r>
            <w:proofErr w:type="gramEnd"/>
            <w:r w:rsidRPr="00EC2F91">
              <w:rPr>
                <w:rFonts w:ascii="Times New Roman" w:eastAsia="宋体" w:hAnsi="Times New Roman" w:cs="Times New Roman"/>
              </w:rPr>
              <w:t>配件的采购需求增长，高毛利的产品收入占比提升所致；（</w:t>
            </w:r>
            <w:r w:rsidRPr="00EC2F91">
              <w:rPr>
                <w:rFonts w:ascii="Times New Roman" w:eastAsia="宋体" w:hAnsi="Times New Roman" w:cs="Times New Roman"/>
              </w:rPr>
              <w:t>2</w:t>
            </w:r>
            <w:r w:rsidRPr="00EC2F91">
              <w:rPr>
                <w:rFonts w:ascii="Times New Roman" w:eastAsia="宋体" w:hAnsi="Times New Roman" w:cs="Times New Roman"/>
              </w:rPr>
              <w:t>）铁路安防系统方面，公司</w:t>
            </w:r>
            <w:r w:rsidRPr="00EC2F91">
              <w:rPr>
                <w:rFonts w:ascii="Times New Roman" w:eastAsia="宋体" w:hAnsi="Times New Roman" w:cs="Times New Roman"/>
              </w:rPr>
              <w:t>LSP</w:t>
            </w:r>
            <w:r w:rsidRPr="00EC2F91">
              <w:rPr>
                <w:rFonts w:ascii="Times New Roman" w:eastAsia="宋体" w:hAnsi="Times New Roman" w:cs="Times New Roman"/>
              </w:rPr>
              <w:t>系统加速推广，同时客户对</w:t>
            </w:r>
            <w:r w:rsidRPr="00EC2F91">
              <w:rPr>
                <w:rFonts w:ascii="Times New Roman" w:eastAsia="宋体" w:hAnsi="Times New Roman" w:cs="Times New Roman"/>
              </w:rPr>
              <w:t>6A</w:t>
            </w:r>
            <w:r w:rsidRPr="00EC2F91">
              <w:rPr>
                <w:rFonts w:ascii="Times New Roman" w:eastAsia="宋体" w:hAnsi="Times New Roman" w:cs="Times New Roman"/>
              </w:rPr>
              <w:t>、</w:t>
            </w:r>
            <w:r w:rsidRPr="00EC2F91">
              <w:rPr>
                <w:rFonts w:ascii="Times New Roman" w:eastAsia="宋体" w:hAnsi="Times New Roman" w:cs="Times New Roman"/>
              </w:rPr>
              <w:t>CMD</w:t>
            </w:r>
            <w:r w:rsidRPr="00EC2F91">
              <w:rPr>
                <w:rFonts w:ascii="Times New Roman" w:eastAsia="宋体" w:hAnsi="Times New Roman" w:cs="Times New Roman"/>
              </w:rPr>
              <w:t>等</w:t>
            </w:r>
            <w:proofErr w:type="gramStart"/>
            <w:r w:rsidRPr="00EC2F91">
              <w:rPr>
                <w:rFonts w:ascii="Times New Roman" w:eastAsia="宋体" w:hAnsi="Times New Roman" w:cs="Times New Roman"/>
              </w:rPr>
              <w:t>维保需求</w:t>
            </w:r>
            <w:proofErr w:type="gramEnd"/>
            <w:r w:rsidRPr="00EC2F91">
              <w:rPr>
                <w:rFonts w:ascii="Times New Roman" w:eastAsia="宋体" w:hAnsi="Times New Roman" w:cs="Times New Roman"/>
              </w:rPr>
              <w:t>增长，高毛利的产品收入提升的同时，同步推进相关产品的国产化设计，产品的综合毛利提升；（</w:t>
            </w:r>
            <w:r w:rsidRPr="00EC2F91">
              <w:rPr>
                <w:rFonts w:ascii="Times New Roman" w:eastAsia="宋体" w:hAnsi="Times New Roman" w:cs="Times New Roman"/>
              </w:rPr>
              <w:t>3</w:t>
            </w:r>
            <w:r w:rsidRPr="00EC2F91">
              <w:rPr>
                <w:rFonts w:ascii="Times New Roman" w:eastAsia="宋体" w:hAnsi="Times New Roman" w:cs="Times New Roman"/>
              </w:rPr>
              <w:t>）高铁运行监测系统方面，随着高铁新造车招标及五级修带动了高铁核心产品需求增长，同时公司高铁移动视频、高铁国产化</w:t>
            </w:r>
            <w:r w:rsidRPr="00EC2F91">
              <w:rPr>
                <w:rFonts w:ascii="Times New Roman" w:eastAsia="宋体" w:hAnsi="Times New Roman" w:cs="Times New Roman"/>
              </w:rPr>
              <w:t>JRU</w:t>
            </w:r>
            <w:r w:rsidRPr="00EC2F91">
              <w:rPr>
                <w:rFonts w:ascii="Times New Roman" w:eastAsia="宋体" w:hAnsi="Times New Roman" w:cs="Times New Roman"/>
              </w:rPr>
              <w:t>等新产品加速推广，高毛利的产品及配件收入占比提升，综合毛利</w:t>
            </w:r>
            <w:bookmarkStart w:id="1" w:name="OLE_LINK2"/>
            <w:r w:rsidRPr="00EC2F91">
              <w:rPr>
                <w:rFonts w:ascii="Times New Roman" w:eastAsia="宋体" w:hAnsi="Times New Roman" w:cs="Times New Roman"/>
              </w:rPr>
              <w:t>率</w:t>
            </w:r>
            <w:bookmarkEnd w:id="1"/>
            <w:r w:rsidRPr="00EC2F91">
              <w:rPr>
                <w:rFonts w:ascii="Times New Roman" w:eastAsia="宋体" w:hAnsi="Times New Roman" w:cs="Times New Roman"/>
              </w:rPr>
              <w:t>保持增长趋势。</w:t>
            </w:r>
          </w:p>
          <w:p w:rsidR="00EC2F91" w:rsidRPr="00EC2F91" w:rsidRDefault="00EC2F91" w:rsidP="00EC2F91">
            <w:pPr>
              <w:pStyle w:val="a6"/>
              <w:spacing w:line="360" w:lineRule="auto"/>
              <w:rPr>
                <w:rFonts w:ascii="Times New Roman" w:eastAsia="宋体" w:hAnsi="Times New Roman" w:cs="Times New Roman"/>
              </w:rPr>
            </w:pPr>
            <w:r w:rsidRPr="00EC2F91">
              <w:rPr>
                <w:rFonts w:ascii="Times New Roman" w:eastAsia="宋体" w:hAnsi="Times New Roman" w:cs="Times New Roman"/>
              </w:rPr>
              <w:t>2025</w:t>
            </w:r>
            <w:r w:rsidRPr="00EC2F91">
              <w:rPr>
                <w:rFonts w:ascii="Times New Roman" w:eastAsia="宋体" w:hAnsi="Times New Roman" w:cs="Times New Roman"/>
              </w:rPr>
              <w:t>年，随着公司产品结构持续优化，推进产品国产化、标准化、平台化设计，预计公司三大主营业务的毛利率仍将保持小幅增长。在管理提效方面，公司在努力实现收入增长的同时，将合理控制人员规模，深入落实降本增效举措，进一步提升盈利能力。</w:t>
            </w:r>
          </w:p>
          <w:p w:rsidR="00EC2F91" w:rsidRPr="00EC2F91" w:rsidRDefault="00EC2F91" w:rsidP="00EC2F91">
            <w:pPr>
              <w:pStyle w:val="a6"/>
              <w:spacing w:line="360" w:lineRule="auto"/>
              <w:rPr>
                <w:rFonts w:ascii="Times New Roman" w:eastAsia="宋体" w:hAnsi="Times New Roman" w:cs="Times New Roman"/>
              </w:rPr>
            </w:pPr>
            <w:r w:rsidRPr="00EC2F91">
              <w:rPr>
                <w:rFonts w:ascii="Times New Roman" w:eastAsia="宋体" w:hAnsi="Times New Roman" w:cs="Times New Roman"/>
              </w:rPr>
              <w:t>2024</w:t>
            </w:r>
            <w:r w:rsidRPr="00EC2F91">
              <w:rPr>
                <w:rFonts w:ascii="Times New Roman" w:eastAsia="宋体" w:hAnsi="Times New Roman" w:cs="Times New Roman"/>
              </w:rPr>
              <w:t>年度，公司净利率、毛利率均保持小幅增长，延续了增长趋势。其中，毛利率、净利率分别增加</w:t>
            </w:r>
            <w:r w:rsidRPr="00EC2F91">
              <w:rPr>
                <w:rFonts w:ascii="Times New Roman" w:eastAsia="宋体" w:hAnsi="Times New Roman" w:cs="Times New Roman"/>
              </w:rPr>
              <w:t>3.67</w:t>
            </w:r>
            <w:r w:rsidRPr="00EC2F91">
              <w:rPr>
                <w:rFonts w:ascii="Times New Roman" w:eastAsia="宋体" w:hAnsi="Times New Roman" w:cs="Times New Roman"/>
              </w:rPr>
              <w:t>个百分点、</w:t>
            </w:r>
            <w:r w:rsidRPr="00EC2F91">
              <w:rPr>
                <w:rFonts w:ascii="Times New Roman" w:eastAsia="宋体" w:hAnsi="Times New Roman" w:cs="Times New Roman"/>
              </w:rPr>
              <w:t>1.32</w:t>
            </w:r>
            <w:r w:rsidRPr="00EC2F91">
              <w:rPr>
                <w:rFonts w:ascii="Times New Roman" w:eastAsia="宋体" w:hAnsi="Times New Roman" w:cs="Times New Roman"/>
              </w:rPr>
              <w:t>个百分点。主要原因是高毛利的产品销量占比提升，产品结构优化对毛利提升影响较大；管理提效有助于提高公司的净利润率，但</w:t>
            </w:r>
            <w:proofErr w:type="gramStart"/>
            <w:r w:rsidRPr="00EC2F91">
              <w:rPr>
                <w:rFonts w:ascii="Times New Roman" w:eastAsia="宋体" w:hAnsi="Times New Roman" w:cs="Times New Roman"/>
              </w:rPr>
              <w:t>后续仍</w:t>
            </w:r>
            <w:proofErr w:type="gramEnd"/>
            <w:r w:rsidRPr="00EC2F91">
              <w:rPr>
                <w:rFonts w:ascii="Times New Roman" w:eastAsia="宋体" w:hAnsi="Times New Roman" w:cs="Times New Roman"/>
              </w:rPr>
              <w:t>有改进空间。</w:t>
            </w:r>
          </w:p>
          <w:p w:rsidR="00EC2F91" w:rsidRPr="006E7841" w:rsidRDefault="00EC2F91" w:rsidP="006E7841">
            <w:pPr>
              <w:spacing w:line="360" w:lineRule="auto"/>
              <w:outlineLvl w:val="0"/>
              <w:rPr>
                <w:rFonts w:ascii="Times New Roman" w:eastAsia="宋体" w:hAnsi="Times New Roman" w:cs="Times New Roman"/>
                <w:b/>
              </w:rPr>
            </w:pPr>
            <w:r w:rsidRPr="006E7841">
              <w:rPr>
                <w:rFonts w:ascii="Times New Roman" w:eastAsia="宋体" w:hAnsi="Times New Roman" w:cs="Times New Roman"/>
                <w:b/>
              </w:rPr>
              <w:t>问题</w:t>
            </w:r>
            <w:r w:rsidRPr="006E7841">
              <w:rPr>
                <w:rFonts w:ascii="Times New Roman" w:eastAsia="宋体" w:hAnsi="Times New Roman" w:cs="Times New Roman"/>
                <w:b/>
              </w:rPr>
              <w:t>3</w:t>
            </w:r>
            <w:r w:rsidRPr="006E7841">
              <w:rPr>
                <w:rFonts w:ascii="Times New Roman" w:eastAsia="宋体" w:hAnsi="Times New Roman" w:cs="Times New Roman"/>
                <w:b/>
              </w:rPr>
              <w:t>：请介绍一下公司三大业务的市场格局。</w:t>
            </w:r>
          </w:p>
          <w:p w:rsidR="00EC2F91" w:rsidRPr="00EC2F91" w:rsidRDefault="00EC2F91" w:rsidP="00EC2F91">
            <w:pPr>
              <w:spacing w:line="360" w:lineRule="auto"/>
              <w:ind w:firstLineChars="200" w:firstLine="420"/>
              <w:rPr>
                <w:rFonts w:ascii="Times New Roman" w:eastAsia="宋体" w:hAnsi="Times New Roman" w:cs="Times New Roman"/>
              </w:rPr>
            </w:pPr>
            <w:bookmarkStart w:id="2" w:name="OLE_LINK1"/>
            <w:r w:rsidRPr="00EC2F91">
              <w:rPr>
                <w:rFonts w:ascii="Times New Roman" w:eastAsia="宋体" w:hAnsi="Times New Roman" w:cs="Times New Roman"/>
              </w:rPr>
              <w:t>回复：</w:t>
            </w:r>
            <w:bookmarkEnd w:id="2"/>
            <w:r w:rsidRPr="00EC2F91">
              <w:rPr>
                <w:rFonts w:ascii="Times New Roman" w:eastAsia="宋体" w:hAnsi="Times New Roman" w:cs="Times New Roman"/>
              </w:rPr>
              <w:t>（</w:t>
            </w:r>
            <w:r w:rsidRPr="00EC2F91">
              <w:rPr>
                <w:rFonts w:ascii="Times New Roman" w:eastAsia="宋体" w:hAnsi="Times New Roman" w:cs="Times New Roman"/>
              </w:rPr>
              <w:t>1</w:t>
            </w:r>
            <w:r w:rsidRPr="00EC2F91">
              <w:rPr>
                <w:rFonts w:ascii="Times New Roman" w:eastAsia="宋体" w:hAnsi="Times New Roman" w:cs="Times New Roman"/>
              </w:rPr>
              <w:t>）在列车运行控制领域，目前共有</w:t>
            </w:r>
            <w:r w:rsidRPr="00EC2F91">
              <w:rPr>
                <w:rFonts w:ascii="Times New Roman" w:eastAsia="宋体" w:hAnsi="Times New Roman" w:cs="Times New Roman"/>
              </w:rPr>
              <w:t>3</w:t>
            </w:r>
            <w:r w:rsidRPr="00EC2F91">
              <w:rPr>
                <w:rFonts w:ascii="Times New Roman" w:eastAsia="宋体" w:hAnsi="Times New Roman" w:cs="Times New Roman"/>
              </w:rPr>
              <w:t>家合格供应商，分别为本公司、时代电气、交大思诺，其中公司的市场占有率大概在</w:t>
            </w:r>
            <w:r w:rsidRPr="00EC2F91">
              <w:rPr>
                <w:rFonts w:ascii="Times New Roman" w:eastAsia="宋体" w:hAnsi="Times New Roman" w:cs="Times New Roman"/>
              </w:rPr>
              <w:t>49%</w:t>
            </w:r>
            <w:r w:rsidRPr="00EC2F91">
              <w:rPr>
                <w:rFonts w:ascii="Times New Roman" w:eastAsia="宋体" w:hAnsi="Times New Roman" w:cs="Times New Roman"/>
              </w:rPr>
              <w:t>左右，市场格局长期保持稳定。（</w:t>
            </w:r>
            <w:r w:rsidRPr="00EC2F91">
              <w:rPr>
                <w:rFonts w:ascii="Times New Roman" w:eastAsia="宋体" w:hAnsi="Times New Roman" w:cs="Times New Roman"/>
              </w:rPr>
              <w:t>2</w:t>
            </w:r>
            <w:r w:rsidRPr="00EC2F91">
              <w:rPr>
                <w:rFonts w:ascii="Times New Roman" w:eastAsia="宋体" w:hAnsi="Times New Roman" w:cs="Times New Roman"/>
              </w:rPr>
              <w:t>）铁路安全防护产品竞争较为激烈，厂家基本在</w:t>
            </w:r>
            <w:r w:rsidRPr="00EC2F91">
              <w:rPr>
                <w:rFonts w:ascii="Times New Roman" w:eastAsia="宋体" w:hAnsi="Times New Roman" w:cs="Times New Roman"/>
              </w:rPr>
              <w:t>3~8</w:t>
            </w:r>
            <w:r w:rsidRPr="00EC2F91">
              <w:rPr>
                <w:rFonts w:ascii="Times New Roman" w:eastAsia="宋体" w:hAnsi="Times New Roman" w:cs="Times New Roman"/>
              </w:rPr>
              <w:t>家，其中公司老产品</w:t>
            </w:r>
            <w:r w:rsidRPr="00EC2F91">
              <w:rPr>
                <w:rFonts w:ascii="Times New Roman" w:eastAsia="宋体" w:hAnsi="Times New Roman" w:cs="Times New Roman"/>
              </w:rPr>
              <w:t>6A</w:t>
            </w:r>
            <w:r w:rsidRPr="00EC2F91">
              <w:rPr>
                <w:rFonts w:ascii="Times New Roman" w:eastAsia="宋体" w:hAnsi="Times New Roman" w:cs="Times New Roman"/>
              </w:rPr>
              <w:t>、</w:t>
            </w:r>
            <w:r w:rsidRPr="00EC2F91">
              <w:rPr>
                <w:rFonts w:ascii="Times New Roman" w:eastAsia="宋体" w:hAnsi="Times New Roman" w:cs="Times New Roman"/>
              </w:rPr>
              <w:t>CMD</w:t>
            </w:r>
            <w:r w:rsidRPr="00EC2F91">
              <w:rPr>
                <w:rFonts w:ascii="Times New Roman" w:eastAsia="宋体" w:hAnsi="Times New Roman" w:cs="Times New Roman"/>
              </w:rPr>
              <w:t>产品市场占有率在</w:t>
            </w:r>
            <w:r w:rsidRPr="00EC2F91">
              <w:rPr>
                <w:rFonts w:ascii="Times New Roman" w:eastAsia="宋体" w:hAnsi="Times New Roman" w:cs="Times New Roman"/>
              </w:rPr>
              <w:t>30%</w:t>
            </w:r>
            <w:r w:rsidRPr="00EC2F91">
              <w:rPr>
                <w:rFonts w:ascii="Times New Roman" w:eastAsia="宋体" w:hAnsi="Times New Roman" w:cs="Times New Roman"/>
              </w:rPr>
              <w:t>以上，调车安全防护系统在</w:t>
            </w:r>
            <w:r w:rsidRPr="00EC2F91">
              <w:rPr>
                <w:rFonts w:ascii="Times New Roman" w:eastAsia="宋体" w:hAnsi="Times New Roman" w:cs="Times New Roman"/>
              </w:rPr>
              <w:t>60%</w:t>
            </w:r>
            <w:r w:rsidRPr="00EC2F91">
              <w:rPr>
                <w:rFonts w:ascii="Times New Roman" w:eastAsia="宋体" w:hAnsi="Times New Roman" w:cs="Times New Roman"/>
              </w:rPr>
              <w:t>以上，均处于市场前列。（</w:t>
            </w:r>
            <w:r w:rsidRPr="00EC2F91">
              <w:rPr>
                <w:rFonts w:ascii="Times New Roman" w:eastAsia="宋体" w:hAnsi="Times New Roman" w:cs="Times New Roman"/>
              </w:rPr>
              <w:t>3</w:t>
            </w:r>
            <w:r w:rsidRPr="00EC2F91">
              <w:rPr>
                <w:rFonts w:ascii="Times New Roman" w:eastAsia="宋体" w:hAnsi="Times New Roman" w:cs="Times New Roman"/>
              </w:rPr>
              <w:t>）在高铁运行监测领域，公司</w:t>
            </w:r>
            <w:r w:rsidRPr="00EC2F91">
              <w:rPr>
                <w:rFonts w:ascii="Times New Roman" w:eastAsia="宋体" w:hAnsi="Times New Roman" w:cs="Times New Roman"/>
              </w:rPr>
              <w:t>DMS</w:t>
            </w:r>
            <w:r w:rsidRPr="00EC2F91">
              <w:rPr>
                <w:rFonts w:ascii="Times New Roman" w:eastAsia="宋体" w:hAnsi="Times New Roman" w:cs="Times New Roman"/>
              </w:rPr>
              <w:t>、</w:t>
            </w:r>
            <w:r w:rsidRPr="00EC2F91">
              <w:rPr>
                <w:rFonts w:ascii="Times New Roman" w:eastAsia="宋体" w:hAnsi="Times New Roman" w:cs="Times New Roman"/>
              </w:rPr>
              <w:t>EOAS</w:t>
            </w:r>
            <w:r w:rsidRPr="00EC2F91">
              <w:rPr>
                <w:rFonts w:ascii="Times New Roman" w:eastAsia="宋体" w:hAnsi="Times New Roman" w:cs="Times New Roman"/>
              </w:rPr>
              <w:t>、高铁</w:t>
            </w:r>
            <w:r w:rsidRPr="00EC2F91">
              <w:rPr>
                <w:rFonts w:ascii="Times New Roman" w:eastAsia="宋体" w:hAnsi="Times New Roman" w:cs="Times New Roman"/>
              </w:rPr>
              <w:t>JRU</w:t>
            </w:r>
            <w:r w:rsidRPr="00EC2F91">
              <w:rPr>
                <w:rFonts w:ascii="Times New Roman" w:eastAsia="宋体" w:hAnsi="Times New Roman" w:cs="Times New Roman"/>
              </w:rPr>
              <w:t>等产品是我国高铁的标准配置，公司在市场占有</w:t>
            </w:r>
            <w:r w:rsidRPr="00EC2F91">
              <w:rPr>
                <w:rFonts w:ascii="Times New Roman" w:eastAsia="宋体" w:hAnsi="Times New Roman" w:cs="Times New Roman"/>
              </w:rPr>
              <w:lastRenderedPageBreak/>
              <w:t>率方面具有绝对优势，是核心供应商。</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4</w:t>
            </w:r>
            <w:r w:rsidRPr="00EC2F91">
              <w:rPr>
                <w:rFonts w:ascii="Times New Roman" w:eastAsia="宋体" w:hAnsi="Times New Roman" w:cs="Times New Roman"/>
                <w:b/>
              </w:rPr>
              <w:t>：公司各业务板块的产品更新周期大概是多长时间？</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w:t>
            </w:r>
            <w:proofErr w:type="gramStart"/>
            <w:r w:rsidRPr="00EC2F91">
              <w:rPr>
                <w:rFonts w:ascii="Times New Roman" w:eastAsia="宋体" w:hAnsi="Times New Roman" w:cs="Times New Roman"/>
              </w:rPr>
              <w:t>公司</w:t>
            </w:r>
            <w:bookmarkStart w:id="3" w:name="OLE_LINK3"/>
            <w:r w:rsidRPr="00EC2F91">
              <w:rPr>
                <w:rFonts w:ascii="Times New Roman" w:eastAsia="宋体" w:hAnsi="Times New Roman" w:cs="Times New Roman"/>
              </w:rPr>
              <w:t>列控系统</w:t>
            </w:r>
            <w:proofErr w:type="gramEnd"/>
            <w:r w:rsidRPr="00EC2F91">
              <w:rPr>
                <w:rFonts w:ascii="Times New Roman" w:eastAsia="宋体" w:hAnsi="Times New Roman" w:cs="Times New Roman"/>
              </w:rPr>
              <w:t>、铁路安防系统、高铁运行监测</w:t>
            </w:r>
            <w:bookmarkEnd w:id="3"/>
            <w:r w:rsidRPr="00EC2F91">
              <w:rPr>
                <w:rFonts w:ascii="Times New Roman" w:eastAsia="宋体" w:hAnsi="Times New Roman" w:cs="Times New Roman"/>
              </w:rPr>
              <w:t>三大业务板块的产品更新周期普遍为</w:t>
            </w:r>
            <w:r w:rsidRPr="00EC2F91">
              <w:rPr>
                <w:rFonts w:ascii="Times New Roman" w:eastAsia="宋体" w:hAnsi="Times New Roman" w:cs="Times New Roman"/>
              </w:rPr>
              <w:t>8~10</w:t>
            </w:r>
            <w:r w:rsidRPr="00EC2F91">
              <w:rPr>
                <w:rFonts w:ascii="Times New Roman" w:eastAsia="宋体" w:hAnsi="Times New Roman" w:cs="Times New Roman"/>
              </w:rPr>
              <w:t>年。目前，公司三大业务核心产品均处于更新换型阶段，客户更新需求的增长有助于提升企业的经营成果。</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5</w:t>
            </w:r>
            <w:r w:rsidRPr="00EC2F91">
              <w:rPr>
                <w:rFonts w:ascii="Times New Roman" w:eastAsia="宋体" w:hAnsi="Times New Roman" w:cs="Times New Roman"/>
                <w:b/>
              </w:rPr>
              <w:t>：请介绍一下</w:t>
            </w:r>
            <w:r w:rsidRPr="00EC2F91">
              <w:rPr>
                <w:rFonts w:ascii="Times New Roman" w:eastAsia="宋体" w:hAnsi="Times New Roman" w:cs="Times New Roman"/>
                <w:b/>
              </w:rPr>
              <w:t>2024</w:t>
            </w:r>
            <w:r w:rsidRPr="00EC2F91">
              <w:rPr>
                <w:rFonts w:ascii="Times New Roman" w:eastAsia="宋体" w:hAnsi="Times New Roman" w:cs="Times New Roman"/>
                <w:b/>
              </w:rPr>
              <w:t>年公司各业务板块的产销量情况？高铁业务产销量增长的原因？其中在新造车、存量市场的销量和订单比例大概是多少？</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w:t>
            </w:r>
            <w:r w:rsidRPr="00EC2F91">
              <w:rPr>
                <w:rFonts w:ascii="Times New Roman" w:eastAsia="宋体" w:hAnsi="Times New Roman" w:cs="Times New Roman"/>
              </w:rPr>
              <w:t>2024</w:t>
            </w:r>
            <w:r w:rsidRPr="00EC2F91">
              <w:rPr>
                <w:rFonts w:ascii="Times New Roman" w:eastAsia="宋体" w:hAnsi="Times New Roman" w:cs="Times New Roman"/>
              </w:rPr>
              <w:t>年度，公司三大主营业务均实现了良好增长，核心产品产销量及变动原因详见《思维列控</w:t>
            </w:r>
            <w:r w:rsidRPr="00EC2F91">
              <w:rPr>
                <w:rFonts w:ascii="Times New Roman" w:eastAsia="宋体" w:hAnsi="Times New Roman" w:cs="Times New Roman"/>
              </w:rPr>
              <w:t>2024</w:t>
            </w:r>
            <w:r w:rsidRPr="00EC2F91">
              <w:rPr>
                <w:rFonts w:ascii="Times New Roman" w:eastAsia="宋体" w:hAnsi="Times New Roman" w:cs="Times New Roman"/>
              </w:rPr>
              <w:t>年年度报告》第</w:t>
            </w:r>
            <w:r w:rsidRPr="00EC2F91">
              <w:rPr>
                <w:rFonts w:ascii="Times New Roman" w:eastAsia="宋体" w:hAnsi="Times New Roman" w:cs="Times New Roman"/>
              </w:rPr>
              <w:t>23</w:t>
            </w:r>
            <w:r w:rsidRPr="00EC2F91">
              <w:rPr>
                <w:rFonts w:ascii="Times New Roman" w:eastAsia="宋体" w:hAnsi="Times New Roman" w:cs="Times New Roman"/>
              </w:rPr>
              <w:t>页</w:t>
            </w:r>
            <w:r w:rsidRPr="00EC2F91">
              <w:rPr>
                <w:rFonts w:ascii="Times New Roman" w:eastAsia="宋体" w:hAnsi="Times New Roman" w:cs="Times New Roman"/>
              </w:rPr>
              <w:t>“(2)</w:t>
            </w:r>
            <w:r w:rsidRPr="00EC2F91">
              <w:rPr>
                <w:rFonts w:ascii="Times New Roman" w:eastAsia="宋体" w:hAnsi="Times New Roman" w:cs="Times New Roman"/>
              </w:rPr>
              <w:t>产销量情况分析表</w:t>
            </w:r>
            <w:r w:rsidRPr="00EC2F91">
              <w:rPr>
                <w:rFonts w:ascii="Times New Roman" w:eastAsia="宋体" w:hAnsi="Times New Roman" w:cs="Times New Roman"/>
              </w:rPr>
              <w:t>”</w:t>
            </w:r>
            <w:r w:rsidRPr="00EC2F91">
              <w:rPr>
                <w:rFonts w:ascii="Times New Roman" w:eastAsia="宋体" w:hAnsi="Times New Roman" w:cs="Times New Roman"/>
              </w:rPr>
              <w:t>。</w:t>
            </w:r>
            <w:r w:rsidRPr="00EC2F91">
              <w:rPr>
                <w:rFonts w:ascii="Times New Roman" w:eastAsia="宋体" w:hAnsi="Times New Roman" w:cs="Times New Roman"/>
              </w:rPr>
              <w:t>2024</w:t>
            </w:r>
            <w:r w:rsidRPr="00EC2F91">
              <w:rPr>
                <w:rFonts w:ascii="Times New Roman" w:eastAsia="宋体" w:hAnsi="Times New Roman" w:cs="Times New Roman"/>
              </w:rPr>
              <w:t>年，公司高铁运行监测系统实现收入</w:t>
            </w:r>
            <w:r w:rsidRPr="00EC2F91">
              <w:rPr>
                <w:rFonts w:ascii="Times New Roman" w:eastAsia="宋体" w:hAnsi="Times New Roman" w:cs="Times New Roman"/>
              </w:rPr>
              <w:t>3.58</w:t>
            </w:r>
            <w:r w:rsidRPr="00EC2F91">
              <w:rPr>
                <w:rFonts w:ascii="Times New Roman" w:eastAsia="宋体" w:hAnsi="Times New Roman" w:cs="Times New Roman"/>
              </w:rPr>
              <w:t>亿元，收入占比</w:t>
            </w:r>
            <w:r w:rsidRPr="00EC2F91">
              <w:rPr>
                <w:rFonts w:ascii="Times New Roman" w:eastAsia="宋体" w:hAnsi="Times New Roman" w:cs="Times New Roman"/>
              </w:rPr>
              <w:t>16%</w:t>
            </w:r>
            <w:r w:rsidRPr="00EC2F91">
              <w:rPr>
                <w:rFonts w:ascii="Times New Roman" w:eastAsia="宋体" w:hAnsi="Times New Roman" w:cs="Times New Roman"/>
              </w:rPr>
              <w:t>，同比增长</w:t>
            </w:r>
            <w:r w:rsidRPr="00EC2F91">
              <w:rPr>
                <w:rFonts w:ascii="Times New Roman" w:eastAsia="宋体" w:hAnsi="Times New Roman" w:cs="Times New Roman"/>
              </w:rPr>
              <w:t>39.79%</w:t>
            </w:r>
            <w:r w:rsidRPr="00EC2F91">
              <w:rPr>
                <w:rFonts w:ascii="Times New Roman" w:eastAsia="宋体" w:hAnsi="Times New Roman" w:cs="Times New Roman"/>
              </w:rPr>
              <w:t>，主要受益于高铁新造车、五级修需求增长明显，叠加存量设备进入更新周期，其中</w:t>
            </w:r>
            <w:r w:rsidRPr="00EC2F91">
              <w:rPr>
                <w:rFonts w:ascii="Times New Roman" w:eastAsia="宋体" w:hAnsi="Times New Roman" w:cs="Times New Roman"/>
              </w:rPr>
              <w:t>DMS</w:t>
            </w:r>
            <w:r w:rsidRPr="00EC2F91">
              <w:rPr>
                <w:rFonts w:ascii="Times New Roman" w:eastAsia="宋体" w:hAnsi="Times New Roman" w:cs="Times New Roman"/>
              </w:rPr>
              <w:t>、</w:t>
            </w:r>
            <w:r w:rsidRPr="00EC2F91">
              <w:rPr>
                <w:rFonts w:ascii="Times New Roman" w:eastAsia="宋体" w:hAnsi="Times New Roman" w:cs="Times New Roman"/>
              </w:rPr>
              <w:t>EOAS</w:t>
            </w:r>
            <w:r w:rsidRPr="00EC2F91">
              <w:rPr>
                <w:rFonts w:ascii="Times New Roman" w:eastAsia="宋体" w:hAnsi="Times New Roman" w:cs="Times New Roman"/>
              </w:rPr>
              <w:t>系统车载设备生产量增长超</w:t>
            </w:r>
            <w:r w:rsidRPr="00EC2F91">
              <w:rPr>
                <w:rFonts w:ascii="Times New Roman" w:eastAsia="宋体" w:hAnsi="Times New Roman" w:cs="Times New Roman"/>
              </w:rPr>
              <w:t>200%</w:t>
            </w:r>
            <w:r w:rsidRPr="00EC2F91">
              <w:rPr>
                <w:rFonts w:ascii="Times New Roman" w:eastAsia="宋体" w:hAnsi="Times New Roman" w:cs="Times New Roman"/>
              </w:rPr>
              <w:t>。公司的订单主要来自存量设备更新及升级需求，新造车对公司订单的影响一般来说不超过</w:t>
            </w:r>
            <w:r w:rsidRPr="00EC2F91">
              <w:rPr>
                <w:rFonts w:ascii="Times New Roman" w:eastAsia="宋体" w:hAnsi="Times New Roman" w:cs="Times New Roman"/>
              </w:rPr>
              <w:t>20%</w:t>
            </w:r>
            <w:r w:rsidRPr="00EC2F91">
              <w:rPr>
                <w:rFonts w:ascii="Times New Roman" w:eastAsia="宋体" w:hAnsi="Times New Roman" w:cs="Times New Roman"/>
              </w:rPr>
              <w:t>。</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6</w:t>
            </w:r>
            <w:r w:rsidRPr="00EC2F91">
              <w:rPr>
                <w:rFonts w:ascii="Times New Roman" w:eastAsia="宋体" w:hAnsi="Times New Roman" w:cs="Times New Roman"/>
                <w:b/>
              </w:rPr>
              <w:t>：公司一直保持高比例分红，公司考虑的主要因素是什么？未来分红水平大概会保持在什么水平？</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回复：公司自上市以来，连续十年实施现金分红，</w:t>
            </w:r>
            <w:r w:rsidRPr="00EC2F91">
              <w:rPr>
                <w:rFonts w:ascii="Times New Roman" w:eastAsia="宋体" w:hAnsi="Times New Roman" w:cs="Times New Roman"/>
              </w:rPr>
              <w:t>2021</w:t>
            </w:r>
            <w:r w:rsidRPr="00EC2F91">
              <w:rPr>
                <w:rFonts w:ascii="Times New Roman" w:eastAsia="宋体" w:hAnsi="Times New Roman" w:cs="Times New Roman"/>
              </w:rPr>
              <w:t>年以来现金分红比例均不低于当期</w:t>
            </w:r>
            <w:proofErr w:type="gramStart"/>
            <w:r w:rsidRPr="00EC2F91">
              <w:rPr>
                <w:rFonts w:ascii="Times New Roman" w:eastAsia="宋体" w:hAnsi="Times New Roman" w:cs="Times New Roman"/>
              </w:rPr>
              <w:t>归母净利润</w:t>
            </w:r>
            <w:proofErr w:type="gramEnd"/>
            <w:r w:rsidRPr="00EC2F91">
              <w:rPr>
                <w:rFonts w:ascii="Times New Roman" w:eastAsia="宋体" w:hAnsi="Times New Roman" w:cs="Times New Roman"/>
              </w:rPr>
              <w:t>的</w:t>
            </w:r>
            <w:r w:rsidRPr="00EC2F91">
              <w:rPr>
                <w:rFonts w:ascii="Times New Roman" w:eastAsia="宋体" w:hAnsi="Times New Roman" w:cs="Times New Roman"/>
              </w:rPr>
              <w:t>60%</w:t>
            </w:r>
            <w:r w:rsidRPr="00EC2F91">
              <w:rPr>
                <w:rFonts w:ascii="Times New Roman" w:eastAsia="宋体" w:hAnsi="Times New Roman" w:cs="Times New Roman"/>
              </w:rPr>
              <w:t>。</w:t>
            </w:r>
            <w:r w:rsidRPr="00EC2F91">
              <w:rPr>
                <w:rFonts w:ascii="Times New Roman" w:eastAsia="宋体" w:hAnsi="Times New Roman" w:cs="Times New Roman"/>
              </w:rPr>
              <w:t>2024</w:t>
            </w:r>
            <w:r w:rsidRPr="00EC2F91">
              <w:rPr>
                <w:rFonts w:ascii="Times New Roman" w:eastAsia="宋体" w:hAnsi="Times New Roman" w:cs="Times New Roman"/>
              </w:rPr>
              <w:t>年度分红预案延续了高比例分红的传统，同时将</w:t>
            </w:r>
            <w:r w:rsidRPr="00EC2F91">
              <w:rPr>
                <w:rFonts w:ascii="Times New Roman" w:eastAsia="宋体" w:hAnsi="Times New Roman" w:cs="Times New Roman"/>
              </w:rPr>
              <w:t>2024</w:t>
            </w:r>
            <w:r w:rsidRPr="00EC2F91">
              <w:rPr>
                <w:rFonts w:ascii="Times New Roman" w:eastAsia="宋体" w:hAnsi="Times New Roman" w:cs="Times New Roman"/>
              </w:rPr>
              <w:t>年度的现金分红比例由此前的</w:t>
            </w:r>
            <w:r w:rsidRPr="00EC2F91">
              <w:rPr>
                <w:rFonts w:ascii="Times New Roman" w:eastAsia="宋体" w:hAnsi="Times New Roman" w:cs="Times New Roman"/>
              </w:rPr>
              <w:t>70%</w:t>
            </w:r>
            <w:r w:rsidRPr="00EC2F91">
              <w:rPr>
                <w:rFonts w:ascii="Times New Roman" w:eastAsia="宋体" w:hAnsi="Times New Roman" w:cs="Times New Roman"/>
              </w:rPr>
              <w:t>提升至</w:t>
            </w:r>
            <w:r w:rsidRPr="00EC2F91">
              <w:rPr>
                <w:rFonts w:ascii="Times New Roman" w:eastAsia="宋体" w:hAnsi="Times New Roman" w:cs="Times New Roman"/>
              </w:rPr>
              <w:t>100%</w:t>
            </w:r>
            <w:r w:rsidRPr="00EC2F91">
              <w:rPr>
                <w:rFonts w:ascii="Times New Roman" w:eastAsia="宋体" w:hAnsi="Times New Roman" w:cs="Times New Roman"/>
              </w:rPr>
              <w:t>。主要考虑因素如下：（</w:t>
            </w:r>
            <w:r w:rsidRPr="00EC2F91">
              <w:rPr>
                <w:rFonts w:ascii="Times New Roman" w:eastAsia="宋体" w:hAnsi="Times New Roman" w:cs="Times New Roman"/>
              </w:rPr>
              <w:t>1</w:t>
            </w:r>
            <w:r w:rsidRPr="00EC2F91">
              <w:rPr>
                <w:rFonts w:ascii="Times New Roman" w:eastAsia="宋体" w:hAnsi="Times New Roman" w:cs="Times New Roman"/>
              </w:rPr>
              <w:t>）公司具备持续大比例现金分红的客观条件。截至</w:t>
            </w:r>
            <w:r w:rsidRPr="00EC2F91">
              <w:rPr>
                <w:rFonts w:ascii="Times New Roman" w:eastAsia="宋体" w:hAnsi="Times New Roman" w:cs="Times New Roman"/>
              </w:rPr>
              <w:t>2024</w:t>
            </w:r>
            <w:r w:rsidRPr="00EC2F91">
              <w:rPr>
                <w:rFonts w:ascii="Times New Roman" w:eastAsia="宋体" w:hAnsi="Times New Roman" w:cs="Times New Roman"/>
              </w:rPr>
              <w:t>年</w:t>
            </w:r>
            <w:r w:rsidRPr="00EC2F91">
              <w:rPr>
                <w:rFonts w:ascii="Times New Roman" w:eastAsia="宋体" w:hAnsi="Times New Roman" w:cs="Times New Roman"/>
              </w:rPr>
              <w:t>12</w:t>
            </w:r>
            <w:r w:rsidRPr="00EC2F91">
              <w:rPr>
                <w:rFonts w:ascii="Times New Roman" w:eastAsia="宋体" w:hAnsi="Times New Roman" w:cs="Times New Roman"/>
              </w:rPr>
              <w:t>月</w:t>
            </w:r>
            <w:r w:rsidRPr="00EC2F91">
              <w:rPr>
                <w:rFonts w:ascii="Times New Roman" w:eastAsia="宋体" w:hAnsi="Times New Roman" w:cs="Times New Roman"/>
              </w:rPr>
              <w:t>31</w:t>
            </w:r>
            <w:r w:rsidRPr="00EC2F91">
              <w:rPr>
                <w:rFonts w:ascii="Times New Roman" w:eastAsia="宋体" w:hAnsi="Times New Roman" w:cs="Times New Roman"/>
              </w:rPr>
              <w:t>日，公司累计未分配利润为</w:t>
            </w:r>
            <w:r w:rsidRPr="00EC2F91">
              <w:rPr>
                <w:rFonts w:ascii="Times New Roman" w:eastAsia="宋体" w:hAnsi="Times New Roman" w:cs="Times New Roman"/>
              </w:rPr>
              <w:t>18.39</w:t>
            </w:r>
            <w:r w:rsidRPr="00EC2F91">
              <w:rPr>
                <w:rFonts w:ascii="Times New Roman" w:eastAsia="宋体" w:hAnsi="Times New Roman" w:cs="Times New Roman"/>
              </w:rPr>
              <w:t>亿元，货币资金</w:t>
            </w:r>
            <w:r w:rsidRPr="00EC2F91">
              <w:rPr>
                <w:rFonts w:ascii="Times New Roman" w:eastAsia="宋体" w:hAnsi="Times New Roman" w:cs="Times New Roman"/>
              </w:rPr>
              <w:t>16.65</w:t>
            </w:r>
            <w:r w:rsidRPr="00EC2F91">
              <w:rPr>
                <w:rFonts w:ascii="Times New Roman" w:eastAsia="宋体" w:hAnsi="Times New Roman" w:cs="Times New Roman"/>
              </w:rPr>
              <w:t>亿元，自有资金较为充裕；（</w:t>
            </w:r>
            <w:r w:rsidRPr="00EC2F91">
              <w:rPr>
                <w:rFonts w:ascii="Times New Roman" w:eastAsia="宋体" w:hAnsi="Times New Roman" w:cs="Times New Roman"/>
              </w:rPr>
              <w:t>2</w:t>
            </w:r>
            <w:r w:rsidRPr="00EC2F91">
              <w:rPr>
                <w:rFonts w:ascii="Times New Roman" w:eastAsia="宋体" w:hAnsi="Times New Roman" w:cs="Times New Roman"/>
              </w:rPr>
              <w:t>）近三年，公司净现金流持续向好，</w:t>
            </w:r>
            <w:r w:rsidRPr="00EC2F91">
              <w:rPr>
                <w:rFonts w:ascii="Times New Roman" w:eastAsia="宋体" w:hAnsi="Times New Roman" w:cs="Times New Roman"/>
              </w:rPr>
              <w:t>2024</w:t>
            </w:r>
            <w:r w:rsidRPr="00EC2F91">
              <w:rPr>
                <w:rFonts w:ascii="Times New Roman" w:eastAsia="宋体" w:hAnsi="Times New Roman" w:cs="Times New Roman"/>
              </w:rPr>
              <w:t>年公司净</w:t>
            </w:r>
            <w:proofErr w:type="gramStart"/>
            <w:r w:rsidRPr="00EC2F91">
              <w:rPr>
                <w:rFonts w:ascii="Times New Roman" w:eastAsia="宋体" w:hAnsi="Times New Roman" w:cs="Times New Roman"/>
              </w:rPr>
              <w:t>现金流净流入</w:t>
            </w:r>
            <w:proofErr w:type="gramEnd"/>
            <w:r w:rsidRPr="00EC2F91">
              <w:rPr>
                <w:rFonts w:ascii="Times New Roman" w:eastAsia="宋体" w:hAnsi="Times New Roman" w:cs="Times New Roman"/>
              </w:rPr>
              <w:t>4.39</w:t>
            </w:r>
            <w:r w:rsidRPr="00EC2F91">
              <w:rPr>
                <w:rFonts w:ascii="Times New Roman" w:eastAsia="宋体" w:hAnsi="Times New Roman" w:cs="Times New Roman"/>
              </w:rPr>
              <w:t>亿元，同比增长</w:t>
            </w:r>
            <w:r w:rsidRPr="00EC2F91">
              <w:rPr>
                <w:rFonts w:ascii="Times New Roman" w:eastAsia="宋体" w:hAnsi="Times New Roman" w:cs="Times New Roman"/>
              </w:rPr>
              <w:t>52%</w:t>
            </w:r>
            <w:r w:rsidRPr="00EC2F91">
              <w:rPr>
                <w:rFonts w:ascii="Times New Roman" w:eastAsia="宋体" w:hAnsi="Times New Roman" w:cs="Times New Roman"/>
              </w:rPr>
              <w:t>；（</w:t>
            </w:r>
            <w:r w:rsidRPr="00EC2F91">
              <w:rPr>
                <w:rFonts w:ascii="Times New Roman" w:eastAsia="宋体" w:hAnsi="Times New Roman" w:cs="Times New Roman"/>
              </w:rPr>
              <w:t>3</w:t>
            </w:r>
            <w:r w:rsidRPr="00EC2F91">
              <w:rPr>
                <w:rFonts w:ascii="Times New Roman" w:eastAsia="宋体" w:hAnsi="Times New Roman" w:cs="Times New Roman"/>
              </w:rPr>
              <w:t>）公司近期无重大资金支出安排；（</w:t>
            </w:r>
            <w:r w:rsidRPr="00EC2F91">
              <w:rPr>
                <w:rFonts w:ascii="Times New Roman" w:eastAsia="宋体" w:hAnsi="Times New Roman" w:cs="Times New Roman"/>
              </w:rPr>
              <w:t>4</w:t>
            </w:r>
            <w:r w:rsidRPr="00EC2F91">
              <w:rPr>
                <w:rFonts w:ascii="Times New Roman" w:eastAsia="宋体" w:hAnsi="Times New Roman" w:cs="Times New Roman"/>
              </w:rPr>
              <w:t>）公司闲置自有资金主要用于短期理财，因收益持续下降，不利于提升公司</w:t>
            </w:r>
            <w:r w:rsidRPr="00EC2F91">
              <w:rPr>
                <w:rFonts w:ascii="Times New Roman" w:eastAsia="宋体" w:hAnsi="Times New Roman" w:cs="Times New Roman"/>
              </w:rPr>
              <w:t>ROE</w:t>
            </w:r>
            <w:r w:rsidRPr="00EC2F91">
              <w:rPr>
                <w:rFonts w:ascii="Times New Roman" w:eastAsia="宋体" w:hAnsi="Times New Roman" w:cs="Times New Roman"/>
              </w:rPr>
              <w:t>水平。为优化公司资产结构，提升资产收益率，进一步提高股东回报，稳定股价，董事会提议继续加大现金分红比例，以真金白银切实回报投资者。近期，公司董事会提议修订《公司</w:t>
            </w:r>
            <w:r w:rsidRPr="00EC2F91">
              <w:rPr>
                <w:rFonts w:ascii="Times New Roman" w:eastAsia="宋体" w:hAnsi="Times New Roman" w:cs="Times New Roman"/>
              </w:rPr>
              <w:t>2024~2026</w:t>
            </w:r>
            <w:r w:rsidRPr="00EC2F91">
              <w:rPr>
                <w:rFonts w:ascii="Times New Roman" w:eastAsia="宋体" w:hAnsi="Times New Roman" w:cs="Times New Roman"/>
              </w:rPr>
              <w:t>年分红规划》，</w:t>
            </w:r>
            <w:r w:rsidRPr="00EC2F91">
              <w:rPr>
                <w:rFonts w:ascii="Times New Roman" w:eastAsia="宋体" w:hAnsi="Times New Roman" w:cs="Times New Roman"/>
                <w:color w:val="000000" w:themeColor="text1"/>
              </w:rPr>
              <w:t>将</w:t>
            </w:r>
            <w:r w:rsidRPr="00EC2F91">
              <w:rPr>
                <w:rFonts w:ascii="Times New Roman" w:eastAsia="宋体" w:hAnsi="Times New Roman" w:cs="Times New Roman"/>
                <w:color w:val="000000" w:themeColor="text1"/>
                <w:szCs w:val="24"/>
              </w:rPr>
              <w:t>公司每年现金分红比例由不少于当年实现的可供分配利润的</w:t>
            </w:r>
            <w:r w:rsidRPr="00EC2F91">
              <w:rPr>
                <w:rFonts w:ascii="Times New Roman" w:eastAsia="宋体" w:hAnsi="Times New Roman" w:cs="Times New Roman"/>
                <w:color w:val="000000" w:themeColor="text1"/>
                <w:szCs w:val="24"/>
              </w:rPr>
              <w:t>40%</w:t>
            </w:r>
            <w:r w:rsidRPr="00EC2F91">
              <w:rPr>
                <w:rFonts w:ascii="Times New Roman" w:eastAsia="宋体" w:hAnsi="Times New Roman" w:cs="Times New Roman"/>
                <w:color w:val="000000" w:themeColor="text1"/>
                <w:szCs w:val="24"/>
              </w:rPr>
              <w:t>提升至</w:t>
            </w:r>
            <w:r w:rsidRPr="00EC2F91">
              <w:rPr>
                <w:rFonts w:ascii="Times New Roman" w:eastAsia="宋体" w:hAnsi="Times New Roman" w:cs="Times New Roman"/>
                <w:color w:val="000000" w:themeColor="text1"/>
                <w:szCs w:val="24"/>
              </w:rPr>
              <w:t>60%</w:t>
            </w:r>
            <w:r w:rsidRPr="00EC2F91">
              <w:rPr>
                <w:rFonts w:ascii="Times New Roman" w:eastAsia="宋体" w:hAnsi="Times New Roman" w:cs="Times New Roman"/>
                <w:color w:val="000000" w:themeColor="text1"/>
                <w:szCs w:val="24"/>
              </w:rPr>
              <w:t>，并且明确了</w:t>
            </w:r>
            <w:r w:rsidRPr="00EC2F91">
              <w:rPr>
                <w:rFonts w:ascii="Times New Roman" w:eastAsia="宋体" w:hAnsi="Times New Roman" w:cs="Times New Roman"/>
                <w:color w:val="000000" w:themeColor="text1"/>
                <w:szCs w:val="24"/>
              </w:rPr>
              <w:t>“</w:t>
            </w:r>
            <w:r w:rsidRPr="00EC2F91">
              <w:rPr>
                <w:rFonts w:ascii="Times New Roman" w:eastAsia="宋体" w:hAnsi="Times New Roman" w:cs="Times New Roman"/>
                <w:color w:val="000000" w:themeColor="text1"/>
                <w:szCs w:val="24"/>
              </w:rPr>
              <w:t>原则上公司每年进行中期利润分配，在有条件的情况下，公司可以按季度实施利润分配</w:t>
            </w:r>
            <w:r w:rsidRPr="00EC2F91">
              <w:rPr>
                <w:rFonts w:ascii="Times New Roman" w:eastAsia="宋体" w:hAnsi="Times New Roman" w:cs="Times New Roman"/>
                <w:color w:val="000000" w:themeColor="text1"/>
                <w:szCs w:val="24"/>
              </w:rPr>
              <w:t>”</w:t>
            </w:r>
            <w:r w:rsidRPr="00EC2F91">
              <w:rPr>
                <w:rFonts w:ascii="Times New Roman" w:eastAsia="宋体" w:hAnsi="Times New Roman" w:cs="Times New Roman"/>
                <w:color w:val="000000" w:themeColor="text1"/>
                <w:szCs w:val="24"/>
              </w:rPr>
              <w:t>。</w:t>
            </w:r>
            <w:r w:rsidRPr="00EC2F91">
              <w:rPr>
                <w:rFonts w:ascii="Times New Roman" w:eastAsia="宋体" w:hAnsi="Times New Roman" w:cs="Times New Roman"/>
              </w:rPr>
              <w:t>后续，在不影响公司正常生产经营的前提下，公司仍将保持积极稳健的现金分红政策，具体以公司股东会审议通过的利润分配方案为准。</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7</w:t>
            </w:r>
            <w:r w:rsidRPr="00EC2F91">
              <w:rPr>
                <w:rFonts w:ascii="Times New Roman" w:eastAsia="宋体" w:hAnsi="Times New Roman" w:cs="Times New Roman"/>
                <w:b/>
              </w:rPr>
              <w:t>：请介绍一下公司的应收账款变化趋势，目前很多企业回款形势普遍不好，公司的情况如何？公司的应收账款存在的风险大吗？</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lastRenderedPageBreak/>
              <w:t>回复：随着公司收入增长，公司应收账款保持增长趋势，但产生坏账损失的风险较小。主要原因分析如下：（</w:t>
            </w:r>
            <w:r w:rsidRPr="00EC2F91">
              <w:rPr>
                <w:rFonts w:ascii="Times New Roman" w:eastAsia="宋体" w:hAnsi="Times New Roman" w:cs="Times New Roman"/>
              </w:rPr>
              <w:t>1</w:t>
            </w:r>
            <w:r w:rsidRPr="00EC2F91">
              <w:rPr>
                <w:rFonts w:ascii="Times New Roman" w:eastAsia="宋体" w:hAnsi="Times New Roman" w:cs="Times New Roman"/>
              </w:rPr>
              <w:t>）从客户性质来看，公司客户主要是国铁集团、各铁路局集团公司、中国中车等国有企业，客户信用良好；（</w:t>
            </w:r>
            <w:r w:rsidRPr="00EC2F91">
              <w:rPr>
                <w:rFonts w:ascii="Times New Roman" w:eastAsia="宋体" w:hAnsi="Times New Roman" w:cs="Times New Roman"/>
              </w:rPr>
              <w:t>2</w:t>
            </w:r>
            <w:r w:rsidRPr="00EC2F91">
              <w:rPr>
                <w:rFonts w:ascii="Times New Roman" w:eastAsia="宋体" w:hAnsi="Times New Roman" w:cs="Times New Roman"/>
              </w:rPr>
              <w:t>）从应收账款账</w:t>
            </w:r>
            <w:proofErr w:type="gramStart"/>
            <w:r w:rsidRPr="00EC2F91">
              <w:rPr>
                <w:rFonts w:ascii="Times New Roman" w:eastAsia="宋体" w:hAnsi="Times New Roman" w:cs="Times New Roman"/>
              </w:rPr>
              <w:t>龄结构</w:t>
            </w:r>
            <w:proofErr w:type="gramEnd"/>
            <w:r w:rsidRPr="00EC2F91">
              <w:rPr>
                <w:rFonts w:ascii="Times New Roman" w:eastAsia="宋体" w:hAnsi="Times New Roman" w:cs="Times New Roman"/>
              </w:rPr>
              <w:t>来看，截至</w:t>
            </w:r>
            <w:r w:rsidRPr="00EC2F91">
              <w:rPr>
                <w:rFonts w:ascii="Times New Roman" w:eastAsia="宋体" w:hAnsi="Times New Roman" w:cs="Times New Roman"/>
              </w:rPr>
              <w:t>2024</w:t>
            </w:r>
            <w:r w:rsidRPr="00EC2F91">
              <w:rPr>
                <w:rFonts w:ascii="Times New Roman" w:eastAsia="宋体" w:hAnsi="Times New Roman" w:cs="Times New Roman"/>
              </w:rPr>
              <w:t>年末，公司应收账款主要集中在</w:t>
            </w:r>
            <w:r w:rsidRPr="00EC2F91">
              <w:rPr>
                <w:rFonts w:ascii="Times New Roman" w:eastAsia="宋体" w:hAnsi="Times New Roman" w:cs="Times New Roman"/>
              </w:rPr>
              <w:t>3</w:t>
            </w:r>
            <w:r w:rsidRPr="00EC2F91">
              <w:rPr>
                <w:rFonts w:ascii="Times New Roman" w:eastAsia="宋体" w:hAnsi="Times New Roman" w:cs="Times New Roman"/>
              </w:rPr>
              <w:t>年以内，占比约</w:t>
            </w:r>
            <w:r w:rsidRPr="00EC2F91">
              <w:rPr>
                <w:rFonts w:ascii="Times New Roman" w:eastAsia="宋体" w:hAnsi="Times New Roman" w:cs="Times New Roman"/>
              </w:rPr>
              <w:t>96.78%</w:t>
            </w:r>
            <w:r w:rsidRPr="00EC2F91">
              <w:rPr>
                <w:rFonts w:ascii="Times New Roman" w:eastAsia="宋体" w:hAnsi="Times New Roman" w:cs="Times New Roman"/>
              </w:rPr>
              <w:t>，其中账龄在</w:t>
            </w:r>
            <w:r w:rsidRPr="00EC2F91">
              <w:rPr>
                <w:rFonts w:ascii="Times New Roman" w:eastAsia="宋体" w:hAnsi="Times New Roman" w:cs="Times New Roman"/>
              </w:rPr>
              <w:t>1</w:t>
            </w:r>
            <w:r w:rsidRPr="00EC2F91">
              <w:rPr>
                <w:rFonts w:ascii="Times New Roman" w:eastAsia="宋体" w:hAnsi="Times New Roman" w:cs="Times New Roman"/>
              </w:rPr>
              <w:t>年以内的应收</w:t>
            </w:r>
            <w:proofErr w:type="gramStart"/>
            <w:r w:rsidRPr="00EC2F91">
              <w:rPr>
                <w:rFonts w:ascii="Times New Roman" w:eastAsia="宋体" w:hAnsi="Times New Roman" w:cs="Times New Roman"/>
              </w:rPr>
              <w:t>账款占</w:t>
            </w:r>
            <w:proofErr w:type="gramEnd"/>
            <w:r w:rsidRPr="00EC2F91">
              <w:rPr>
                <w:rFonts w:ascii="Times New Roman" w:eastAsia="宋体" w:hAnsi="Times New Roman" w:cs="Times New Roman"/>
              </w:rPr>
              <w:t>比为</w:t>
            </w:r>
            <w:r w:rsidRPr="00EC2F91">
              <w:rPr>
                <w:rFonts w:ascii="Times New Roman" w:eastAsia="宋体" w:hAnsi="Times New Roman" w:cs="Times New Roman"/>
              </w:rPr>
              <w:t>87.20%</w:t>
            </w:r>
            <w:r w:rsidRPr="00EC2F91">
              <w:rPr>
                <w:rFonts w:ascii="Times New Roman" w:eastAsia="宋体" w:hAnsi="Times New Roman" w:cs="Times New Roman"/>
              </w:rPr>
              <w:t>，</w:t>
            </w:r>
            <w:r w:rsidRPr="00EC2F91">
              <w:rPr>
                <w:rFonts w:ascii="Times New Roman" w:eastAsia="宋体" w:hAnsi="Times New Roman" w:cs="Times New Roman"/>
              </w:rPr>
              <w:t>1</w:t>
            </w:r>
            <w:r w:rsidRPr="00EC2F91">
              <w:rPr>
                <w:rFonts w:ascii="Times New Roman" w:eastAsia="宋体" w:hAnsi="Times New Roman" w:cs="Times New Roman"/>
              </w:rPr>
              <w:t>至</w:t>
            </w:r>
            <w:r w:rsidRPr="00EC2F91">
              <w:rPr>
                <w:rFonts w:ascii="Times New Roman" w:eastAsia="宋体" w:hAnsi="Times New Roman" w:cs="Times New Roman"/>
              </w:rPr>
              <w:t>2</w:t>
            </w:r>
            <w:r w:rsidRPr="00EC2F91">
              <w:rPr>
                <w:rFonts w:ascii="Times New Roman" w:eastAsia="宋体" w:hAnsi="Times New Roman" w:cs="Times New Roman"/>
              </w:rPr>
              <w:t>年的占比为</w:t>
            </w:r>
            <w:r w:rsidRPr="00EC2F91">
              <w:rPr>
                <w:rFonts w:ascii="Times New Roman" w:eastAsia="宋体" w:hAnsi="Times New Roman" w:cs="Times New Roman"/>
              </w:rPr>
              <w:t>7.84%</w:t>
            </w:r>
            <w:r w:rsidRPr="00EC2F91">
              <w:rPr>
                <w:rFonts w:ascii="Times New Roman" w:eastAsia="宋体" w:hAnsi="Times New Roman" w:cs="Times New Roman"/>
              </w:rPr>
              <w:t>，</w:t>
            </w:r>
            <w:r w:rsidRPr="00EC2F91">
              <w:rPr>
                <w:rFonts w:ascii="Times New Roman" w:eastAsia="宋体" w:hAnsi="Times New Roman" w:cs="Times New Roman"/>
              </w:rPr>
              <w:t>2</w:t>
            </w:r>
            <w:r w:rsidRPr="00EC2F91">
              <w:rPr>
                <w:rFonts w:ascii="Times New Roman" w:eastAsia="宋体" w:hAnsi="Times New Roman" w:cs="Times New Roman"/>
              </w:rPr>
              <w:t>至</w:t>
            </w:r>
            <w:r w:rsidRPr="00EC2F91">
              <w:rPr>
                <w:rFonts w:ascii="Times New Roman" w:eastAsia="宋体" w:hAnsi="Times New Roman" w:cs="Times New Roman"/>
              </w:rPr>
              <w:t>3</w:t>
            </w:r>
            <w:r w:rsidRPr="00EC2F91">
              <w:rPr>
                <w:rFonts w:ascii="Times New Roman" w:eastAsia="宋体" w:hAnsi="Times New Roman" w:cs="Times New Roman"/>
              </w:rPr>
              <w:t>年的占比为</w:t>
            </w:r>
            <w:r w:rsidRPr="00EC2F91">
              <w:rPr>
                <w:rFonts w:ascii="Times New Roman" w:eastAsia="宋体" w:hAnsi="Times New Roman" w:cs="Times New Roman"/>
              </w:rPr>
              <w:t>1.74%</w:t>
            </w:r>
            <w:r w:rsidRPr="00EC2F91">
              <w:rPr>
                <w:rFonts w:ascii="Times New Roman" w:eastAsia="宋体" w:hAnsi="Times New Roman" w:cs="Times New Roman"/>
              </w:rPr>
              <w:t>；（</w:t>
            </w:r>
            <w:r w:rsidRPr="00EC2F91">
              <w:rPr>
                <w:rFonts w:ascii="Times New Roman" w:eastAsia="宋体" w:hAnsi="Times New Roman" w:cs="Times New Roman"/>
              </w:rPr>
              <w:t>3</w:t>
            </w:r>
            <w:r w:rsidRPr="00EC2F91">
              <w:rPr>
                <w:rFonts w:ascii="Times New Roman" w:eastAsia="宋体" w:hAnsi="Times New Roman" w:cs="Times New Roman"/>
              </w:rPr>
              <w:t>）从公司经营考核和历年实际回款情况看，公司</w:t>
            </w:r>
            <w:r w:rsidRPr="00EC2F91">
              <w:rPr>
                <w:rFonts w:ascii="Times New Roman" w:eastAsia="宋体" w:hAnsi="Times New Roman" w:cs="Times New Roman"/>
              </w:rPr>
              <w:t>3</w:t>
            </w:r>
            <w:r w:rsidRPr="00EC2F91">
              <w:rPr>
                <w:rFonts w:ascii="Times New Roman" w:eastAsia="宋体" w:hAnsi="Times New Roman" w:cs="Times New Roman"/>
              </w:rPr>
              <w:t>年以上应收账款回款率在</w:t>
            </w:r>
            <w:r w:rsidRPr="00EC2F91">
              <w:rPr>
                <w:rFonts w:ascii="Times New Roman" w:eastAsia="宋体" w:hAnsi="Times New Roman" w:cs="Times New Roman"/>
              </w:rPr>
              <w:t>98%</w:t>
            </w:r>
            <w:r w:rsidRPr="00EC2F91">
              <w:rPr>
                <w:rFonts w:ascii="Times New Roman" w:eastAsia="宋体" w:hAnsi="Times New Roman" w:cs="Times New Roman"/>
              </w:rPr>
              <w:t>以上，坏账风险较小。（</w:t>
            </w:r>
            <w:r w:rsidRPr="00EC2F91">
              <w:rPr>
                <w:rFonts w:ascii="Times New Roman" w:eastAsia="宋体" w:hAnsi="Times New Roman" w:cs="Times New Roman"/>
              </w:rPr>
              <w:t>4</w:t>
            </w:r>
            <w:r w:rsidRPr="00EC2F91">
              <w:rPr>
                <w:rFonts w:ascii="Times New Roman" w:eastAsia="宋体" w:hAnsi="Times New Roman" w:cs="Times New Roman"/>
              </w:rPr>
              <w:t>）从近三年公司净现金流来看，通过持续加大销售人员应收账款催收考核力度，公司</w:t>
            </w:r>
            <w:r w:rsidRPr="00EC2F91">
              <w:rPr>
                <w:rFonts w:ascii="Times New Roman" w:eastAsia="宋体" w:hAnsi="Times New Roman" w:cs="Times New Roman"/>
              </w:rPr>
              <w:t>2022</w:t>
            </w:r>
            <w:r w:rsidRPr="00EC2F91">
              <w:rPr>
                <w:rFonts w:ascii="Times New Roman" w:eastAsia="宋体" w:hAnsi="Times New Roman" w:cs="Times New Roman"/>
              </w:rPr>
              <w:t>年</w:t>
            </w:r>
            <w:r w:rsidRPr="00EC2F91">
              <w:rPr>
                <w:rFonts w:ascii="Times New Roman" w:eastAsia="宋体" w:hAnsi="Times New Roman" w:cs="Times New Roman"/>
              </w:rPr>
              <w:t>~2024</w:t>
            </w:r>
            <w:r w:rsidRPr="00EC2F91">
              <w:rPr>
                <w:rFonts w:ascii="Times New Roman" w:eastAsia="宋体" w:hAnsi="Times New Roman" w:cs="Times New Roman"/>
              </w:rPr>
              <w:t>年经营活动产生的现金流量净额分别为</w:t>
            </w:r>
            <w:r w:rsidRPr="00EC2F91">
              <w:rPr>
                <w:rFonts w:ascii="Times New Roman" w:eastAsia="宋体" w:hAnsi="Times New Roman" w:cs="Times New Roman"/>
              </w:rPr>
              <w:t>2.27</w:t>
            </w:r>
            <w:r w:rsidRPr="00EC2F91">
              <w:rPr>
                <w:rFonts w:ascii="Times New Roman" w:eastAsia="宋体" w:hAnsi="Times New Roman" w:cs="Times New Roman"/>
              </w:rPr>
              <w:t>亿元、</w:t>
            </w:r>
            <w:r w:rsidRPr="00EC2F91">
              <w:rPr>
                <w:rFonts w:ascii="Times New Roman" w:eastAsia="宋体" w:hAnsi="Times New Roman" w:cs="Times New Roman"/>
              </w:rPr>
              <w:t>2.88</w:t>
            </w:r>
            <w:r w:rsidRPr="00EC2F91">
              <w:rPr>
                <w:rFonts w:ascii="Times New Roman" w:eastAsia="宋体" w:hAnsi="Times New Roman" w:cs="Times New Roman"/>
              </w:rPr>
              <w:t>亿元、</w:t>
            </w:r>
            <w:r w:rsidRPr="00EC2F91">
              <w:rPr>
                <w:rFonts w:ascii="Times New Roman" w:eastAsia="宋体" w:hAnsi="Times New Roman" w:cs="Times New Roman"/>
              </w:rPr>
              <w:t>4.39</w:t>
            </w:r>
            <w:r w:rsidRPr="00EC2F91">
              <w:rPr>
                <w:rFonts w:ascii="Times New Roman" w:eastAsia="宋体" w:hAnsi="Times New Roman" w:cs="Times New Roman"/>
              </w:rPr>
              <w:t>亿元，保持增长趋势，公司回款趋势向好。公司将持续加强应收账款管理，通过加强与客户沟通、定期核对账目等措施加强对应收账款的日常管理。</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8</w:t>
            </w:r>
            <w:r w:rsidRPr="00EC2F91">
              <w:rPr>
                <w:rFonts w:ascii="Times New Roman" w:eastAsia="宋体" w:hAnsi="Times New Roman" w:cs="Times New Roman"/>
                <w:b/>
              </w:rPr>
              <w:t>：目前公司三大业务中都有哪些新产品？</w:t>
            </w:r>
            <w:r w:rsidRPr="00EC2F91">
              <w:rPr>
                <w:rFonts w:ascii="Times New Roman" w:eastAsia="宋体" w:hAnsi="Times New Roman" w:cs="Times New Roman"/>
                <w:b/>
              </w:rPr>
              <w:t>2024</w:t>
            </w:r>
            <w:r w:rsidRPr="00EC2F91">
              <w:rPr>
                <w:rFonts w:ascii="Times New Roman" w:eastAsia="宋体" w:hAnsi="Times New Roman" w:cs="Times New Roman"/>
                <w:b/>
              </w:rPr>
              <w:t>年公司新产品在整体营收中占比大概如何？</w:t>
            </w:r>
          </w:p>
          <w:p w:rsidR="00EC2F91" w:rsidRPr="00EC2F91" w:rsidRDefault="00EC2F91" w:rsidP="00EC2F91">
            <w:pPr>
              <w:spacing w:line="360" w:lineRule="auto"/>
              <w:ind w:firstLineChars="200" w:firstLine="420"/>
              <w:rPr>
                <w:rFonts w:ascii="Times New Roman" w:eastAsia="宋体" w:hAnsi="Times New Roman" w:cs="Times New Roman"/>
                <w:highlight w:val="yellow"/>
              </w:rPr>
            </w:pPr>
            <w:r w:rsidRPr="00EC2F91">
              <w:rPr>
                <w:rFonts w:ascii="Times New Roman" w:eastAsia="宋体" w:hAnsi="Times New Roman" w:cs="Times New Roman"/>
              </w:rPr>
              <w:t>回复：</w:t>
            </w:r>
            <w:proofErr w:type="gramStart"/>
            <w:r w:rsidRPr="00EC2F91">
              <w:rPr>
                <w:rFonts w:ascii="Times New Roman" w:eastAsia="宋体" w:hAnsi="Times New Roman" w:cs="Times New Roman"/>
              </w:rPr>
              <w:t>列控业务</w:t>
            </w:r>
            <w:proofErr w:type="gramEnd"/>
            <w:r w:rsidRPr="00EC2F91">
              <w:rPr>
                <w:rFonts w:ascii="Times New Roman" w:eastAsia="宋体" w:hAnsi="Times New Roman" w:cs="Times New Roman"/>
              </w:rPr>
              <w:t>方面，重点新产品包括</w:t>
            </w:r>
            <w:r w:rsidRPr="00EC2F91">
              <w:rPr>
                <w:rFonts w:ascii="Times New Roman" w:eastAsia="宋体" w:hAnsi="Times New Roman" w:cs="Times New Roman"/>
              </w:rPr>
              <w:t>LKJ</w:t>
            </w:r>
            <w:r w:rsidRPr="00EC2F91">
              <w:rPr>
                <w:rFonts w:ascii="Times New Roman" w:eastAsia="宋体" w:hAnsi="Times New Roman" w:cs="Times New Roman"/>
              </w:rPr>
              <w:t>无线数据换装系统、</w:t>
            </w:r>
            <w:r w:rsidRPr="00EC2F91">
              <w:rPr>
                <w:rFonts w:ascii="Times New Roman" w:eastAsia="宋体" w:hAnsi="Times New Roman" w:cs="Times New Roman"/>
              </w:rPr>
              <w:t>LKJ-15S</w:t>
            </w:r>
            <w:r w:rsidRPr="00EC2F91">
              <w:rPr>
                <w:rFonts w:ascii="Times New Roman" w:eastAsia="宋体" w:hAnsi="Times New Roman" w:cs="Times New Roman"/>
              </w:rPr>
              <w:t>系统、列车智能驾驶系统（</w:t>
            </w:r>
            <w:r w:rsidRPr="00EC2F91">
              <w:rPr>
                <w:rFonts w:ascii="Times New Roman" w:eastAsia="宋体" w:hAnsi="Times New Roman" w:cs="Times New Roman"/>
              </w:rPr>
              <w:t>STO</w:t>
            </w:r>
            <w:r w:rsidRPr="00EC2F91">
              <w:rPr>
                <w:rFonts w:ascii="Times New Roman" w:eastAsia="宋体" w:hAnsi="Times New Roman" w:cs="Times New Roman"/>
              </w:rPr>
              <w:t>）等。其中，</w:t>
            </w:r>
            <w:r w:rsidRPr="00EC2F91">
              <w:rPr>
                <w:rFonts w:ascii="Times New Roman" w:eastAsia="宋体" w:hAnsi="Times New Roman" w:cs="Times New Roman"/>
              </w:rPr>
              <w:t>LKJ</w:t>
            </w:r>
            <w:r w:rsidRPr="00EC2F91">
              <w:rPr>
                <w:rFonts w:ascii="Times New Roman" w:eastAsia="宋体" w:hAnsi="Times New Roman" w:cs="Times New Roman"/>
              </w:rPr>
              <w:t>无线数据换装系统订单实现三连增，</w:t>
            </w:r>
            <w:r w:rsidRPr="00EC2F91">
              <w:rPr>
                <w:rFonts w:ascii="Times New Roman" w:eastAsia="宋体" w:hAnsi="Times New Roman" w:cs="Times New Roman"/>
              </w:rPr>
              <w:t>2024</w:t>
            </w:r>
            <w:r w:rsidRPr="00EC2F91">
              <w:rPr>
                <w:rFonts w:ascii="Times New Roman" w:eastAsia="宋体" w:hAnsi="Times New Roman" w:cs="Times New Roman"/>
              </w:rPr>
              <w:t>年新签订单超</w:t>
            </w:r>
            <w:r w:rsidRPr="00EC2F91">
              <w:rPr>
                <w:rFonts w:ascii="Times New Roman" w:eastAsia="宋体" w:hAnsi="Times New Roman" w:cs="Times New Roman"/>
              </w:rPr>
              <w:t>2</w:t>
            </w:r>
            <w:r w:rsidRPr="00EC2F91">
              <w:rPr>
                <w:rFonts w:ascii="Times New Roman" w:eastAsia="宋体" w:hAnsi="Times New Roman" w:cs="Times New Roman"/>
              </w:rPr>
              <w:t>亿元；</w:t>
            </w:r>
            <w:r w:rsidRPr="00EC2F91">
              <w:rPr>
                <w:rFonts w:ascii="Times New Roman" w:eastAsia="宋体" w:hAnsi="Times New Roman" w:cs="Times New Roman"/>
              </w:rPr>
              <w:t>STO</w:t>
            </w:r>
            <w:r w:rsidRPr="00EC2F91">
              <w:rPr>
                <w:rFonts w:ascii="Times New Roman" w:eastAsia="宋体" w:hAnsi="Times New Roman" w:cs="Times New Roman"/>
              </w:rPr>
              <w:t>在国能集团及港口实现小批量应用，当年合同额突破</w:t>
            </w:r>
            <w:r w:rsidRPr="00EC2F91">
              <w:rPr>
                <w:rFonts w:ascii="Times New Roman" w:eastAsia="宋体" w:hAnsi="Times New Roman" w:cs="Times New Roman"/>
              </w:rPr>
              <w:t>3000</w:t>
            </w:r>
            <w:r w:rsidRPr="00EC2F91">
              <w:rPr>
                <w:rFonts w:ascii="Times New Roman" w:eastAsia="宋体" w:hAnsi="Times New Roman" w:cs="Times New Roman"/>
              </w:rPr>
              <w:t>万元；在铁路安防业务方面，重点新产品为</w:t>
            </w:r>
            <w:r w:rsidRPr="00EC2F91">
              <w:rPr>
                <w:rFonts w:ascii="Times New Roman" w:eastAsia="宋体" w:hAnsi="Times New Roman" w:cs="Times New Roman"/>
              </w:rPr>
              <w:t>LSP</w:t>
            </w:r>
            <w:r w:rsidRPr="00EC2F91">
              <w:rPr>
                <w:rFonts w:ascii="Times New Roman" w:eastAsia="宋体" w:hAnsi="Times New Roman" w:cs="Times New Roman"/>
              </w:rPr>
              <w:t>系统，并在原有</w:t>
            </w:r>
            <w:r w:rsidRPr="00EC2F91">
              <w:rPr>
                <w:rFonts w:ascii="Times New Roman" w:eastAsia="宋体" w:hAnsi="Times New Roman" w:cs="Times New Roman"/>
              </w:rPr>
              <w:t>LSP</w:t>
            </w:r>
            <w:r w:rsidRPr="00EC2F91">
              <w:rPr>
                <w:rFonts w:ascii="Times New Roman" w:eastAsia="宋体" w:hAnsi="Times New Roman" w:cs="Times New Roman"/>
              </w:rPr>
              <w:t>车载系统批量推广的同时，研发的车站管控子系统开始推广，</w:t>
            </w:r>
            <w:r w:rsidRPr="00EC2F91">
              <w:rPr>
                <w:rFonts w:ascii="Times New Roman" w:eastAsia="宋体" w:hAnsi="Times New Roman" w:cs="Times New Roman"/>
              </w:rPr>
              <w:t>2024</w:t>
            </w:r>
            <w:r w:rsidRPr="00EC2F91">
              <w:rPr>
                <w:rFonts w:ascii="Times New Roman" w:eastAsia="宋体" w:hAnsi="Times New Roman" w:cs="Times New Roman"/>
              </w:rPr>
              <w:t>年新签</w:t>
            </w:r>
            <w:r w:rsidRPr="00EC2F91">
              <w:rPr>
                <w:rFonts w:ascii="Times New Roman" w:eastAsia="宋体" w:hAnsi="Times New Roman" w:cs="Times New Roman"/>
              </w:rPr>
              <w:t>LSP</w:t>
            </w:r>
            <w:r w:rsidRPr="00EC2F91">
              <w:rPr>
                <w:rFonts w:ascii="Times New Roman" w:eastAsia="宋体" w:hAnsi="Times New Roman" w:cs="Times New Roman"/>
              </w:rPr>
              <w:t>系统订单超过</w:t>
            </w:r>
            <w:r w:rsidRPr="00EC2F91">
              <w:rPr>
                <w:rFonts w:ascii="Times New Roman" w:eastAsia="宋体" w:hAnsi="Times New Roman" w:cs="Times New Roman"/>
              </w:rPr>
              <w:t>3</w:t>
            </w:r>
            <w:r w:rsidRPr="00EC2F91">
              <w:rPr>
                <w:rFonts w:ascii="Times New Roman" w:eastAsia="宋体" w:hAnsi="Times New Roman" w:cs="Times New Roman"/>
              </w:rPr>
              <w:t>亿元；高铁业务方面，重点新产品包括高铁移动视频平台、国产化</w:t>
            </w:r>
            <w:r w:rsidRPr="00EC2F91">
              <w:rPr>
                <w:rFonts w:ascii="Times New Roman" w:eastAsia="宋体" w:hAnsi="Times New Roman" w:cs="Times New Roman"/>
              </w:rPr>
              <w:t>JUR</w:t>
            </w:r>
            <w:r w:rsidRPr="00EC2F91">
              <w:rPr>
                <w:rFonts w:ascii="Times New Roman" w:eastAsia="宋体" w:hAnsi="Times New Roman" w:cs="Times New Roman"/>
              </w:rPr>
              <w:t>、高铁乘务作业平板等。总体来看，公司新产品占整体营业收入的比例在</w:t>
            </w:r>
            <w:r w:rsidRPr="00EC2F91">
              <w:rPr>
                <w:rFonts w:ascii="Times New Roman" w:eastAsia="宋体" w:hAnsi="Times New Roman" w:cs="Times New Roman"/>
              </w:rPr>
              <w:t>30%</w:t>
            </w:r>
            <w:r w:rsidRPr="00EC2F91">
              <w:rPr>
                <w:rFonts w:ascii="Times New Roman" w:eastAsia="宋体" w:hAnsi="Times New Roman" w:cs="Times New Roman"/>
              </w:rPr>
              <w:t>左右。</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9</w:t>
            </w:r>
            <w:r w:rsidRPr="00EC2F91">
              <w:rPr>
                <w:rFonts w:ascii="Times New Roman" w:eastAsia="宋体" w:hAnsi="Times New Roman" w:cs="Times New Roman"/>
                <w:b/>
              </w:rPr>
              <w:t>：请介绍一下</w:t>
            </w:r>
            <w:r w:rsidRPr="00EC2F91">
              <w:rPr>
                <w:rFonts w:ascii="Times New Roman" w:eastAsia="宋体" w:hAnsi="Times New Roman" w:cs="Times New Roman"/>
                <w:b/>
              </w:rPr>
              <w:t>LKJ</w:t>
            </w:r>
            <w:r w:rsidRPr="00EC2F91">
              <w:rPr>
                <w:rFonts w:ascii="Times New Roman" w:eastAsia="宋体" w:hAnsi="Times New Roman" w:cs="Times New Roman"/>
                <w:b/>
              </w:rPr>
              <w:t>无线数据换装目前的渗透率、对公司</w:t>
            </w:r>
            <w:proofErr w:type="gramStart"/>
            <w:r w:rsidRPr="00EC2F91">
              <w:rPr>
                <w:rFonts w:ascii="Times New Roman" w:eastAsia="宋体" w:hAnsi="Times New Roman" w:cs="Times New Roman"/>
                <w:b/>
              </w:rPr>
              <w:t>列控业务</w:t>
            </w:r>
            <w:proofErr w:type="gramEnd"/>
            <w:r w:rsidRPr="00EC2F91">
              <w:rPr>
                <w:rFonts w:ascii="Times New Roman" w:eastAsia="宋体" w:hAnsi="Times New Roman" w:cs="Times New Roman"/>
                <w:b/>
              </w:rPr>
              <w:t>的贡献及未来的推广进度。</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回复：公司</w:t>
            </w:r>
            <w:r w:rsidRPr="00EC2F91">
              <w:rPr>
                <w:rFonts w:ascii="Times New Roman" w:eastAsia="宋体" w:hAnsi="Times New Roman" w:cs="Times New Roman"/>
              </w:rPr>
              <w:t>LKJ</w:t>
            </w:r>
            <w:r w:rsidRPr="00EC2F91">
              <w:rPr>
                <w:rFonts w:ascii="Times New Roman" w:eastAsia="宋体" w:hAnsi="Times New Roman" w:cs="Times New Roman"/>
              </w:rPr>
              <w:t>无线数据换装系统自</w:t>
            </w:r>
            <w:r w:rsidRPr="00EC2F91">
              <w:rPr>
                <w:rFonts w:ascii="Times New Roman" w:eastAsia="宋体" w:hAnsi="Times New Roman" w:cs="Times New Roman"/>
              </w:rPr>
              <w:t>2023</w:t>
            </w:r>
            <w:r w:rsidRPr="00EC2F91">
              <w:rPr>
                <w:rFonts w:ascii="Times New Roman" w:eastAsia="宋体" w:hAnsi="Times New Roman" w:cs="Times New Roman"/>
              </w:rPr>
              <w:t>年开始批量推广，当年订单约</w:t>
            </w:r>
            <w:r w:rsidRPr="00EC2F91">
              <w:rPr>
                <w:rFonts w:ascii="Times New Roman" w:eastAsia="宋体" w:hAnsi="Times New Roman" w:cs="Times New Roman"/>
              </w:rPr>
              <w:t>8000</w:t>
            </w:r>
            <w:r w:rsidRPr="00EC2F91">
              <w:rPr>
                <w:rFonts w:ascii="Times New Roman" w:eastAsia="宋体" w:hAnsi="Times New Roman" w:cs="Times New Roman"/>
              </w:rPr>
              <w:t>万元，</w:t>
            </w:r>
            <w:r w:rsidRPr="00EC2F91">
              <w:rPr>
                <w:rFonts w:ascii="Times New Roman" w:eastAsia="宋体" w:hAnsi="Times New Roman" w:cs="Times New Roman"/>
              </w:rPr>
              <w:t>2024</w:t>
            </w:r>
            <w:r w:rsidRPr="00EC2F91">
              <w:rPr>
                <w:rFonts w:ascii="Times New Roman" w:eastAsia="宋体" w:hAnsi="Times New Roman" w:cs="Times New Roman"/>
              </w:rPr>
              <w:t>年该产品加速推广，订单突破</w:t>
            </w:r>
            <w:r w:rsidRPr="00EC2F91">
              <w:rPr>
                <w:rFonts w:ascii="Times New Roman" w:eastAsia="宋体" w:hAnsi="Times New Roman" w:cs="Times New Roman"/>
              </w:rPr>
              <w:t>2</w:t>
            </w:r>
            <w:r w:rsidRPr="00EC2F91">
              <w:rPr>
                <w:rFonts w:ascii="Times New Roman" w:eastAsia="宋体" w:hAnsi="Times New Roman" w:cs="Times New Roman"/>
              </w:rPr>
              <w:t>亿元，目前已覆盖约</w:t>
            </w:r>
            <w:r w:rsidRPr="00EC2F91">
              <w:rPr>
                <w:rFonts w:ascii="Times New Roman" w:eastAsia="宋体" w:hAnsi="Times New Roman" w:cs="Times New Roman"/>
              </w:rPr>
              <w:t>50%</w:t>
            </w:r>
            <w:r w:rsidRPr="00EC2F91">
              <w:rPr>
                <w:rFonts w:ascii="Times New Roman" w:eastAsia="宋体" w:hAnsi="Times New Roman" w:cs="Times New Roman"/>
              </w:rPr>
              <w:t>的市场，预计未来</w:t>
            </w:r>
            <w:r w:rsidRPr="00EC2F91">
              <w:rPr>
                <w:rFonts w:ascii="Times New Roman" w:eastAsia="宋体" w:hAnsi="Times New Roman" w:cs="Times New Roman"/>
              </w:rPr>
              <w:t>2~3</w:t>
            </w:r>
            <w:r w:rsidRPr="00EC2F91">
              <w:rPr>
                <w:rFonts w:ascii="Times New Roman" w:eastAsia="宋体" w:hAnsi="Times New Roman" w:cs="Times New Roman"/>
              </w:rPr>
              <w:t>年将完成全国铁路</w:t>
            </w:r>
            <w:r w:rsidRPr="00EC2F91">
              <w:rPr>
                <w:rFonts w:ascii="Times New Roman" w:eastAsia="宋体" w:hAnsi="Times New Roman" w:cs="Times New Roman"/>
              </w:rPr>
              <w:t>LKJ</w:t>
            </w:r>
            <w:r w:rsidRPr="00EC2F91">
              <w:rPr>
                <w:rFonts w:ascii="Times New Roman" w:eastAsia="宋体" w:hAnsi="Times New Roman" w:cs="Times New Roman"/>
              </w:rPr>
              <w:t>无线数据换装</w:t>
            </w:r>
            <w:bookmarkStart w:id="4" w:name="OLE_LINK8"/>
            <w:bookmarkStart w:id="5" w:name="OLE_LINK9"/>
            <w:r w:rsidRPr="00EC2F91">
              <w:rPr>
                <w:rFonts w:ascii="Times New Roman" w:eastAsia="宋体" w:hAnsi="Times New Roman" w:cs="Times New Roman"/>
              </w:rPr>
              <w:t>系统</w:t>
            </w:r>
            <w:bookmarkEnd w:id="4"/>
            <w:bookmarkEnd w:id="5"/>
            <w:r w:rsidRPr="00EC2F91">
              <w:rPr>
                <w:rFonts w:ascii="Times New Roman" w:eastAsia="宋体" w:hAnsi="Times New Roman" w:cs="Times New Roman"/>
              </w:rPr>
              <w:t>加装，补强</w:t>
            </w:r>
            <w:r w:rsidRPr="00EC2F91">
              <w:rPr>
                <w:rFonts w:ascii="Times New Roman" w:eastAsia="宋体" w:hAnsi="Times New Roman" w:cs="Times New Roman"/>
              </w:rPr>
              <w:t>LKJ</w:t>
            </w:r>
            <w:proofErr w:type="gramStart"/>
            <w:r w:rsidRPr="00EC2F91">
              <w:rPr>
                <w:rFonts w:ascii="Times New Roman" w:eastAsia="宋体" w:hAnsi="Times New Roman" w:cs="Times New Roman"/>
              </w:rPr>
              <w:t>列控系统功能</w:t>
            </w:r>
            <w:proofErr w:type="gramEnd"/>
            <w:r w:rsidRPr="00EC2F91">
              <w:rPr>
                <w:rFonts w:ascii="Times New Roman" w:eastAsia="宋体" w:hAnsi="Times New Roman" w:cs="Times New Roman"/>
              </w:rPr>
              <w:t>，提升铁路客户管理效率，有效保障列车行车安全。</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10</w:t>
            </w:r>
            <w:r w:rsidRPr="00EC2F91">
              <w:rPr>
                <w:rFonts w:ascii="Times New Roman" w:eastAsia="宋体" w:hAnsi="Times New Roman" w:cs="Times New Roman"/>
                <w:b/>
              </w:rPr>
              <w:t>：请介绍一下</w:t>
            </w:r>
            <w:r w:rsidRPr="00EC2F91">
              <w:rPr>
                <w:rFonts w:ascii="Times New Roman" w:eastAsia="宋体" w:hAnsi="Times New Roman" w:cs="Times New Roman"/>
                <w:b/>
              </w:rPr>
              <w:t>STO</w:t>
            </w:r>
            <w:r w:rsidRPr="00EC2F91">
              <w:rPr>
                <w:rFonts w:ascii="Times New Roman" w:eastAsia="宋体" w:hAnsi="Times New Roman" w:cs="Times New Roman"/>
                <w:b/>
              </w:rPr>
              <w:t>项目的基本情况及未来预期。</w:t>
            </w:r>
          </w:p>
          <w:p w:rsidR="00EC2F91" w:rsidRPr="00EC2F91" w:rsidRDefault="00EC2F91" w:rsidP="00EC2F91">
            <w:pPr>
              <w:spacing w:line="360" w:lineRule="auto"/>
              <w:ind w:firstLineChars="200" w:firstLine="420"/>
              <w:rPr>
                <w:rFonts w:ascii="Times New Roman" w:eastAsia="宋体" w:hAnsi="Times New Roman" w:cs="Times New Roman"/>
                <w:highlight w:val="yellow"/>
              </w:rPr>
            </w:pPr>
            <w:r w:rsidRPr="00EC2F91">
              <w:rPr>
                <w:rFonts w:ascii="Times New Roman" w:eastAsia="宋体" w:hAnsi="Times New Roman" w:cs="Times New Roman"/>
              </w:rPr>
              <w:t>回复：</w:t>
            </w:r>
            <w:r w:rsidRPr="00EC2F91">
              <w:rPr>
                <w:rFonts w:ascii="Times New Roman" w:eastAsia="宋体" w:hAnsi="Times New Roman" w:cs="Times New Roman"/>
              </w:rPr>
              <w:t xml:space="preserve"> 2014</w:t>
            </w:r>
            <w:r w:rsidRPr="00EC2F91">
              <w:rPr>
                <w:rFonts w:ascii="Times New Roman" w:eastAsia="宋体" w:hAnsi="Times New Roman" w:cs="Times New Roman"/>
              </w:rPr>
              <w:t>年以来，公司开展列车智能驾驶技术研究，目前相关技术已经成熟，系统可以减轻乘务员劳动强度，同时避免司机误操作导致的安全隐患，使其有更多精力进行瞭望和巡查设备状态，提高行车安全性，解决不同司机操纵水平差异导致的列车能耗、操纵平稳度差异较大的问题，降低列车能耗，提高列车平稳度，提高运输效率。近几年，公</w:t>
            </w:r>
            <w:r w:rsidRPr="00EC2F91">
              <w:rPr>
                <w:rFonts w:ascii="Times New Roman" w:eastAsia="宋体" w:hAnsi="Times New Roman" w:cs="Times New Roman"/>
              </w:rPr>
              <w:lastRenderedPageBreak/>
              <w:t>司重点在地方铁路推广</w:t>
            </w:r>
            <w:r w:rsidRPr="00EC2F91">
              <w:rPr>
                <w:rFonts w:ascii="Times New Roman" w:eastAsia="宋体" w:hAnsi="Times New Roman" w:cs="Times New Roman"/>
              </w:rPr>
              <w:t>STO</w:t>
            </w:r>
            <w:r w:rsidRPr="00EC2F91">
              <w:rPr>
                <w:rFonts w:ascii="Times New Roman" w:eastAsia="宋体" w:hAnsi="Times New Roman" w:cs="Times New Roman"/>
              </w:rPr>
              <w:t>系统，</w:t>
            </w:r>
            <w:r w:rsidRPr="00EC2F91">
              <w:rPr>
                <w:rFonts w:ascii="Times New Roman" w:eastAsia="宋体" w:hAnsi="Times New Roman" w:cs="Times New Roman"/>
              </w:rPr>
              <w:t>2023</w:t>
            </w:r>
            <w:r w:rsidRPr="00EC2F91">
              <w:rPr>
                <w:rFonts w:ascii="Times New Roman" w:eastAsia="宋体" w:hAnsi="Times New Roman" w:cs="Times New Roman"/>
              </w:rPr>
              <w:t>年实现市场突破。</w:t>
            </w:r>
            <w:r w:rsidRPr="00EC2F91">
              <w:rPr>
                <w:rFonts w:ascii="Times New Roman" w:eastAsia="宋体" w:hAnsi="Times New Roman" w:cs="Times New Roman"/>
              </w:rPr>
              <w:t>2024</w:t>
            </w:r>
            <w:r w:rsidRPr="00EC2F91">
              <w:rPr>
                <w:rFonts w:ascii="Times New Roman" w:eastAsia="宋体" w:hAnsi="Times New Roman" w:cs="Times New Roman"/>
              </w:rPr>
              <w:t>年，公司</w:t>
            </w:r>
            <w:r w:rsidRPr="00EC2F91">
              <w:rPr>
                <w:rFonts w:ascii="Times New Roman" w:eastAsia="宋体" w:hAnsi="Times New Roman" w:cs="Times New Roman"/>
              </w:rPr>
              <w:t>STO</w:t>
            </w:r>
            <w:r w:rsidRPr="00EC2F91">
              <w:rPr>
                <w:rFonts w:ascii="Times New Roman" w:eastAsia="宋体" w:hAnsi="Times New Roman" w:cs="Times New Roman"/>
              </w:rPr>
              <w:t>系统在地方铁路全年实现</w:t>
            </w:r>
            <w:proofErr w:type="gramStart"/>
            <w:r w:rsidRPr="00EC2F91">
              <w:rPr>
                <w:rFonts w:ascii="Times New Roman" w:eastAsia="宋体" w:hAnsi="Times New Roman" w:cs="Times New Roman"/>
              </w:rPr>
              <w:t>订单超</w:t>
            </w:r>
            <w:proofErr w:type="gramEnd"/>
            <w:r w:rsidRPr="00EC2F91">
              <w:rPr>
                <w:rFonts w:ascii="Times New Roman" w:eastAsia="宋体" w:hAnsi="Times New Roman" w:cs="Times New Roman"/>
              </w:rPr>
              <w:t>3000</w:t>
            </w:r>
            <w:r w:rsidRPr="00EC2F91">
              <w:rPr>
                <w:rFonts w:ascii="Times New Roman" w:eastAsia="宋体" w:hAnsi="Times New Roman" w:cs="Times New Roman"/>
              </w:rPr>
              <w:t>万元。</w:t>
            </w:r>
            <w:r w:rsidRPr="00EC2F91">
              <w:rPr>
                <w:rFonts w:ascii="Times New Roman" w:eastAsia="宋体" w:hAnsi="Times New Roman" w:cs="Times New Roman"/>
              </w:rPr>
              <w:t>2025</w:t>
            </w:r>
            <w:r w:rsidRPr="00EC2F91">
              <w:rPr>
                <w:rFonts w:ascii="Times New Roman" w:eastAsia="宋体" w:hAnsi="Times New Roman" w:cs="Times New Roman"/>
              </w:rPr>
              <w:t>年以来，已有部分铁路局集团已开始推进</w:t>
            </w:r>
            <w:r w:rsidRPr="00EC2F91">
              <w:rPr>
                <w:rFonts w:ascii="Times New Roman" w:eastAsia="宋体" w:hAnsi="Times New Roman" w:cs="Times New Roman"/>
              </w:rPr>
              <w:t>STO</w:t>
            </w:r>
            <w:r w:rsidRPr="00EC2F91">
              <w:rPr>
                <w:rFonts w:ascii="Times New Roman" w:eastAsia="宋体" w:hAnsi="Times New Roman" w:cs="Times New Roman"/>
              </w:rPr>
              <w:t>系统试验，有助于打开</w:t>
            </w:r>
            <w:r w:rsidRPr="00EC2F91">
              <w:rPr>
                <w:rFonts w:ascii="Times New Roman" w:eastAsia="宋体" w:hAnsi="Times New Roman" w:cs="Times New Roman"/>
                <w:color w:val="000000" w:themeColor="text1"/>
              </w:rPr>
              <w:t>国家铁路市场。</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11</w:t>
            </w:r>
            <w:r w:rsidRPr="00EC2F91">
              <w:rPr>
                <w:rFonts w:ascii="Times New Roman" w:eastAsia="宋体" w:hAnsi="Times New Roman" w:cs="Times New Roman"/>
                <w:b/>
              </w:rPr>
              <w:t>：请介绍一下高铁</w:t>
            </w:r>
            <w:r w:rsidRPr="00EC2F91">
              <w:rPr>
                <w:rFonts w:ascii="Times New Roman" w:eastAsia="宋体" w:hAnsi="Times New Roman" w:cs="Times New Roman"/>
                <w:b/>
              </w:rPr>
              <w:t>JRU</w:t>
            </w:r>
            <w:r w:rsidRPr="00EC2F91">
              <w:rPr>
                <w:rFonts w:ascii="Times New Roman" w:eastAsia="宋体" w:hAnsi="Times New Roman" w:cs="Times New Roman"/>
                <w:b/>
              </w:rPr>
              <w:t>国产化替代目前的进展。</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回复：近几年，公司一直从事元器件及产品的国产化替代工作。在高铁</w:t>
            </w:r>
            <w:r w:rsidRPr="00EC2F91">
              <w:rPr>
                <w:rFonts w:ascii="Times New Roman" w:eastAsia="宋体" w:hAnsi="Times New Roman" w:cs="Times New Roman"/>
              </w:rPr>
              <w:t>JUR</w:t>
            </w:r>
            <w:r w:rsidRPr="00EC2F91">
              <w:rPr>
                <w:rFonts w:ascii="Times New Roman" w:eastAsia="宋体" w:hAnsi="Times New Roman" w:cs="Times New Roman"/>
              </w:rPr>
              <w:t>产品方面，</w:t>
            </w:r>
            <w:r w:rsidRPr="00EC2F91">
              <w:rPr>
                <w:rFonts w:ascii="Times New Roman" w:eastAsia="宋体" w:hAnsi="Times New Roman" w:cs="Times New Roman"/>
              </w:rPr>
              <w:t>2024</w:t>
            </w:r>
            <w:r w:rsidRPr="00EC2F91">
              <w:rPr>
                <w:rFonts w:ascii="Times New Roman" w:eastAsia="宋体" w:hAnsi="Times New Roman" w:cs="Times New Roman"/>
              </w:rPr>
              <w:t>年开始，公司子公司蓝信科技开始向国铁集团和各铁路局供应国产化高铁</w:t>
            </w:r>
            <w:r w:rsidRPr="00EC2F91">
              <w:rPr>
                <w:rFonts w:ascii="Times New Roman" w:eastAsia="宋体" w:hAnsi="Times New Roman" w:cs="Times New Roman"/>
              </w:rPr>
              <w:t>JRU</w:t>
            </w:r>
            <w:r w:rsidRPr="00EC2F91">
              <w:rPr>
                <w:rFonts w:ascii="Times New Roman" w:eastAsia="宋体" w:hAnsi="Times New Roman" w:cs="Times New Roman"/>
              </w:rPr>
              <w:t>产品。后续，随着适配高铁车型增加和既有高铁</w:t>
            </w:r>
            <w:r w:rsidRPr="00EC2F91">
              <w:rPr>
                <w:rFonts w:ascii="Times New Roman" w:eastAsia="宋体" w:hAnsi="Times New Roman" w:cs="Times New Roman"/>
              </w:rPr>
              <w:t>JRU</w:t>
            </w:r>
            <w:r w:rsidRPr="00EC2F91">
              <w:rPr>
                <w:rFonts w:ascii="Times New Roman" w:eastAsia="宋体" w:hAnsi="Times New Roman" w:cs="Times New Roman"/>
              </w:rPr>
              <w:t>产品到期更新，预计公司国产化高铁</w:t>
            </w:r>
            <w:r w:rsidRPr="00EC2F91">
              <w:rPr>
                <w:rFonts w:ascii="Times New Roman" w:eastAsia="宋体" w:hAnsi="Times New Roman" w:cs="Times New Roman"/>
              </w:rPr>
              <w:t>JRU</w:t>
            </w:r>
            <w:r w:rsidRPr="00EC2F91">
              <w:rPr>
                <w:rFonts w:ascii="Times New Roman" w:eastAsia="宋体" w:hAnsi="Times New Roman" w:cs="Times New Roman"/>
              </w:rPr>
              <w:t>产品的收入将保持快速增长。</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12</w:t>
            </w:r>
            <w:r w:rsidRPr="00EC2F91">
              <w:rPr>
                <w:rFonts w:ascii="Times New Roman" w:eastAsia="宋体" w:hAnsi="Times New Roman" w:cs="Times New Roman"/>
                <w:b/>
              </w:rPr>
              <w:t>：请介绍一下公司的地铁业务和海外业务情况。</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回复：关于地铁业务，公司采取差异化竞争路线，重点拓展地铁工程车防护系统（</w:t>
            </w:r>
            <w:r w:rsidRPr="00EC2F91">
              <w:rPr>
                <w:rFonts w:ascii="Times New Roman" w:eastAsia="宋体" w:hAnsi="Times New Roman" w:cs="Times New Roman"/>
              </w:rPr>
              <w:t>ISM</w:t>
            </w:r>
            <w:r w:rsidRPr="00EC2F91">
              <w:rPr>
                <w:rFonts w:ascii="Times New Roman" w:eastAsia="宋体" w:hAnsi="Times New Roman" w:cs="Times New Roman"/>
              </w:rPr>
              <w:t>）、可编程逻辑控制单元（</w:t>
            </w:r>
            <w:r w:rsidRPr="00EC2F91">
              <w:rPr>
                <w:rFonts w:ascii="Times New Roman" w:eastAsia="宋体" w:hAnsi="Times New Roman" w:cs="Times New Roman"/>
              </w:rPr>
              <w:t>LCU</w:t>
            </w:r>
            <w:r w:rsidRPr="00EC2F91">
              <w:rPr>
                <w:rFonts w:ascii="Times New Roman" w:eastAsia="宋体" w:hAnsi="Times New Roman" w:cs="Times New Roman"/>
              </w:rPr>
              <w:t>）等产品应用，</w:t>
            </w:r>
            <w:r w:rsidRPr="00EC2F91">
              <w:rPr>
                <w:rFonts w:ascii="Times New Roman" w:eastAsia="宋体" w:hAnsi="Times New Roman" w:cs="Times New Roman"/>
              </w:rPr>
              <w:t>2024</w:t>
            </w:r>
            <w:r w:rsidRPr="00EC2F91">
              <w:rPr>
                <w:rFonts w:ascii="Times New Roman" w:eastAsia="宋体" w:hAnsi="Times New Roman" w:cs="Times New Roman"/>
              </w:rPr>
              <w:t>年度相关产品订单首次突破</w:t>
            </w:r>
            <w:r w:rsidRPr="00EC2F91">
              <w:rPr>
                <w:rFonts w:ascii="Times New Roman" w:eastAsia="宋体" w:hAnsi="Times New Roman" w:cs="Times New Roman"/>
              </w:rPr>
              <w:t>2000</w:t>
            </w:r>
            <w:r w:rsidRPr="00EC2F91">
              <w:rPr>
                <w:rFonts w:ascii="Times New Roman" w:eastAsia="宋体" w:hAnsi="Times New Roman" w:cs="Times New Roman"/>
              </w:rPr>
              <w:t>万元，占公司业务的比重较低；关于海外业务，公司主要通过与总包商</w:t>
            </w:r>
            <w:r w:rsidRPr="00EC2F91">
              <w:rPr>
                <w:rFonts w:ascii="Times New Roman" w:eastAsia="宋体" w:hAnsi="Times New Roman" w:cs="Times New Roman"/>
              </w:rPr>
              <w:t>/</w:t>
            </w:r>
            <w:r w:rsidRPr="00EC2F91">
              <w:rPr>
                <w:rFonts w:ascii="Times New Roman" w:eastAsia="宋体" w:hAnsi="Times New Roman" w:cs="Times New Roman"/>
              </w:rPr>
              <w:t>系统集成商合作，</w:t>
            </w:r>
            <w:bookmarkStart w:id="6" w:name="OLE_LINK10"/>
            <w:r w:rsidRPr="00EC2F91">
              <w:rPr>
                <w:rFonts w:ascii="Times New Roman" w:eastAsia="宋体" w:hAnsi="Times New Roman" w:cs="Times New Roman"/>
              </w:rPr>
              <w:t>采取搭船出海的方式拓展海外市场。</w:t>
            </w:r>
            <w:bookmarkEnd w:id="6"/>
            <w:r w:rsidRPr="00EC2F91">
              <w:rPr>
                <w:rFonts w:ascii="Times New Roman" w:eastAsia="宋体" w:hAnsi="Times New Roman" w:cs="Times New Roman"/>
              </w:rPr>
              <w:t>目前，海外市场占公司收入规模不大，每年约</w:t>
            </w:r>
            <w:r w:rsidRPr="00EC2F91">
              <w:rPr>
                <w:rFonts w:ascii="Times New Roman" w:eastAsia="宋体" w:hAnsi="Times New Roman" w:cs="Times New Roman"/>
              </w:rPr>
              <w:t>1000</w:t>
            </w:r>
            <w:r w:rsidRPr="00EC2F91">
              <w:rPr>
                <w:rFonts w:ascii="Times New Roman" w:eastAsia="宋体" w:hAnsi="Times New Roman" w:cs="Times New Roman"/>
              </w:rPr>
              <w:t>万元左右。</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13</w:t>
            </w:r>
            <w:r w:rsidRPr="00EC2F91">
              <w:rPr>
                <w:rFonts w:ascii="Times New Roman" w:eastAsia="宋体" w:hAnsi="Times New Roman" w:cs="Times New Roman"/>
                <w:b/>
              </w:rPr>
              <w:t>：一带一路对公司有什么影响？</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回复：公司积极参与中老铁路、</w:t>
            </w:r>
            <w:proofErr w:type="gramStart"/>
            <w:r w:rsidRPr="00EC2F91">
              <w:rPr>
                <w:rFonts w:ascii="Times New Roman" w:eastAsia="宋体" w:hAnsi="Times New Roman" w:cs="Times New Roman"/>
              </w:rPr>
              <w:t>雅万高铁</w:t>
            </w:r>
            <w:proofErr w:type="gramEnd"/>
            <w:r w:rsidRPr="00EC2F91">
              <w:rPr>
                <w:rFonts w:ascii="Times New Roman" w:eastAsia="宋体" w:hAnsi="Times New Roman" w:cs="Times New Roman"/>
              </w:rPr>
              <w:t>等</w:t>
            </w:r>
            <w:r w:rsidRPr="00EC2F91">
              <w:rPr>
                <w:rFonts w:ascii="Times New Roman" w:eastAsia="宋体" w:hAnsi="Times New Roman" w:cs="Times New Roman"/>
              </w:rPr>
              <w:t>“</w:t>
            </w:r>
            <w:r w:rsidRPr="00EC2F91">
              <w:rPr>
                <w:rFonts w:ascii="Times New Roman" w:eastAsia="宋体" w:hAnsi="Times New Roman" w:cs="Times New Roman"/>
              </w:rPr>
              <w:t>一带一路</w:t>
            </w:r>
            <w:r w:rsidRPr="00EC2F91">
              <w:rPr>
                <w:rFonts w:ascii="Times New Roman" w:eastAsia="宋体" w:hAnsi="Times New Roman" w:cs="Times New Roman"/>
              </w:rPr>
              <w:t>”</w:t>
            </w:r>
            <w:r w:rsidRPr="00EC2F91">
              <w:rPr>
                <w:rFonts w:ascii="Times New Roman" w:eastAsia="宋体" w:hAnsi="Times New Roman" w:cs="Times New Roman"/>
              </w:rPr>
              <w:t>相关铁路项目建设，</w:t>
            </w:r>
            <w:proofErr w:type="gramStart"/>
            <w:r w:rsidRPr="00EC2F91">
              <w:rPr>
                <w:rFonts w:ascii="Times New Roman" w:eastAsia="宋体" w:hAnsi="Times New Roman" w:cs="Times New Roman"/>
              </w:rPr>
              <w:t>供应列控系统</w:t>
            </w:r>
            <w:proofErr w:type="gramEnd"/>
            <w:r w:rsidRPr="00EC2F91">
              <w:rPr>
                <w:rFonts w:ascii="Times New Roman" w:eastAsia="宋体" w:hAnsi="Times New Roman" w:cs="Times New Roman"/>
              </w:rPr>
              <w:t>、铁路安防及高铁运行监测产品，相关产品已先后应用到巴基斯坦、坦桑尼亚、几内亚、老挝、印尼等国家的铁路系统。目前，公司主要采取搭船出海的方式拓展海外市场，有利于拓展公司海外市场，但由于相关产品单价较低，与机车车辆或动车组配套，数量需求有限。近几年海外业务年收入在</w:t>
            </w:r>
            <w:r w:rsidRPr="00EC2F91">
              <w:rPr>
                <w:rFonts w:ascii="Times New Roman" w:eastAsia="宋体" w:hAnsi="Times New Roman" w:cs="Times New Roman"/>
              </w:rPr>
              <w:t>1000</w:t>
            </w:r>
            <w:r w:rsidRPr="00EC2F91">
              <w:rPr>
                <w:rFonts w:ascii="Times New Roman" w:eastAsia="宋体" w:hAnsi="Times New Roman" w:cs="Times New Roman"/>
              </w:rPr>
              <w:t>万元左右，对公司收入影响较小。</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14</w:t>
            </w:r>
            <w:r w:rsidRPr="00EC2F91">
              <w:rPr>
                <w:rFonts w:ascii="Times New Roman" w:eastAsia="宋体" w:hAnsi="Times New Roman" w:cs="Times New Roman"/>
                <w:b/>
              </w:rPr>
              <w:t>：目前商誉存在减值风险吗？</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回复：公司的商誉是</w:t>
            </w:r>
            <w:r w:rsidRPr="00EC2F91">
              <w:rPr>
                <w:rFonts w:ascii="Times New Roman" w:eastAsia="宋体" w:hAnsi="Times New Roman" w:cs="Times New Roman"/>
              </w:rPr>
              <w:t>2018</w:t>
            </w:r>
            <w:r w:rsidRPr="00EC2F91">
              <w:rPr>
                <w:rFonts w:ascii="Times New Roman" w:eastAsia="宋体" w:hAnsi="Times New Roman" w:cs="Times New Roman"/>
              </w:rPr>
              <w:t>年至</w:t>
            </w:r>
            <w:r w:rsidRPr="00EC2F91">
              <w:rPr>
                <w:rFonts w:ascii="Times New Roman" w:eastAsia="宋体" w:hAnsi="Times New Roman" w:cs="Times New Roman"/>
              </w:rPr>
              <w:t>2019</w:t>
            </w:r>
            <w:r w:rsidRPr="00EC2F91">
              <w:rPr>
                <w:rFonts w:ascii="Times New Roman" w:eastAsia="宋体" w:hAnsi="Times New Roman" w:cs="Times New Roman"/>
              </w:rPr>
              <w:t>年初因重大资产重组产业并购蓝信科技形成的，截至目前公司商誉为</w:t>
            </w:r>
            <w:r w:rsidRPr="00EC2F91">
              <w:rPr>
                <w:rFonts w:ascii="Times New Roman" w:eastAsia="宋体" w:hAnsi="Times New Roman" w:cs="Times New Roman"/>
              </w:rPr>
              <w:t>13.9</w:t>
            </w:r>
            <w:r w:rsidRPr="00EC2F91">
              <w:rPr>
                <w:rFonts w:ascii="Times New Roman" w:eastAsia="宋体" w:hAnsi="Times New Roman" w:cs="Times New Roman"/>
              </w:rPr>
              <w:t>亿元。公司对全资子公司蓝信科技的经营情况保持密切关注，同时公司每年聘请专业评估机构对涉及资产进行商</w:t>
            </w:r>
            <w:proofErr w:type="gramStart"/>
            <w:r w:rsidRPr="00EC2F91">
              <w:rPr>
                <w:rFonts w:ascii="Times New Roman" w:eastAsia="宋体" w:hAnsi="Times New Roman" w:cs="Times New Roman"/>
              </w:rPr>
              <w:t>誉</w:t>
            </w:r>
            <w:proofErr w:type="gramEnd"/>
            <w:r w:rsidRPr="00EC2F91">
              <w:rPr>
                <w:rFonts w:ascii="Times New Roman" w:eastAsia="宋体" w:hAnsi="Times New Roman" w:cs="Times New Roman"/>
              </w:rPr>
              <w:t>减值测试，截至目前未发现减值迹象。</w:t>
            </w:r>
            <w:r w:rsidRPr="00EC2F91">
              <w:rPr>
                <w:rFonts w:ascii="Times New Roman" w:eastAsia="宋体" w:hAnsi="Times New Roman" w:cs="Times New Roman"/>
              </w:rPr>
              <w:t>2023</w:t>
            </w:r>
            <w:r w:rsidRPr="00EC2F91">
              <w:rPr>
                <w:rFonts w:ascii="Times New Roman" w:eastAsia="宋体" w:hAnsi="Times New Roman" w:cs="Times New Roman"/>
              </w:rPr>
              <w:t>年以来，我国铁路客运迅速恢复，高铁新造车、大修等招标形势向好，蓝信科技高铁业务形势向好，</w:t>
            </w:r>
            <w:proofErr w:type="gramStart"/>
            <w:r w:rsidRPr="00EC2F91">
              <w:rPr>
                <w:rFonts w:ascii="Times New Roman" w:eastAsia="宋体" w:hAnsi="Times New Roman" w:cs="Times New Roman"/>
              </w:rPr>
              <w:t>普铁业务</w:t>
            </w:r>
            <w:proofErr w:type="gramEnd"/>
            <w:r w:rsidRPr="00EC2F91">
              <w:rPr>
                <w:rFonts w:ascii="Times New Roman" w:eastAsia="宋体" w:hAnsi="Times New Roman" w:cs="Times New Roman"/>
              </w:rPr>
              <w:t>方面其</w:t>
            </w:r>
            <w:r w:rsidRPr="00EC2F91">
              <w:rPr>
                <w:rFonts w:ascii="Times New Roman" w:eastAsia="宋体" w:hAnsi="Times New Roman" w:cs="Times New Roman"/>
              </w:rPr>
              <w:t>LSP</w:t>
            </w:r>
            <w:r w:rsidRPr="00EC2F91">
              <w:rPr>
                <w:rFonts w:ascii="Times New Roman" w:eastAsia="宋体" w:hAnsi="Times New Roman" w:cs="Times New Roman"/>
              </w:rPr>
              <w:t>系统加速推广，预计将带动全资子公司蓝信科技的收入和盈利能力的稳健增长，因此公司商誉近期不存在减值风险。后续如存在减值迹象，公司将及时披露相关风险及公告。</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15</w:t>
            </w:r>
            <w:r w:rsidRPr="00EC2F91">
              <w:rPr>
                <w:rFonts w:ascii="Times New Roman" w:eastAsia="宋体" w:hAnsi="Times New Roman" w:cs="Times New Roman"/>
                <w:b/>
              </w:rPr>
              <w:t>：铁路固定资产投资增速不高，</w:t>
            </w:r>
            <w:proofErr w:type="gramStart"/>
            <w:r w:rsidRPr="00EC2F91">
              <w:rPr>
                <w:rFonts w:ascii="Times New Roman" w:eastAsia="宋体" w:hAnsi="Times New Roman" w:cs="Times New Roman"/>
                <w:b/>
              </w:rPr>
              <w:t>为何公司</w:t>
            </w:r>
            <w:proofErr w:type="gramEnd"/>
            <w:r w:rsidRPr="00EC2F91">
              <w:rPr>
                <w:rFonts w:ascii="Times New Roman" w:eastAsia="宋体" w:hAnsi="Times New Roman" w:cs="Times New Roman"/>
                <w:b/>
              </w:rPr>
              <w:t>业务增速较快？</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w:t>
            </w:r>
            <w:r w:rsidRPr="00EC2F91">
              <w:rPr>
                <w:rFonts w:ascii="Times New Roman" w:eastAsia="宋体" w:hAnsi="Times New Roman" w:cs="Times New Roman"/>
              </w:rPr>
              <w:t>2024</w:t>
            </w:r>
            <w:r w:rsidRPr="00EC2F91">
              <w:rPr>
                <w:rFonts w:ascii="Times New Roman" w:eastAsia="宋体" w:hAnsi="Times New Roman" w:cs="Times New Roman"/>
              </w:rPr>
              <w:t>年，全国铁路固定资产投资</w:t>
            </w:r>
            <w:r w:rsidRPr="00EC2F91">
              <w:rPr>
                <w:rFonts w:ascii="Times New Roman" w:eastAsia="宋体" w:hAnsi="Times New Roman" w:cs="Times New Roman"/>
              </w:rPr>
              <w:t>8506</w:t>
            </w:r>
            <w:r w:rsidRPr="00EC2F91">
              <w:rPr>
                <w:rFonts w:ascii="Times New Roman" w:eastAsia="宋体" w:hAnsi="Times New Roman" w:cs="Times New Roman"/>
              </w:rPr>
              <w:t>亿元人民币，同比增长</w:t>
            </w:r>
            <w:r w:rsidRPr="00EC2F91">
              <w:rPr>
                <w:rFonts w:ascii="Times New Roman" w:eastAsia="宋体" w:hAnsi="Times New Roman" w:cs="Times New Roman"/>
              </w:rPr>
              <w:t>11.3%</w:t>
            </w:r>
            <w:r w:rsidRPr="00EC2F91">
              <w:rPr>
                <w:rFonts w:ascii="Times New Roman" w:eastAsia="宋体" w:hAnsi="Times New Roman" w:cs="Times New Roman"/>
              </w:rPr>
              <w:t>。</w:t>
            </w:r>
            <w:r w:rsidRPr="00EC2F91">
              <w:rPr>
                <w:rFonts w:ascii="Times New Roman" w:eastAsia="宋体" w:hAnsi="Times New Roman" w:cs="Times New Roman"/>
              </w:rPr>
              <w:t>2024</w:t>
            </w:r>
            <w:r w:rsidRPr="00EC2F91">
              <w:rPr>
                <w:rFonts w:ascii="Times New Roman" w:eastAsia="宋体" w:hAnsi="Times New Roman" w:cs="Times New Roman"/>
              </w:rPr>
              <w:t>年，</w:t>
            </w:r>
            <w:r w:rsidRPr="00EC2F91">
              <w:rPr>
                <w:rFonts w:ascii="Times New Roman" w:eastAsia="宋体" w:hAnsi="Times New Roman" w:cs="Times New Roman"/>
              </w:rPr>
              <w:lastRenderedPageBreak/>
              <w:t>公司营业总收入为</w:t>
            </w:r>
            <w:r w:rsidRPr="00EC2F91">
              <w:rPr>
                <w:rFonts w:ascii="Times New Roman" w:eastAsia="宋体" w:hAnsi="Times New Roman" w:cs="Times New Roman"/>
              </w:rPr>
              <w:t>15.15</w:t>
            </w:r>
            <w:r w:rsidRPr="00EC2F91">
              <w:rPr>
                <w:rFonts w:ascii="Times New Roman" w:eastAsia="宋体" w:hAnsi="Times New Roman" w:cs="Times New Roman"/>
              </w:rPr>
              <w:t>亿元，同比增长</w:t>
            </w:r>
            <w:r w:rsidRPr="00EC2F91">
              <w:rPr>
                <w:rFonts w:ascii="Times New Roman" w:eastAsia="宋体" w:hAnsi="Times New Roman" w:cs="Times New Roman"/>
              </w:rPr>
              <w:t>28.38%</w:t>
            </w:r>
            <w:r w:rsidRPr="00EC2F91">
              <w:rPr>
                <w:rFonts w:ascii="Times New Roman" w:eastAsia="宋体" w:hAnsi="Times New Roman" w:cs="Times New Roman"/>
              </w:rPr>
              <w:t>。可以看出，公司的收入规模占铁路总投资的比重较低。公司主营业务增速较快，主要是客户对公司产品的需求增长所致。公司三大业务的核心产品如</w:t>
            </w:r>
            <w:r w:rsidRPr="00EC2F91">
              <w:rPr>
                <w:rFonts w:ascii="Times New Roman" w:eastAsia="宋体" w:hAnsi="Times New Roman" w:cs="Times New Roman"/>
              </w:rPr>
              <w:t>LKJ2000</w:t>
            </w:r>
            <w:r w:rsidRPr="00EC2F91">
              <w:rPr>
                <w:rFonts w:ascii="Times New Roman" w:eastAsia="宋体" w:hAnsi="Times New Roman" w:cs="Times New Roman"/>
              </w:rPr>
              <w:t>、</w:t>
            </w:r>
            <w:r w:rsidRPr="00EC2F91">
              <w:rPr>
                <w:rFonts w:ascii="Times New Roman" w:eastAsia="宋体" w:hAnsi="Times New Roman" w:cs="Times New Roman"/>
              </w:rPr>
              <w:t>6A</w:t>
            </w:r>
            <w:r w:rsidRPr="00EC2F91">
              <w:rPr>
                <w:rFonts w:ascii="Times New Roman" w:eastAsia="宋体" w:hAnsi="Times New Roman" w:cs="Times New Roman"/>
              </w:rPr>
              <w:t>、</w:t>
            </w:r>
            <w:r w:rsidRPr="00EC2F91">
              <w:rPr>
                <w:rFonts w:ascii="Times New Roman" w:eastAsia="宋体" w:hAnsi="Times New Roman" w:cs="Times New Roman"/>
              </w:rPr>
              <w:t>CMD</w:t>
            </w:r>
            <w:r w:rsidRPr="00EC2F91">
              <w:rPr>
                <w:rFonts w:ascii="Times New Roman" w:eastAsia="宋体" w:hAnsi="Times New Roman" w:cs="Times New Roman"/>
              </w:rPr>
              <w:t>以及高铁领域的</w:t>
            </w:r>
            <w:r w:rsidRPr="00EC2F91">
              <w:rPr>
                <w:rFonts w:ascii="Times New Roman" w:eastAsia="宋体" w:hAnsi="Times New Roman" w:cs="Times New Roman"/>
              </w:rPr>
              <w:t>DMS</w:t>
            </w:r>
            <w:r w:rsidRPr="00EC2F91">
              <w:rPr>
                <w:rFonts w:ascii="Times New Roman" w:eastAsia="宋体" w:hAnsi="Times New Roman" w:cs="Times New Roman"/>
              </w:rPr>
              <w:t>、</w:t>
            </w:r>
            <w:r w:rsidRPr="00EC2F91">
              <w:rPr>
                <w:rFonts w:ascii="Times New Roman" w:eastAsia="宋体" w:hAnsi="Times New Roman" w:cs="Times New Roman"/>
              </w:rPr>
              <w:t>EOAS</w:t>
            </w:r>
            <w:r w:rsidRPr="00EC2F91">
              <w:rPr>
                <w:rFonts w:ascii="Times New Roman" w:eastAsia="宋体" w:hAnsi="Times New Roman" w:cs="Times New Roman"/>
              </w:rPr>
              <w:t>、</w:t>
            </w:r>
            <w:r w:rsidRPr="00EC2F91">
              <w:rPr>
                <w:rFonts w:ascii="Times New Roman" w:eastAsia="宋体" w:hAnsi="Times New Roman" w:cs="Times New Roman"/>
              </w:rPr>
              <w:t>JRU</w:t>
            </w:r>
            <w:r w:rsidRPr="00EC2F91">
              <w:rPr>
                <w:rFonts w:ascii="Times New Roman" w:eastAsia="宋体" w:hAnsi="Times New Roman" w:cs="Times New Roman"/>
              </w:rPr>
              <w:t>等均为机车车辆的标准配置，作为核心的列车车载控车系统、在线监测平台，相关产品的运用状态直接关系铁路运输安全与管理效率提升，目前相关产品均面临设备更新、升级，客户需求更为迫切。</w:t>
            </w:r>
            <w:bookmarkStart w:id="7" w:name="OLE_LINK11"/>
            <w:bookmarkStart w:id="8" w:name="OLE_LINK12"/>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16</w:t>
            </w:r>
            <w:r w:rsidRPr="00EC2F91">
              <w:rPr>
                <w:rFonts w:ascii="Times New Roman" w:eastAsia="宋体" w:hAnsi="Times New Roman" w:cs="Times New Roman"/>
                <w:b/>
              </w:rPr>
              <w:t>：请分别介绍一下机车、动集、高铁业务的招标形势、高铁五级修对公司的影响及产品价格变动趋势。</w:t>
            </w:r>
            <w:bookmarkStart w:id="9" w:name="OLE_LINK15"/>
            <w:r w:rsidRPr="00EC2F91">
              <w:rPr>
                <w:rFonts w:ascii="Times New Roman" w:eastAsia="宋体" w:hAnsi="Times New Roman" w:cs="Times New Roman"/>
                <w:b/>
              </w:rPr>
              <w:t>机车招标和高铁招标</w:t>
            </w:r>
            <w:bookmarkEnd w:id="9"/>
            <w:r w:rsidRPr="00EC2F91">
              <w:rPr>
                <w:rFonts w:ascii="Times New Roman" w:eastAsia="宋体" w:hAnsi="Times New Roman" w:cs="Times New Roman"/>
                <w:b/>
              </w:rPr>
              <w:t>为什么会有这么大的差距？</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w:t>
            </w:r>
            <w:r w:rsidRPr="00EC2F91">
              <w:rPr>
                <w:rFonts w:ascii="Times New Roman" w:eastAsia="宋体" w:hAnsi="Times New Roman" w:cs="Times New Roman"/>
              </w:rPr>
              <w:t>2024</w:t>
            </w:r>
            <w:r w:rsidRPr="00EC2F91">
              <w:rPr>
                <w:rFonts w:ascii="Times New Roman" w:eastAsia="宋体" w:hAnsi="Times New Roman" w:cs="Times New Roman"/>
              </w:rPr>
              <w:t>年铁路系统对机车、动力集中型动车组（简称</w:t>
            </w:r>
            <w:r w:rsidRPr="00EC2F91">
              <w:rPr>
                <w:rFonts w:ascii="Times New Roman" w:eastAsia="宋体" w:hAnsi="Times New Roman" w:cs="Times New Roman"/>
              </w:rPr>
              <w:t>“</w:t>
            </w:r>
            <w:r w:rsidRPr="00EC2F91">
              <w:rPr>
                <w:rFonts w:ascii="Times New Roman" w:eastAsia="宋体" w:hAnsi="Times New Roman" w:cs="Times New Roman"/>
              </w:rPr>
              <w:t>动集</w:t>
            </w:r>
            <w:r w:rsidRPr="00EC2F91">
              <w:rPr>
                <w:rFonts w:ascii="Times New Roman" w:eastAsia="宋体" w:hAnsi="Times New Roman" w:cs="Times New Roman"/>
              </w:rPr>
              <w:t>”</w:t>
            </w:r>
            <w:r w:rsidRPr="00EC2F91">
              <w:rPr>
                <w:rFonts w:ascii="Times New Roman" w:eastAsia="宋体" w:hAnsi="Times New Roman" w:cs="Times New Roman"/>
              </w:rPr>
              <w:t>）的招标数量低于预期，高铁招标数量高于预期，预计</w:t>
            </w:r>
            <w:r w:rsidRPr="00EC2F91">
              <w:rPr>
                <w:rFonts w:ascii="Times New Roman" w:eastAsia="宋体" w:hAnsi="Times New Roman" w:cs="Times New Roman"/>
              </w:rPr>
              <w:t>2025</w:t>
            </w:r>
            <w:r w:rsidRPr="00EC2F91">
              <w:rPr>
                <w:rFonts w:ascii="Times New Roman" w:eastAsia="宋体" w:hAnsi="Times New Roman" w:cs="Times New Roman"/>
              </w:rPr>
              <w:t>年机车、</w:t>
            </w:r>
            <w:proofErr w:type="gramStart"/>
            <w:r w:rsidRPr="00EC2F91">
              <w:rPr>
                <w:rFonts w:ascii="Times New Roman" w:eastAsia="宋体" w:hAnsi="Times New Roman" w:cs="Times New Roman"/>
              </w:rPr>
              <w:t>动集招标</w:t>
            </w:r>
            <w:proofErr w:type="gramEnd"/>
            <w:r w:rsidRPr="00EC2F91">
              <w:rPr>
                <w:rFonts w:ascii="Times New Roman" w:eastAsia="宋体" w:hAnsi="Times New Roman" w:cs="Times New Roman"/>
              </w:rPr>
              <w:t>将有所恢复，高铁及五级修招标平稳。主要原因是：（</w:t>
            </w:r>
            <w:r w:rsidRPr="00EC2F91">
              <w:rPr>
                <w:rFonts w:ascii="Times New Roman" w:eastAsia="宋体" w:hAnsi="Times New Roman" w:cs="Times New Roman"/>
              </w:rPr>
              <w:t>1</w:t>
            </w:r>
            <w:r w:rsidRPr="00EC2F91">
              <w:rPr>
                <w:rFonts w:ascii="Times New Roman" w:eastAsia="宋体" w:hAnsi="Times New Roman" w:cs="Times New Roman"/>
              </w:rPr>
              <w:t>）</w:t>
            </w:r>
            <w:r w:rsidRPr="00EC2F91">
              <w:rPr>
                <w:rFonts w:ascii="Times New Roman" w:eastAsia="宋体" w:hAnsi="Times New Roman" w:cs="Times New Roman"/>
              </w:rPr>
              <w:t>2025</w:t>
            </w:r>
            <w:r w:rsidRPr="00EC2F91">
              <w:rPr>
                <w:rFonts w:ascii="Times New Roman" w:eastAsia="宋体" w:hAnsi="Times New Roman" w:cs="Times New Roman"/>
              </w:rPr>
              <w:t>年，随着《老旧型铁路内燃机车淘汰更新监督管理办法》《有效降低全社会物流成本行动方案》的落实，将推动机车需求增加。（</w:t>
            </w:r>
            <w:r w:rsidRPr="00EC2F91">
              <w:rPr>
                <w:rFonts w:ascii="Times New Roman" w:eastAsia="宋体" w:hAnsi="Times New Roman" w:cs="Times New Roman"/>
              </w:rPr>
              <w:t>2</w:t>
            </w:r>
            <w:r w:rsidRPr="00EC2F91">
              <w:rPr>
                <w:rFonts w:ascii="Times New Roman" w:eastAsia="宋体" w:hAnsi="Times New Roman" w:cs="Times New Roman"/>
              </w:rPr>
              <w:t>）铁路客货运量持续增长将带动机车、动集、高铁列车需求增长。</w:t>
            </w:r>
            <w:r w:rsidRPr="00EC2F91">
              <w:rPr>
                <w:rFonts w:ascii="Times New Roman" w:eastAsia="宋体" w:hAnsi="Times New Roman" w:cs="Times New Roman"/>
              </w:rPr>
              <w:t>2025</w:t>
            </w:r>
            <w:r w:rsidRPr="00EC2F91">
              <w:rPr>
                <w:rFonts w:ascii="Times New Roman" w:eastAsia="宋体" w:hAnsi="Times New Roman" w:cs="Times New Roman"/>
              </w:rPr>
              <w:t>年一季度，全国铁路客流持续增长，货物运量稳步提升。一季度，全国铁路旅客发送量突破</w:t>
            </w:r>
            <w:r w:rsidRPr="00EC2F91">
              <w:rPr>
                <w:rFonts w:ascii="Times New Roman" w:eastAsia="宋体" w:hAnsi="Times New Roman" w:cs="Times New Roman"/>
              </w:rPr>
              <w:t>10</w:t>
            </w:r>
            <w:r w:rsidRPr="00EC2F91">
              <w:rPr>
                <w:rFonts w:ascii="Times New Roman" w:eastAsia="宋体" w:hAnsi="Times New Roman" w:cs="Times New Roman"/>
              </w:rPr>
              <w:t>亿，达到</w:t>
            </w:r>
            <w:r w:rsidRPr="00EC2F91">
              <w:rPr>
                <w:rFonts w:ascii="Times New Roman" w:eastAsia="宋体" w:hAnsi="Times New Roman" w:cs="Times New Roman"/>
              </w:rPr>
              <w:t>10.74</w:t>
            </w:r>
            <w:r w:rsidRPr="00EC2F91">
              <w:rPr>
                <w:rFonts w:ascii="Times New Roman" w:eastAsia="宋体" w:hAnsi="Times New Roman" w:cs="Times New Roman"/>
              </w:rPr>
              <w:t>亿人次，同比增长</w:t>
            </w:r>
            <w:r w:rsidRPr="00EC2F91">
              <w:rPr>
                <w:rFonts w:ascii="Times New Roman" w:eastAsia="宋体" w:hAnsi="Times New Roman" w:cs="Times New Roman"/>
              </w:rPr>
              <w:t>5.9%</w:t>
            </w:r>
            <w:r w:rsidRPr="00EC2F91">
              <w:rPr>
                <w:rFonts w:ascii="Times New Roman" w:eastAsia="宋体" w:hAnsi="Times New Roman" w:cs="Times New Roman"/>
              </w:rPr>
              <w:t>；全国铁路货运发送量完成</w:t>
            </w:r>
            <w:r w:rsidRPr="00EC2F91">
              <w:rPr>
                <w:rFonts w:ascii="Times New Roman" w:eastAsia="宋体" w:hAnsi="Times New Roman" w:cs="Times New Roman"/>
              </w:rPr>
              <w:t>12.53</w:t>
            </w:r>
            <w:r w:rsidRPr="00EC2F91">
              <w:rPr>
                <w:rFonts w:ascii="Times New Roman" w:eastAsia="宋体" w:hAnsi="Times New Roman" w:cs="Times New Roman"/>
              </w:rPr>
              <w:t>亿吨，同比增长</w:t>
            </w:r>
            <w:r w:rsidRPr="00EC2F91">
              <w:rPr>
                <w:rFonts w:ascii="Times New Roman" w:eastAsia="宋体" w:hAnsi="Times New Roman" w:cs="Times New Roman"/>
              </w:rPr>
              <w:t>1.0%</w:t>
            </w:r>
            <w:r w:rsidRPr="00EC2F91">
              <w:rPr>
                <w:rFonts w:ascii="Times New Roman" w:eastAsia="宋体" w:hAnsi="Times New Roman" w:cs="Times New Roman"/>
              </w:rPr>
              <w:t>。其中，</w:t>
            </w:r>
            <w:r w:rsidRPr="00EC2F91">
              <w:rPr>
                <w:rFonts w:ascii="Times New Roman" w:eastAsia="宋体" w:hAnsi="Times New Roman" w:cs="Times New Roman"/>
              </w:rPr>
              <w:t>3</w:t>
            </w:r>
            <w:r w:rsidRPr="00EC2F91">
              <w:rPr>
                <w:rFonts w:ascii="Times New Roman" w:eastAsia="宋体" w:hAnsi="Times New Roman" w:cs="Times New Roman"/>
              </w:rPr>
              <w:t>月份全国铁路发送货物</w:t>
            </w:r>
            <w:r w:rsidRPr="00EC2F91">
              <w:rPr>
                <w:rFonts w:ascii="Times New Roman" w:eastAsia="宋体" w:hAnsi="Times New Roman" w:cs="Times New Roman"/>
              </w:rPr>
              <w:t>4.45</w:t>
            </w:r>
            <w:r w:rsidRPr="00EC2F91">
              <w:rPr>
                <w:rFonts w:ascii="Times New Roman" w:eastAsia="宋体" w:hAnsi="Times New Roman" w:cs="Times New Roman"/>
              </w:rPr>
              <w:t>亿吨，同比增长</w:t>
            </w:r>
            <w:r w:rsidRPr="00EC2F91">
              <w:rPr>
                <w:rFonts w:ascii="Times New Roman" w:eastAsia="宋体" w:hAnsi="Times New Roman" w:cs="Times New Roman"/>
              </w:rPr>
              <w:t>2.4%</w:t>
            </w:r>
            <w:r w:rsidRPr="00EC2F91">
              <w:rPr>
                <w:rFonts w:ascii="Times New Roman" w:eastAsia="宋体" w:hAnsi="Times New Roman" w:cs="Times New Roman"/>
              </w:rPr>
              <w:t>。均超过年初铁路工作会议中确定的</w:t>
            </w:r>
            <w:r w:rsidRPr="00EC2F91">
              <w:rPr>
                <w:rFonts w:ascii="Times New Roman" w:eastAsia="宋体" w:hAnsi="Times New Roman" w:cs="Times New Roman"/>
              </w:rPr>
              <w:t>2025</w:t>
            </w:r>
            <w:r w:rsidRPr="00EC2F91">
              <w:rPr>
                <w:rFonts w:ascii="Times New Roman" w:eastAsia="宋体" w:hAnsi="Times New Roman" w:cs="Times New Roman"/>
              </w:rPr>
              <w:t>年铁路运输增速目标。公司源自新造车的订单占比一般不超过</w:t>
            </w:r>
            <w:r w:rsidRPr="00EC2F91">
              <w:rPr>
                <w:rFonts w:ascii="Times New Roman" w:eastAsia="宋体" w:hAnsi="Times New Roman" w:cs="Times New Roman"/>
              </w:rPr>
              <w:t>20%</w:t>
            </w:r>
            <w:r w:rsidRPr="00EC2F91">
              <w:rPr>
                <w:rFonts w:ascii="Times New Roman" w:eastAsia="宋体" w:hAnsi="Times New Roman" w:cs="Times New Roman"/>
              </w:rPr>
              <w:t>，相关产品价格基本稳定。</w:t>
            </w:r>
            <w:r w:rsidRPr="00EC2F91">
              <w:rPr>
                <w:rFonts w:ascii="Times New Roman" w:eastAsia="宋体" w:hAnsi="Times New Roman" w:cs="Times New Roman"/>
              </w:rPr>
              <w:t>2024</w:t>
            </w:r>
            <w:r w:rsidRPr="00EC2F91">
              <w:rPr>
                <w:rFonts w:ascii="Times New Roman" w:eastAsia="宋体" w:hAnsi="Times New Roman" w:cs="Times New Roman"/>
              </w:rPr>
              <w:t>年机车招标和高铁招标形势存在较大差异主要与铁路客货运的运输形势有关。</w:t>
            </w:r>
            <w:r w:rsidRPr="00EC2F91">
              <w:rPr>
                <w:rFonts w:ascii="Times New Roman" w:eastAsia="宋体" w:hAnsi="Times New Roman" w:cs="Times New Roman"/>
              </w:rPr>
              <w:t>2024</w:t>
            </w:r>
            <w:r w:rsidRPr="00EC2F91">
              <w:rPr>
                <w:rFonts w:ascii="Times New Roman" w:eastAsia="宋体" w:hAnsi="Times New Roman" w:cs="Times New Roman"/>
              </w:rPr>
              <w:t>年度，国家铁路旅客发送量完成</w:t>
            </w:r>
            <w:r w:rsidRPr="00EC2F91">
              <w:rPr>
                <w:rFonts w:ascii="Times New Roman" w:eastAsia="宋体" w:hAnsi="Times New Roman" w:cs="Times New Roman"/>
              </w:rPr>
              <w:t>40.85</w:t>
            </w:r>
            <w:r w:rsidRPr="00EC2F91">
              <w:rPr>
                <w:rFonts w:ascii="Times New Roman" w:eastAsia="宋体" w:hAnsi="Times New Roman" w:cs="Times New Roman"/>
              </w:rPr>
              <w:t>亿人，比上年增加</w:t>
            </w:r>
            <w:r w:rsidRPr="00EC2F91">
              <w:rPr>
                <w:rFonts w:ascii="Times New Roman" w:eastAsia="宋体" w:hAnsi="Times New Roman" w:cs="Times New Roman"/>
              </w:rPr>
              <w:t>4</w:t>
            </w:r>
            <w:r w:rsidRPr="00EC2F91">
              <w:rPr>
                <w:rFonts w:ascii="Times New Roman" w:eastAsia="宋体" w:hAnsi="Times New Roman" w:cs="Times New Roman"/>
              </w:rPr>
              <w:t>亿人，增长</w:t>
            </w:r>
            <w:r w:rsidRPr="00EC2F91">
              <w:rPr>
                <w:rFonts w:ascii="Times New Roman" w:eastAsia="宋体" w:hAnsi="Times New Roman" w:cs="Times New Roman"/>
              </w:rPr>
              <w:t>10.9%</w:t>
            </w:r>
            <w:r w:rsidRPr="00EC2F91">
              <w:rPr>
                <w:rFonts w:ascii="Times New Roman" w:eastAsia="宋体" w:hAnsi="Times New Roman" w:cs="Times New Roman"/>
              </w:rPr>
              <w:t>；同期，国家铁路货运总发送量完成</w:t>
            </w:r>
            <w:r w:rsidRPr="00EC2F91">
              <w:rPr>
                <w:rFonts w:ascii="Times New Roman" w:eastAsia="宋体" w:hAnsi="Times New Roman" w:cs="Times New Roman"/>
              </w:rPr>
              <w:t>39.85</w:t>
            </w:r>
            <w:r w:rsidRPr="00EC2F91">
              <w:rPr>
                <w:rFonts w:ascii="Times New Roman" w:eastAsia="宋体" w:hAnsi="Times New Roman" w:cs="Times New Roman"/>
              </w:rPr>
              <w:t>亿吨，比上年增加</w:t>
            </w:r>
            <w:r w:rsidRPr="00EC2F91">
              <w:rPr>
                <w:rFonts w:ascii="Times New Roman" w:eastAsia="宋体" w:hAnsi="Times New Roman" w:cs="Times New Roman"/>
              </w:rPr>
              <w:t>0.74</w:t>
            </w:r>
            <w:r w:rsidRPr="00EC2F91">
              <w:rPr>
                <w:rFonts w:ascii="Times New Roman" w:eastAsia="宋体" w:hAnsi="Times New Roman" w:cs="Times New Roman"/>
              </w:rPr>
              <w:t>亿吨，增长</w:t>
            </w:r>
            <w:r w:rsidRPr="00EC2F91">
              <w:rPr>
                <w:rFonts w:ascii="Times New Roman" w:eastAsia="宋体" w:hAnsi="Times New Roman" w:cs="Times New Roman"/>
              </w:rPr>
              <w:t>1.9%</w:t>
            </w:r>
            <w:r w:rsidRPr="00EC2F91">
              <w:rPr>
                <w:rFonts w:ascii="Times New Roman" w:eastAsia="宋体" w:hAnsi="Times New Roman" w:cs="Times New Roman"/>
              </w:rPr>
              <w:t>。高铁是我国铁路客运的主力，机车是铁路货运的主力。</w:t>
            </w:r>
          </w:p>
          <w:bookmarkEnd w:id="7"/>
          <w:bookmarkEnd w:id="8"/>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17</w:t>
            </w:r>
            <w:r w:rsidRPr="00EC2F91">
              <w:rPr>
                <w:rFonts w:ascii="Times New Roman" w:eastAsia="宋体" w:hAnsi="Times New Roman" w:cs="Times New Roman"/>
                <w:b/>
              </w:rPr>
              <w:t>：铁路行业</w:t>
            </w:r>
            <w:r w:rsidRPr="00EC2F91">
              <w:rPr>
                <w:rFonts w:ascii="Times New Roman" w:eastAsia="宋体" w:hAnsi="Times New Roman" w:cs="Times New Roman"/>
                <w:b/>
              </w:rPr>
              <w:t>2025</w:t>
            </w:r>
            <w:r w:rsidRPr="00EC2F91">
              <w:rPr>
                <w:rFonts w:ascii="Times New Roman" w:eastAsia="宋体" w:hAnsi="Times New Roman" w:cs="Times New Roman"/>
                <w:b/>
              </w:rPr>
              <w:t>年投资趋势如何？</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回复：从产业环境来看，</w:t>
            </w:r>
            <w:r w:rsidRPr="00EC2F91">
              <w:rPr>
                <w:rFonts w:ascii="Times New Roman" w:eastAsia="宋体" w:hAnsi="Times New Roman" w:cs="Times New Roman"/>
              </w:rPr>
              <w:t>2024</w:t>
            </w:r>
            <w:r w:rsidRPr="00EC2F91">
              <w:rPr>
                <w:rFonts w:ascii="Times New Roman" w:eastAsia="宋体" w:hAnsi="Times New Roman" w:cs="Times New Roman"/>
              </w:rPr>
              <w:t>年中国铁路完成固定资产投资</w:t>
            </w:r>
            <w:r w:rsidRPr="00EC2F91">
              <w:rPr>
                <w:rFonts w:ascii="Times New Roman" w:eastAsia="宋体" w:hAnsi="Times New Roman" w:cs="Times New Roman"/>
              </w:rPr>
              <w:t>8506</w:t>
            </w:r>
            <w:r w:rsidRPr="00EC2F91">
              <w:rPr>
                <w:rFonts w:ascii="Times New Roman" w:eastAsia="宋体" w:hAnsi="Times New Roman" w:cs="Times New Roman"/>
              </w:rPr>
              <w:t>亿元，同比增长</w:t>
            </w:r>
            <w:r w:rsidRPr="00EC2F91">
              <w:rPr>
                <w:rFonts w:ascii="Times New Roman" w:eastAsia="宋体" w:hAnsi="Times New Roman" w:cs="Times New Roman"/>
              </w:rPr>
              <w:t>11.3%</w:t>
            </w:r>
            <w:r w:rsidRPr="00EC2F91">
              <w:rPr>
                <w:rFonts w:ascii="Times New Roman" w:eastAsia="宋体" w:hAnsi="Times New Roman" w:cs="Times New Roman"/>
              </w:rPr>
              <w:t>，</w:t>
            </w:r>
            <w:r w:rsidRPr="00EC2F91">
              <w:rPr>
                <w:rFonts w:ascii="Times New Roman" w:eastAsia="宋体" w:hAnsi="Times New Roman" w:cs="Times New Roman"/>
              </w:rPr>
              <w:t>2025</w:t>
            </w:r>
            <w:r w:rsidRPr="00EC2F91">
              <w:rPr>
                <w:rFonts w:ascii="Times New Roman" w:eastAsia="宋体" w:hAnsi="Times New Roman" w:cs="Times New Roman"/>
              </w:rPr>
              <w:t>年一季度铁路固定资产投资完成</w:t>
            </w:r>
            <w:r w:rsidRPr="00EC2F91">
              <w:rPr>
                <w:rFonts w:ascii="Times New Roman" w:eastAsia="宋体" w:hAnsi="Times New Roman" w:cs="Times New Roman"/>
              </w:rPr>
              <w:t>1312</w:t>
            </w:r>
            <w:r w:rsidRPr="00EC2F91">
              <w:rPr>
                <w:rFonts w:ascii="Times New Roman" w:eastAsia="宋体" w:hAnsi="Times New Roman" w:cs="Times New Roman"/>
              </w:rPr>
              <w:t>亿元，同比增长</w:t>
            </w:r>
            <w:r w:rsidRPr="00EC2F91">
              <w:rPr>
                <w:rFonts w:ascii="Times New Roman" w:eastAsia="宋体" w:hAnsi="Times New Roman" w:cs="Times New Roman"/>
              </w:rPr>
              <w:t>5.2%</w:t>
            </w:r>
            <w:r w:rsidRPr="00EC2F91">
              <w:rPr>
                <w:rFonts w:ascii="Times New Roman" w:eastAsia="宋体" w:hAnsi="Times New Roman" w:cs="Times New Roman"/>
              </w:rPr>
              <w:t>，创历史新高，</w:t>
            </w:r>
            <w:r w:rsidRPr="00EC2F91">
              <w:rPr>
                <w:rFonts w:ascii="Times New Roman" w:eastAsia="宋体" w:hAnsi="Times New Roman" w:cs="Times New Roman"/>
              </w:rPr>
              <w:t>2025</w:t>
            </w:r>
            <w:r w:rsidRPr="00EC2F91">
              <w:rPr>
                <w:rFonts w:ascii="Times New Roman" w:eastAsia="宋体" w:hAnsi="Times New Roman" w:cs="Times New Roman"/>
              </w:rPr>
              <w:t>全年投资有望继续保持高位，将带动相关设备系统的采购、更新投资增长。</w:t>
            </w:r>
            <w:r w:rsidRPr="00EC2F91">
              <w:rPr>
                <w:rFonts w:ascii="Times New Roman" w:eastAsia="宋体" w:hAnsi="Times New Roman" w:cs="Times New Roman"/>
              </w:rPr>
              <w:t>2025</w:t>
            </w:r>
            <w:r w:rsidRPr="00EC2F91">
              <w:rPr>
                <w:rFonts w:ascii="Times New Roman" w:eastAsia="宋体" w:hAnsi="Times New Roman" w:cs="Times New Roman"/>
              </w:rPr>
              <w:t>年</w:t>
            </w:r>
            <w:r w:rsidRPr="00EC2F91">
              <w:rPr>
                <w:rFonts w:ascii="Times New Roman" w:eastAsia="宋体" w:hAnsi="Times New Roman" w:cs="Times New Roman"/>
              </w:rPr>
              <w:t>1</w:t>
            </w:r>
            <w:r w:rsidRPr="00EC2F91">
              <w:rPr>
                <w:rFonts w:ascii="Times New Roman" w:eastAsia="宋体" w:hAnsi="Times New Roman" w:cs="Times New Roman"/>
              </w:rPr>
              <w:t>月，国铁集团印发《铁路设备更新改造行动方案》，部署开展运输生产设备更新改造、运输服务设备更新升级、信息通信设备自主替代等五大行动，将推动铁路设备更新换代。公司将抓住机遇，持续聚焦主业，提升产品质量，增强公司核心竞争力，为推动新质生产力奠定基础，确保公司稳健、长远、可持续发展。</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18</w:t>
            </w:r>
            <w:r w:rsidRPr="00EC2F91">
              <w:rPr>
                <w:rFonts w:ascii="Times New Roman" w:eastAsia="宋体" w:hAnsi="Times New Roman" w:cs="Times New Roman"/>
                <w:b/>
              </w:rPr>
              <w:t>：请解读一下近期主要政策及对公司的影响。</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lastRenderedPageBreak/>
              <w:t>回复：（</w:t>
            </w:r>
            <w:r w:rsidRPr="00EC2F91">
              <w:rPr>
                <w:rFonts w:ascii="Times New Roman" w:eastAsia="宋体" w:hAnsi="Times New Roman" w:cs="Times New Roman"/>
              </w:rPr>
              <w:t>1</w:t>
            </w:r>
            <w:r w:rsidRPr="00EC2F91">
              <w:rPr>
                <w:rFonts w:ascii="Times New Roman" w:eastAsia="宋体" w:hAnsi="Times New Roman" w:cs="Times New Roman"/>
              </w:rPr>
              <w:t>）</w:t>
            </w:r>
            <w:r w:rsidRPr="00EC2F91">
              <w:rPr>
                <w:rFonts w:ascii="Times New Roman" w:eastAsia="宋体" w:hAnsi="Times New Roman" w:cs="Times New Roman"/>
              </w:rPr>
              <w:t>2024</w:t>
            </w:r>
            <w:r w:rsidRPr="00EC2F91">
              <w:rPr>
                <w:rFonts w:ascii="Times New Roman" w:eastAsia="宋体" w:hAnsi="Times New Roman" w:cs="Times New Roman"/>
              </w:rPr>
              <w:t>年</w:t>
            </w:r>
            <w:r w:rsidRPr="00EC2F91">
              <w:rPr>
                <w:rFonts w:ascii="Times New Roman" w:eastAsia="宋体" w:hAnsi="Times New Roman" w:cs="Times New Roman"/>
              </w:rPr>
              <w:t>9</w:t>
            </w:r>
            <w:r w:rsidRPr="00EC2F91">
              <w:rPr>
                <w:rFonts w:ascii="Times New Roman" w:eastAsia="宋体" w:hAnsi="Times New Roman" w:cs="Times New Roman"/>
              </w:rPr>
              <w:t>月，国家铁路局印发《老旧型铁路内燃机车淘汰更新监督管理办法》，明确至</w:t>
            </w:r>
            <w:r w:rsidRPr="00EC2F91">
              <w:rPr>
                <w:rFonts w:ascii="Times New Roman" w:eastAsia="宋体" w:hAnsi="Times New Roman" w:cs="Times New Roman"/>
              </w:rPr>
              <w:t>2027</w:t>
            </w:r>
            <w:r w:rsidRPr="00EC2F91">
              <w:rPr>
                <w:rFonts w:ascii="Times New Roman" w:eastAsia="宋体" w:hAnsi="Times New Roman" w:cs="Times New Roman"/>
              </w:rPr>
              <w:t>年底，重点区域的老旧型铁路内燃机车应当全部退出铁路运输市场；至</w:t>
            </w:r>
            <w:r w:rsidRPr="00EC2F91">
              <w:rPr>
                <w:rFonts w:ascii="Times New Roman" w:eastAsia="宋体" w:hAnsi="Times New Roman" w:cs="Times New Roman"/>
              </w:rPr>
              <w:t>2035</w:t>
            </w:r>
            <w:r w:rsidRPr="00EC2F91">
              <w:rPr>
                <w:rFonts w:ascii="Times New Roman" w:eastAsia="宋体" w:hAnsi="Times New Roman" w:cs="Times New Roman"/>
              </w:rPr>
              <w:t>年底，老旧型铁路内燃机车应当基本退出铁路运输市场。随着老旧型铁路内燃机车的淘汰更新，将带动新造机车和配套车载设备需求增长。（</w:t>
            </w:r>
            <w:r w:rsidRPr="00EC2F91">
              <w:rPr>
                <w:rFonts w:ascii="Times New Roman" w:eastAsia="宋体" w:hAnsi="Times New Roman" w:cs="Times New Roman"/>
              </w:rPr>
              <w:t>2</w:t>
            </w:r>
            <w:r w:rsidRPr="00EC2F91">
              <w:rPr>
                <w:rFonts w:ascii="Times New Roman" w:eastAsia="宋体" w:hAnsi="Times New Roman" w:cs="Times New Roman"/>
              </w:rPr>
              <w:t>）</w:t>
            </w:r>
            <w:r w:rsidRPr="00EC2F91">
              <w:rPr>
                <w:rFonts w:ascii="Times New Roman" w:eastAsia="宋体" w:hAnsi="Times New Roman" w:cs="Times New Roman"/>
              </w:rPr>
              <w:t>2024</w:t>
            </w:r>
            <w:r w:rsidRPr="00EC2F91">
              <w:rPr>
                <w:rFonts w:ascii="Times New Roman" w:eastAsia="宋体" w:hAnsi="Times New Roman" w:cs="Times New Roman"/>
              </w:rPr>
              <w:t>年</w:t>
            </w:r>
            <w:r w:rsidRPr="00EC2F91">
              <w:rPr>
                <w:rFonts w:ascii="Times New Roman" w:eastAsia="宋体" w:hAnsi="Times New Roman" w:cs="Times New Roman"/>
              </w:rPr>
              <w:t>11</w:t>
            </w:r>
            <w:r w:rsidRPr="00EC2F91">
              <w:rPr>
                <w:rFonts w:ascii="Times New Roman" w:eastAsia="宋体" w:hAnsi="Times New Roman" w:cs="Times New Roman"/>
              </w:rPr>
              <w:t>月，中共中央办公厅、国务院办公厅印发《有效降低全社会物流成本行动方案》，明确到</w:t>
            </w:r>
            <w:r w:rsidRPr="00EC2F91">
              <w:rPr>
                <w:rFonts w:ascii="Times New Roman" w:eastAsia="宋体" w:hAnsi="Times New Roman" w:cs="Times New Roman"/>
              </w:rPr>
              <w:t>2027</w:t>
            </w:r>
            <w:r w:rsidRPr="00EC2F91">
              <w:rPr>
                <w:rFonts w:ascii="Times New Roman" w:eastAsia="宋体" w:hAnsi="Times New Roman" w:cs="Times New Roman"/>
              </w:rPr>
              <w:t>年，货物运输结构进一步优化，铁路货运量、铁路货运周转量占比力争分别提高至</w:t>
            </w:r>
            <w:r w:rsidRPr="00EC2F91">
              <w:rPr>
                <w:rFonts w:ascii="Times New Roman" w:eastAsia="宋体" w:hAnsi="Times New Roman" w:cs="Times New Roman"/>
              </w:rPr>
              <w:t>11%</w:t>
            </w:r>
            <w:r w:rsidRPr="00EC2F91">
              <w:rPr>
                <w:rFonts w:ascii="Times New Roman" w:eastAsia="宋体" w:hAnsi="Times New Roman" w:cs="Times New Roman"/>
              </w:rPr>
              <w:t>、</w:t>
            </w:r>
            <w:r w:rsidRPr="00EC2F91">
              <w:rPr>
                <w:rFonts w:ascii="Times New Roman" w:eastAsia="宋体" w:hAnsi="Times New Roman" w:cs="Times New Roman"/>
              </w:rPr>
              <w:t>23%</w:t>
            </w:r>
            <w:r w:rsidRPr="00EC2F91">
              <w:rPr>
                <w:rFonts w:ascii="Times New Roman" w:eastAsia="宋体" w:hAnsi="Times New Roman" w:cs="Times New Roman"/>
              </w:rPr>
              <w:t>左右。铁路运输占比提升一方面有利于降低全社会物流成本，同时将带动铁路运输需求增长，有利于公司市场规模进一步提升。（</w:t>
            </w:r>
            <w:r w:rsidRPr="00EC2F91">
              <w:rPr>
                <w:rFonts w:ascii="Times New Roman" w:eastAsia="宋体" w:hAnsi="Times New Roman" w:cs="Times New Roman"/>
              </w:rPr>
              <w:t>3</w:t>
            </w:r>
            <w:r w:rsidRPr="00EC2F91">
              <w:rPr>
                <w:rFonts w:ascii="Times New Roman" w:eastAsia="宋体" w:hAnsi="Times New Roman" w:cs="Times New Roman"/>
              </w:rPr>
              <w:t>）</w:t>
            </w:r>
            <w:r w:rsidRPr="00EC2F91">
              <w:rPr>
                <w:rFonts w:ascii="Times New Roman" w:eastAsia="宋体" w:hAnsi="Times New Roman" w:cs="Times New Roman"/>
              </w:rPr>
              <w:t>2024</w:t>
            </w:r>
            <w:r w:rsidRPr="00EC2F91">
              <w:rPr>
                <w:rFonts w:ascii="Times New Roman" w:eastAsia="宋体" w:hAnsi="Times New Roman" w:cs="Times New Roman"/>
              </w:rPr>
              <w:t>年</w:t>
            </w:r>
            <w:r w:rsidRPr="00EC2F91">
              <w:rPr>
                <w:rFonts w:ascii="Times New Roman" w:eastAsia="宋体" w:hAnsi="Times New Roman" w:cs="Times New Roman"/>
              </w:rPr>
              <w:t>11</w:t>
            </w:r>
            <w:r w:rsidRPr="00EC2F91">
              <w:rPr>
                <w:rFonts w:ascii="Times New Roman" w:eastAsia="宋体" w:hAnsi="Times New Roman" w:cs="Times New Roman"/>
              </w:rPr>
              <w:t>月，工业和信息化部等十二部门关于印发《</w:t>
            </w:r>
            <w:r w:rsidRPr="00EC2F91">
              <w:rPr>
                <w:rFonts w:ascii="Times New Roman" w:eastAsia="宋体" w:hAnsi="Times New Roman" w:cs="Times New Roman"/>
              </w:rPr>
              <w:t>5G</w:t>
            </w:r>
            <w:r w:rsidRPr="00EC2F91">
              <w:rPr>
                <w:rFonts w:ascii="Times New Roman" w:eastAsia="宋体" w:hAnsi="Times New Roman" w:cs="Times New Roman"/>
              </w:rPr>
              <w:t>规模化应用</w:t>
            </w:r>
            <w:r w:rsidRPr="00EC2F91">
              <w:rPr>
                <w:rFonts w:ascii="Times New Roman" w:eastAsia="宋体" w:hAnsi="Times New Roman" w:cs="Times New Roman"/>
              </w:rPr>
              <w:t>“</w:t>
            </w:r>
            <w:r w:rsidRPr="00EC2F91">
              <w:rPr>
                <w:rFonts w:ascii="Times New Roman" w:eastAsia="宋体" w:hAnsi="Times New Roman" w:cs="Times New Roman"/>
              </w:rPr>
              <w:t>扬帆</w:t>
            </w:r>
            <w:r w:rsidRPr="00EC2F91">
              <w:rPr>
                <w:rFonts w:ascii="Times New Roman" w:eastAsia="宋体" w:hAnsi="Times New Roman" w:cs="Times New Roman"/>
              </w:rPr>
              <w:t>”</w:t>
            </w:r>
            <w:r w:rsidRPr="00EC2F91">
              <w:rPr>
                <w:rFonts w:ascii="Times New Roman" w:eastAsia="宋体" w:hAnsi="Times New Roman" w:cs="Times New Roman"/>
              </w:rPr>
              <w:t>行动升级方案》，明确到</w:t>
            </w:r>
            <w:r w:rsidRPr="00EC2F91">
              <w:rPr>
                <w:rFonts w:ascii="Times New Roman" w:eastAsia="宋体" w:hAnsi="Times New Roman" w:cs="Times New Roman"/>
              </w:rPr>
              <w:t>2027</w:t>
            </w:r>
            <w:r w:rsidRPr="00EC2F91">
              <w:rPr>
                <w:rFonts w:ascii="Times New Roman" w:eastAsia="宋体" w:hAnsi="Times New Roman" w:cs="Times New Roman"/>
              </w:rPr>
              <w:t>年底，全面实现</w:t>
            </w:r>
            <w:r w:rsidRPr="00EC2F91">
              <w:rPr>
                <w:rFonts w:ascii="Times New Roman" w:eastAsia="宋体" w:hAnsi="Times New Roman" w:cs="Times New Roman"/>
              </w:rPr>
              <w:t>5G</w:t>
            </w:r>
            <w:r w:rsidRPr="00EC2F91">
              <w:rPr>
                <w:rFonts w:ascii="Times New Roman" w:eastAsia="宋体" w:hAnsi="Times New Roman" w:cs="Times New Roman"/>
              </w:rPr>
              <w:t>规模化应用。</w:t>
            </w:r>
            <w:r w:rsidRPr="00EC2F91">
              <w:rPr>
                <w:rFonts w:ascii="Times New Roman" w:eastAsia="宋体" w:hAnsi="Times New Roman" w:cs="Times New Roman"/>
              </w:rPr>
              <w:t>2024</w:t>
            </w:r>
            <w:r w:rsidRPr="00EC2F91">
              <w:rPr>
                <w:rFonts w:ascii="Times New Roman" w:eastAsia="宋体" w:hAnsi="Times New Roman" w:cs="Times New Roman"/>
              </w:rPr>
              <w:t>年以来，铁路系统已经积极响应，率先启动</w:t>
            </w:r>
            <w:r w:rsidRPr="00EC2F91">
              <w:rPr>
                <w:rFonts w:ascii="Times New Roman" w:eastAsia="宋体" w:hAnsi="Times New Roman" w:cs="Times New Roman"/>
              </w:rPr>
              <w:t>5G</w:t>
            </w:r>
            <w:r w:rsidRPr="00EC2F91">
              <w:rPr>
                <w:rFonts w:ascii="Times New Roman" w:eastAsia="宋体" w:hAnsi="Times New Roman" w:cs="Times New Roman"/>
              </w:rPr>
              <w:t>技术升级改造，有助于公司三大业务规模持续提升。（</w:t>
            </w:r>
            <w:r w:rsidRPr="00EC2F91">
              <w:rPr>
                <w:rFonts w:ascii="Times New Roman" w:eastAsia="宋体" w:hAnsi="Times New Roman" w:cs="Times New Roman"/>
              </w:rPr>
              <w:t>4</w:t>
            </w:r>
            <w:r w:rsidRPr="00EC2F91">
              <w:rPr>
                <w:rFonts w:ascii="Times New Roman" w:eastAsia="宋体" w:hAnsi="Times New Roman" w:cs="Times New Roman"/>
              </w:rPr>
              <w:t>）</w:t>
            </w:r>
            <w:r w:rsidRPr="00EC2F91">
              <w:rPr>
                <w:rFonts w:ascii="Times New Roman" w:eastAsia="宋体" w:hAnsi="Times New Roman" w:cs="Times New Roman"/>
              </w:rPr>
              <w:t>2025</w:t>
            </w:r>
            <w:r w:rsidRPr="00EC2F91">
              <w:rPr>
                <w:rFonts w:ascii="Times New Roman" w:eastAsia="宋体" w:hAnsi="Times New Roman" w:cs="Times New Roman"/>
              </w:rPr>
              <w:t>年</w:t>
            </w:r>
            <w:r w:rsidRPr="00EC2F91">
              <w:rPr>
                <w:rFonts w:ascii="Times New Roman" w:eastAsia="宋体" w:hAnsi="Times New Roman" w:cs="Times New Roman"/>
              </w:rPr>
              <w:t>1</w:t>
            </w:r>
            <w:r w:rsidRPr="00EC2F91">
              <w:rPr>
                <w:rFonts w:ascii="Times New Roman" w:eastAsia="宋体" w:hAnsi="Times New Roman" w:cs="Times New Roman"/>
              </w:rPr>
              <w:t>月初，国铁集团召开铁路工作会议，明确</w:t>
            </w:r>
            <w:r w:rsidRPr="00EC2F91">
              <w:rPr>
                <w:rFonts w:ascii="Times New Roman" w:eastAsia="宋体" w:hAnsi="Times New Roman" w:cs="Times New Roman"/>
              </w:rPr>
              <w:t>2025</w:t>
            </w:r>
            <w:r w:rsidRPr="00EC2F91">
              <w:rPr>
                <w:rFonts w:ascii="Times New Roman" w:eastAsia="宋体" w:hAnsi="Times New Roman" w:cs="Times New Roman"/>
              </w:rPr>
              <w:t>年十项重点工作，要求要深入开展安全生产</w:t>
            </w:r>
            <w:proofErr w:type="gramStart"/>
            <w:r w:rsidRPr="00EC2F91">
              <w:rPr>
                <w:rFonts w:ascii="Times New Roman" w:eastAsia="宋体" w:hAnsi="Times New Roman" w:cs="Times New Roman"/>
              </w:rPr>
              <w:t>治本攻坚</w:t>
            </w:r>
            <w:proofErr w:type="gramEnd"/>
            <w:r w:rsidRPr="00EC2F91">
              <w:rPr>
                <w:rFonts w:ascii="Times New Roman" w:eastAsia="宋体" w:hAnsi="Times New Roman" w:cs="Times New Roman"/>
              </w:rPr>
              <w:t>三年行动，加快构建现代化铁路安全保障体系。实施铁路设备更新改造行动，健全适应新技术、新工艺、新装备的</w:t>
            </w:r>
            <w:r w:rsidRPr="00EC2F91">
              <w:rPr>
                <w:rFonts w:ascii="Times New Roman" w:eastAsia="宋体" w:hAnsi="Times New Roman" w:cs="Times New Roman"/>
              </w:rPr>
              <w:t>“</w:t>
            </w:r>
            <w:r w:rsidRPr="00EC2F91">
              <w:rPr>
                <w:rFonts w:ascii="Times New Roman" w:eastAsia="宋体" w:hAnsi="Times New Roman" w:cs="Times New Roman"/>
              </w:rPr>
              <w:t>用管修</w:t>
            </w:r>
            <w:r w:rsidRPr="00EC2F91">
              <w:rPr>
                <w:rFonts w:ascii="Times New Roman" w:eastAsia="宋体" w:hAnsi="Times New Roman" w:cs="Times New Roman"/>
              </w:rPr>
              <w:t>”</w:t>
            </w:r>
            <w:r w:rsidRPr="00EC2F91">
              <w:rPr>
                <w:rFonts w:ascii="Times New Roman" w:eastAsia="宋体" w:hAnsi="Times New Roman" w:cs="Times New Roman"/>
              </w:rPr>
              <w:t>标准。安全生产</w:t>
            </w:r>
            <w:proofErr w:type="gramStart"/>
            <w:r w:rsidRPr="00EC2F91">
              <w:rPr>
                <w:rFonts w:ascii="Times New Roman" w:eastAsia="宋体" w:hAnsi="Times New Roman" w:cs="Times New Roman"/>
              </w:rPr>
              <w:t>治本攻坚</w:t>
            </w:r>
            <w:proofErr w:type="gramEnd"/>
            <w:r w:rsidRPr="00EC2F91">
              <w:rPr>
                <w:rFonts w:ascii="Times New Roman" w:eastAsia="宋体" w:hAnsi="Times New Roman" w:cs="Times New Roman"/>
              </w:rPr>
              <w:t>三年行动方案持续推动实施，有助于加快铁路行业设备更新需求释放，有利于进一步提升铁路运输安全保障能力。（</w:t>
            </w:r>
            <w:r w:rsidRPr="00EC2F91">
              <w:rPr>
                <w:rFonts w:ascii="Times New Roman" w:eastAsia="宋体" w:hAnsi="Times New Roman" w:cs="Times New Roman"/>
              </w:rPr>
              <w:t>5</w:t>
            </w:r>
            <w:r w:rsidRPr="00EC2F91">
              <w:rPr>
                <w:rFonts w:ascii="Times New Roman" w:eastAsia="宋体" w:hAnsi="Times New Roman" w:cs="Times New Roman"/>
              </w:rPr>
              <w:t>）</w:t>
            </w:r>
            <w:r w:rsidRPr="00EC2F91">
              <w:rPr>
                <w:rFonts w:ascii="Times New Roman" w:eastAsia="宋体" w:hAnsi="Times New Roman" w:cs="Times New Roman"/>
              </w:rPr>
              <w:t>2025</w:t>
            </w:r>
            <w:r w:rsidRPr="00EC2F91">
              <w:rPr>
                <w:rFonts w:ascii="Times New Roman" w:eastAsia="宋体" w:hAnsi="Times New Roman" w:cs="Times New Roman"/>
              </w:rPr>
              <w:t>年</w:t>
            </w:r>
            <w:r w:rsidRPr="00EC2F91">
              <w:rPr>
                <w:rFonts w:ascii="Times New Roman" w:eastAsia="宋体" w:hAnsi="Times New Roman" w:cs="Times New Roman"/>
              </w:rPr>
              <w:t>1</w:t>
            </w:r>
            <w:r w:rsidRPr="00EC2F91">
              <w:rPr>
                <w:rFonts w:ascii="Times New Roman" w:eastAsia="宋体" w:hAnsi="Times New Roman" w:cs="Times New Roman"/>
              </w:rPr>
              <w:t>月，国铁集团印发《铁路设备更新改造行动方案》，部署开展运输生产设备更新改造、运输服务设备更新升级、信息通信设备自主替代、绿色低碳设备推广应用、存量设备高效循环利用五大行动，推动铁路设备更新换代</w:t>
            </w:r>
            <w:r w:rsidRPr="00EC2F91">
              <w:rPr>
                <w:rFonts w:ascii="Times New Roman" w:eastAsia="宋体" w:hAnsi="Times New Roman" w:cs="Times New Roman"/>
              </w:rPr>
              <w:t>……</w:t>
            </w:r>
            <w:r w:rsidRPr="00EC2F91">
              <w:rPr>
                <w:rFonts w:ascii="Times New Roman" w:eastAsia="宋体" w:hAnsi="Times New Roman" w:cs="Times New Roman"/>
              </w:rPr>
              <w:t>；在信息通信设备自主替代行动方面，将加快推进北斗主用设备应用替代，有序推进无线通信设备升级换代，统筹推进信息通信设备更新换代。《行动方案》实施将进一步带动铁路装备更新、技术升级需求增长。</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公司将持续关注并积极响应相关政策，持续聚焦主业，提升产品质量，增强公司核心竞争力，为推动新质生产力奠定基础，确保公司稳健、长远、可持续发展。</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19</w:t>
            </w:r>
            <w:r w:rsidRPr="00EC2F91">
              <w:rPr>
                <w:rFonts w:ascii="Times New Roman" w:eastAsia="宋体" w:hAnsi="Times New Roman" w:cs="Times New Roman"/>
                <w:b/>
              </w:rPr>
              <w:t>：关税对公司有影响吗？</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t>回复：目前美国加征关税对公司影响不大。首先，公司主营业务聚焦国内市场，主要客户为国铁集团、各铁路局集团公司、中国中车等，境内收入占比</w:t>
            </w:r>
            <w:r w:rsidRPr="00EC2F91">
              <w:rPr>
                <w:rFonts w:ascii="Times New Roman" w:eastAsia="宋体" w:hAnsi="Times New Roman" w:cs="Times New Roman"/>
              </w:rPr>
              <w:t>100%</w:t>
            </w:r>
            <w:r w:rsidRPr="00EC2F91">
              <w:rPr>
                <w:rFonts w:ascii="Times New Roman" w:eastAsia="宋体" w:hAnsi="Times New Roman" w:cs="Times New Roman"/>
              </w:rPr>
              <w:t>，现阶段公司未直接开展海外直接销售业务。因此，美国近期加征关税预计对公司未来收入变动无影响。其次，公司从美国进口的材料占采购额的比例极低，关税政策波动对公司的采购成本影响不大。对此，公司通过大力推进产品的国产化、标准化设计，加快实现全国产化设计与应用，减少供应</w:t>
            </w:r>
            <w:proofErr w:type="gramStart"/>
            <w:r w:rsidRPr="00EC2F91">
              <w:rPr>
                <w:rFonts w:ascii="Times New Roman" w:eastAsia="宋体" w:hAnsi="Times New Roman" w:cs="Times New Roman"/>
              </w:rPr>
              <w:t>链因素</w:t>
            </w:r>
            <w:proofErr w:type="gramEnd"/>
            <w:r w:rsidRPr="00EC2F91">
              <w:rPr>
                <w:rFonts w:ascii="Times New Roman" w:eastAsia="宋体" w:hAnsi="Times New Roman" w:cs="Times New Roman"/>
              </w:rPr>
              <w:t>对公司生产经营的影响，持续提升公司盈利能力。</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20</w:t>
            </w:r>
            <w:r w:rsidRPr="00EC2F91">
              <w:rPr>
                <w:rFonts w:ascii="Times New Roman" w:eastAsia="宋体" w:hAnsi="Times New Roman" w:cs="Times New Roman"/>
                <w:b/>
              </w:rPr>
              <w:t>：公司对于</w:t>
            </w:r>
            <w:r w:rsidRPr="00EC2F91">
              <w:rPr>
                <w:rFonts w:ascii="Times New Roman" w:eastAsia="宋体" w:hAnsi="Times New Roman" w:cs="Times New Roman"/>
                <w:b/>
              </w:rPr>
              <w:t>2025</w:t>
            </w:r>
            <w:r w:rsidRPr="00EC2F91">
              <w:rPr>
                <w:rFonts w:ascii="Times New Roman" w:eastAsia="宋体" w:hAnsi="Times New Roman" w:cs="Times New Roman"/>
                <w:b/>
              </w:rPr>
              <w:t>年一季度订单预期如何？</w:t>
            </w:r>
          </w:p>
          <w:p w:rsidR="00EC2F91" w:rsidRPr="00EC2F91" w:rsidRDefault="00EC2F91" w:rsidP="00EC2F91">
            <w:pPr>
              <w:spacing w:line="360" w:lineRule="auto"/>
              <w:ind w:firstLineChars="200" w:firstLine="420"/>
              <w:rPr>
                <w:rFonts w:ascii="Times New Roman" w:eastAsia="宋体" w:hAnsi="Times New Roman" w:cs="Times New Roman"/>
              </w:rPr>
            </w:pPr>
            <w:r w:rsidRPr="00EC2F91">
              <w:rPr>
                <w:rFonts w:ascii="Times New Roman" w:eastAsia="宋体" w:hAnsi="Times New Roman" w:cs="Times New Roman"/>
              </w:rPr>
              <w:lastRenderedPageBreak/>
              <w:t>回复：</w:t>
            </w:r>
            <w:r w:rsidRPr="00EC2F91">
              <w:rPr>
                <w:rFonts w:ascii="Times New Roman" w:eastAsia="宋体" w:hAnsi="Times New Roman" w:cs="Times New Roman"/>
              </w:rPr>
              <w:t>2025</w:t>
            </w:r>
            <w:r w:rsidRPr="00EC2F91">
              <w:rPr>
                <w:rFonts w:ascii="Times New Roman" w:eastAsia="宋体" w:hAnsi="Times New Roman" w:cs="Times New Roman"/>
              </w:rPr>
              <w:t>年以来，公司生产经营稳中向好，一季度新</w:t>
            </w:r>
            <w:proofErr w:type="gramStart"/>
            <w:r w:rsidRPr="00EC2F91">
              <w:rPr>
                <w:rFonts w:ascii="Times New Roman" w:eastAsia="宋体" w:hAnsi="Times New Roman" w:cs="Times New Roman"/>
              </w:rPr>
              <w:t>签订单约</w:t>
            </w:r>
            <w:proofErr w:type="gramEnd"/>
            <w:r w:rsidRPr="00EC2F91">
              <w:rPr>
                <w:rFonts w:ascii="Times New Roman" w:eastAsia="宋体" w:hAnsi="Times New Roman" w:cs="Times New Roman"/>
              </w:rPr>
              <w:t>2.58</w:t>
            </w:r>
            <w:r w:rsidRPr="00EC2F91">
              <w:rPr>
                <w:rFonts w:ascii="Times New Roman" w:eastAsia="宋体" w:hAnsi="Times New Roman" w:cs="Times New Roman"/>
              </w:rPr>
              <w:t>亿元，同比增长超</w:t>
            </w:r>
            <w:r w:rsidRPr="00EC2F91">
              <w:rPr>
                <w:rFonts w:ascii="Times New Roman" w:eastAsia="宋体" w:hAnsi="Times New Roman" w:cs="Times New Roman"/>
              </w:rPr>
              <w:t>70%</w:t>
            </w:r>
            <w:r w:rsidRPr="00EC2F91">
              <w:rPr>
                <w:rFonts w:ascii="Times New Roman" w:eastAsia="宋体" w:hAnsi="Times New Roman" w:cs="Times New Roman"/>
              </w:rPr>
              <w:t>，实现了开门红。随着公司</w:t>
            </w:r>
            <w:r w:rsidRPr="00EC2F91">
              <w:rPr>
                <w:rFonts w:ascii="Times New Roman" w:eastAsia="宋体" w:hAnsi="Times New Roman" w:cs="Times New Roman"/>
              </w:rPr>
              <w:t>2024</w:t>
            </w:r>
            <w:r w:rsidRPr="00EC2F91">
              <w:rPr>
                <w:rFonts w:ascii="Times New Roman" w:eastAsia="宋体" w:hAnsi="Times New Roman" w:cs="Times New Roman"/>
              </w:rPr>
              <w:t>年末在手订单和</w:t>
            </w:r>
            <w:r w:rsidRPr="00EC2F91">
              <w:rPr>
                <w:rFonts w:ascii="Times New Roman" w:eastAsia="宋体" w:hAnsi="Times New Roman" w:cs="Times New Roman"/>
              </w:rPr>
              <w:t>2025</w:t>
            </w:r>
            <w:r w:rsidRPr="00EC2F91">
              <w:rPr>
                <w:rFonts w:ascii="Times New Roman" w:eastAsia="宋体" w:hAnsi="Times New Roman" w:cs="Times New Roman"/>
              </w:rPr>
              <w:t>年新签订单陆续交付，预计对</w:t>
            </w:r>
            <w:r w:rsidRPr="00EC2F91">
              <w:rPr>
                <w:rFonts w:ascii="Times New Roman" w:eastAsia="宋体" w:hAnsi="Times New Roman" w:cs="Times New Roman"/>
              </w:rPr>
              <w:t>2025</w:t>
            </w:r>
            <w:r w:rsidRPr="00EC2F91">
              <w:rPr>
                <w:rFonts w:ascii="Times New Roman" w:eastAsia="宋体" w:hAnsi="Times New Roman" w:cs="Times New Roman"/>
              </w:rPr>
              <w:t>年业绩有积极影响。关于公司</w:t>
            </w:r>
            <w:r w:rsidRPr="00EC2F91">
              <w:rPr>
                <w:rFonts w:ascii="Times New Roman" w:eastAsia="宋体" w:hAnsi="Times New Roman" w:cs="Times New Roman"/>
              </w:rPr>
              <w:t>2025</w:t>
            </w:r>
            <w:r w:rsidRPr="00EC2F91">
              <w:rPr>
                <w:rFonts w:ascii="Times New Roman" w:eastAsia="宋体" w:hAnsi="Times New Roman" w:cs="Times New Roman"/>
              </w:rPr>
              <w:t>年一季度的具体业绩相关情况，详见公司于</w:t>
            </w:r>
            <w:r w:rsidRPr="00EC2F91">
              <w:rPr>
                <w:rFonts w:ascii="Times New Roman" w:eastAsia="宋体" w:hAnsi="Times New Roman" w:cs="Times New Roman"/>
              </w:rPr>
              <w:t>2024</w:t>
            </w:r>
            <w:r w:rsidRPr="00EC2F91">
              <w:rPr>
                <w:rFonts w:ascii="Times New Roman" w:eastAsia="宋体" w:hAnsi="Times New Roman" w:cs="Times New Roman"/>
              </w:rPr>
              <w:t>年</w:t>
            </w:r>
            <w:r w:rsidRPr="00EC2F91">
              <w:rPr>
                <w:rFonts w:ascii="Times New Roman" w:eastAsia="宋体" w:hAnsi="Times New Roman" w:cs="Times New Roman"/>
              </w:rPr>
              <w:t>4</w:t>
            </w:r>
            <w:r w:rsidRPr="00EC2F91">
              <w:rPr>
                <w:rFonts w:ascii="Times New Roman" w:eastAsia="宋体" w:hAnsi="Times New Roman" w:cs="Times New Roman"/>
              </w:rPr>
              <w:t>月</w:t>
            </w:r>
            <w:r w:rsidRPr="00EC2F91">
              <w:rPr>
                <w:rFonts w:ascii="Times New Roman" w:eastAsia="宋体" w:hAnsi="Times New Roman" w:cs="Times New Roman"/>
              </w:rPr>
              <w:t>29</w:t>
            </w:r>
            <w:r w:rsidRPr="00EC2F91">
              <w:rPr>
                <w:rFonts w:ascii="Times New Roman" w:eastAsia="宋体" w:hAnsi="Times New Roman" w:cs="Times New Roman"/>
              </w:rPr>
              <w:t>日在上海证券交易所网站（</w:t>
            </w:r>
            <w:r w:rsidRPr="00EC2F91">
              <w:rPr>
                <w:rFonts w:ascii="Times New Roman" w:eastAsia="宋体" w:hAnsi="Times New Roman" w:cs="Times New Roman"/>
              </w:rPr>
              <w:t>www.sse.com.cn</w:t>
            </w:r>
            <w:r w:rsidRPr="00EC2F91">
              <w:rPr>
                <w:rFonts w:ascii="Times New Roman" w:eastAsia="宋体" w:hAnsi="Times New Roman" w:cs="Times New Roman"/>
              </w:rPr>
              <w:t>）披露的《思维列控</w:t>
            </w:r>
            <w:r w:rsidRPr="00EC2F91">
              <w:rPr>
                <w:rFonts w:ascii="Times New Roman" w:eastAsia="宋体" w:hAnsi="Times New Roman" w:cs="Times New Roman"/>
              </w:rPr>
              <w:t>2025</w:t>
            </w:r>
            <w:r w:rsidRPr="00EC2F91">
              <w:rPr>
                <w:rFonts w:ascii="Times New Roman" w:eastAsia="宋体" w:hAnsi="Times New Roman" w:cs="Times New Roman"/>
              </w:rPr>
              <w:t>年第一季度报告》。</w:t>
            </w:r>
          </w:p>
          <w:p w:rsidR="00EC2F91" w:rsidRPr="00EC2F91" w:rsidRDefault="00EC2F91" w:rsidP="00EC2F91">
            <w:pPr>
              <w:spacing w:line="360" w:lineRule="auto"/>
              <w:outlineLvl w:val="0"/>
              <w:rPr>
                <w:rFonts w:ascii="Times New Roman" w:eastAsia="宋体" w:hAnsi="Times New Roman" w:cs="Times New Roman"/>
                <w:b/>
              </w:rPr>
            </w:pPr>
            <w:r w:rsidRPr="00EC2F91">
              <w:rPr>
                <w:rFonts w:ascii="Times New Roman" w:eastAsia="宋体" w:hAnsi="Times New Roman" w:cs="Times New Roman"/>
                <w:b/>
              </w:rPr>
              <w:t>问题</w:t>
            </w:r>
            <w:r w:rsidRPr="00EC2F91">
              <w:rPr>
                <w:rFonts w:ascii="Times New Roman" w:eastAsia="宋体" w:hAnsi="Times New Roman" w:cs="Times New Roman"/>
                <w:b/>
              </w:rPr>
              <w:t>21</w:t>
            </w:r>
            <w:r w:rsidRPr="00EC2F91">
              <w:rPr>
                <w:rFonts w:ascii="Times New Roman" w:eastAsia="宋体" w:hAnsi="Times New Roman" w:cs="Times New Roman"/>
                <w:b/>
              </w:rPr>
              <w:t>：公司</w:t>
            </w:r>
            <w:r w:rsidRPr="00EC2F91">
              <w:rPr>
                <w:rFonts w:ascii="Times New Roman" w:eastAsia="宋体" w:hAnsi="Times New Roman" w:cs="Times New Roman"/>
                <w:b/>
              </w:rPr>
              <w:t>2025</w:t>
            </w:r>
            <w:r w:rsidRPr="00EC2F91">
              <w:rPr>
                <w:rFonts w:ascii="Times New Roman" w:eastAsia="宋体" w:hAnsi="Times New Roman" w:cs="Times New Roman"/>
                <w:b/>
              </w:rPr>
              <w:t>年业绩目标大概是什么水平？</w:t>
            </w:r>
          </w:p>
          <w:p w:rsidR="00D84AA6" w:rsidRPr="00D84AA6" w:rsidRDefault="00EC2F91" w:rsidP="00D84AA6">
            <w:pPr>
              <w:spacing w:line="360" w:lineRule="auto"/>
              <w:ind w:firstLineChars="200" w:firstLine="420"/>
              <w:rPr>
                <w:rFonts w:ascii="Times New Roman" w:eastAsia="宋体" w:hAnsi="Times New Roman" w:cs="Times New Roman" w:hint="eastAsia"/>
              </w:rPr>
            </w:pPr>
            <w:r w:rsidRPr="00EC2F91">
              <w:rPr>
                <w:rFonts w:ascii="Times New Roman" w:eastAsia="宋体" w:hAnsi="Times New Roman" w:cs="Times New Roman"/>
              </w:rPr>
              <w:t>回复：</w:t>
            </w:r>
            <w:r w:rsidRPr="00EC2F91">
              <w:rPr>
                <w:rFonts w:ascii="Times New Roman" w:eastAsia="宋体" w:hAnsi="Times New Roman" w:cs="Times New Roman"/>
              </w:rPr>
              <w:t>2025</w:t>
            </w:r>
            <w:r w:rsidRPr="00EC2F91">
              <w:rPr>
                <w:rFonts w:ascii="Times New Roman" w:eastAsia="宋体" w:hAnsi="Times New Roman" w:cs="Times New Roman"/>
              </w:rPr>
              <w:t>年，公司将聚焦主业，着力提升自身的核心竞争力、盈利能力以及风险管理能力，努力提升经营业绩，争取在</w:t>
            </w:r>
            <w:r w:rsidRPr="00EC2F91">
              <w:rPr>
                <w:rFonts w:ascii="Times New Roman" w:eastAsia="宋体" w:hAnsi="Times New Roman" w:cs="Times New Roman"/>
              </w:rPr>
              <w:t>2024</w:t>
            </w:r>
            <w:r w:rsidRPr="00EC2F91">
              <w:rPr>
                <w:rFonts w:ascii="Times New Roman" w:eastAsia="宋体" w:hAnsi="Times New Roman" w:cs="Times New Roman"/>
              </w:rPr>
              <w:t>年业绩基础上实现平稳增长，以更好地回馈广大投资者。当前，</w:t>
            </w:r>
            <w:proofErr w:type="gramStart"/>
            <w:r w:rsidRPr="00EC2F91">
              <w:rPr>
                <w:rFonts w:ascii="Times New Roman" w:eastAsia="宋体" w:hAnsi="Times New Roman" w:cs="Times New Roman"/>
              </w:rPr>
              <w:t>公司列控系统</w:t>
            </w:r>
            <w:proofErr w:type="gramEnd"/>
            <w:r w:rsidRPr="00EC2F91">
              <w:rPr>
                <w:rFonts w:ascii="Times New Roman" w:eastAsia="宋体" w:hAnsi="Times New Roman" w:cs="Times New Roman"/>
              </w:rPr>
              <w:t>、铁路安防系统、高铁运行监测</w:t>
            </w:r>
            <w:r w:rsidR="004E7DCB">
              <w:rPr>
                <w:rFonts w:ascii="Times New Roman" w:eastAsia="宋体" w:hAnsi="Times New Roman" w:cs="Times New Roman"/>
              </w:rPr>
              <w:t>系统</w:t>
            </w:r>
            <w:r w:rsidRPr="00EC2F91">
              <w:rPr>
                <w:rFonts w:ascii="Times New Roman" w:eastAsia="宋体" w:hAnsi="Times New Roman" w:cs="Times New Roman"/>
              </w:rPr>
              <w:t>三大主营业务核心产品均处于设备更新、升级的上行周期，三大主营业务的新产品尚处于集中推广期，同时铁路数字化、智能化发展需求为公司提供了新的市场机遇</w:t>
            </w:r>
            <w:bookmarkStart w:id="10" w:name="_GoBack"/>
            <w:bookmarkEnd w:id="10"/>
            <w:r w:rsidRPr="00EC2F91">
              <w:rPr>
                <w:rFonts w:ascii="Times New Roman" w:eastAsia="宋体" w:hAnsi="Times New Roman" w:cs="Times New Roman"/>
              </w:rPr>
              <w:t>，将有力支撑公司高质量可持续发展。</w:t>
            </w:r>
          </w:p>
        </w:tc>
      </w:tr>
      <w:tr w:rsidR="007A1E3F" w:rsidRPr="00EC2F91" w:rsidTr="00D84AA6">
        <w:trPr>
          <w:trHeight w:val="567"/>
          <w:jc w:val="center"/>
        </w:trPr>
        <w:tc>
          <w:tcPr>
            <w:tcW w:w="1282" w:type="dxa"/>
            <w:vAlign w:val="center"/>
          </w:tcPr>
          <w:p w:rsidR="007A1E3F" w:rsidRPr="00EC2F91" w:rsidRDefault="007A1E3F" w:rsidP="00E579B4">
            <w:pPr>
              <w:rPr>
                <w:rFonts w:ascii="Times New Roman" w:eastAsia="宋体" w:hAnsi="Times New Roman" w:cs="Times New Roman"/>
                <w:b/>
                <w:sz w:val="22"/>
                <w:szCs w:val="24"/>
              </w:rPr>
            </w:pPr>
            <w:r w:rsidRPr="00EC2F91">
              <w:rPr>
                <w:rFonts w:ascii="Times New Roman" w:eastAsia="宋体" w:hAnsi="Times New Roman" w:cs="Times New Roman"/>
                <w:b/>
                <w:sz w:val="22"/>
                <w:szCs w:val="24"/>
              </w:rPr>
              <w:lastRenderedPageBreak/>
              <w:t>附件清单（如有）</w:t>
            </w:r>
          </w:p>
        </w:tc>
        <w:tc>
          <w:tcPr>
            <w:tcW w:w="8211" w:type="dxa"/>
            <w:gridSpan w:val="2"/>
            <w:vAlign w:val="center"/>
          </w:tcPr>
          <w:p w:rsidR="007A1E3F" w:rsidRPr="00EC2F91" w:rsidRDefault="007A1E3F" w:rsidP="00A64E8C">
            <w:pPr>
              <w:rPr>
                <w:rFonts w:ascii="Times New Roman" w:eastAsia="宋体" w:hAnsi="Times New Roman" w:cs="Times New Roman"/>
                <w:sz w:val="22"/>
                <w:szCs w:val="24"/>
              </w:rPr>
            </w:pPr>
          </w:p>
        </w:tc>
      </w:tr>
    </w:tbl>
    <w:p w:rsidR="00E579B4" w:rsidRPr="00BE2CF6" w:rsidRDefault="00BC475D" w:rsidP="00BE2CF6">
      <w:pPr>
        <w:spacing w:line="360" w:lineRule="auto"/>
        <w:ind w:firstLineChars="200" w:firstLine="360"/>
        <w:rPr>
          <w:rFonts w:ascii="Times New Roman" w:eastAsia="宋体" w:hAnsi="Times New Roman" w:cs="Times New Roman"/>
          <w:sz w:val="18"/>
          <w:szCs w:val="18"/>
        </w:rPr>
      </w:pPr>
      <w:r w:rsidRPr="00BE2CF6">
        <w:rPr>
          <w:rFonts w:ascii="Times New Roman" w:eastAsia="宋体" w:hAnsi="Times New Roman" w:cs="Times New Roman"/>
          <w:sz w:val="18"/>
          <w:szCs w:val="18"/>
        </w:rPr>
        <w:t>（上述活动不涉及应当披露但未披露的重大信息。）</w:t>
      </w:r>
    </w:p>
    <w:sectPr w:rsidR="00E579B4" w:rsidRPr="00BE2CF6" w:rsidSect="006E7841">
      <w:headerReference w:type="default" r:id="rId7"/>
      <w:pgSz w:w="11906" w:h="16838"/>
      <w:pgMar w:top="1077" w:right="720" w:bottom="1077" w:left="720" w:header="850"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2F" w:rsidRDefault="00D0062F" w:rsidP="00E579B4">
      <w:r>
        <w:separator/>
      </w:r>
    </w:p>
  </w:endnote>
  <w:endnote w:type="continuationSeparator" w:id="0">
    <w:p w:rsidR="00D0062F" w:rsidRDefault="00D0062F" w:rsidP="00E5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2F" w:rsidRDefault="00D0062F" w:rsidP="00E579B4">
      <w:r>
        <w:separator/>
      </w:r>
    </w:p>
  </w:footnote>
  <w:footnote w:type="continuationSeparator" w:id="0">
    <w:p w:rsidR="00D0062F" w:rsidRDefault="00D0062F" w:rsidP="00E57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9B4" w:rsidRPr="00594EBB" w:rsidRDefault="00E579B4" w:rsidP="007F1D8B">
    <w:pPr>
      <w:pStyle w:val="a3"/>
      <w:pBdr>
        <w:bottom w:val="single" w:sz="6" w:space="4" w:color="auto"/>
      </w:pBdr>
      <w:rPr>
        <w:rFonts w:ascii="宋体" w:eastAsia="宋体" w:hAnsi="宋体"/>
        <w:sz w:val="24"/>
        <w:szCs w:val="24"/>
      </w:rPr>
    </w:pPr>
    <w:r w:rsidRPr="00594EBB">
      <w:rPr>
        <w:rFonts w:ascii="宋体" w:eastAsia="宋体" w:hAnsi="宋体" w:hint="eastAsia"/>
        <w:sz w:val="24"/>
        <w:szCs w:val="24"/>
      </w:rPr>
      <w:t>证券代码</w:t>
    </w:r>
    <w:r w:rsidRPr="00594EBB">
      <w:rPr>
        <w:rFonts w:ascii="宋体" w:eastAsia="宋体" w:hAnsi="宋体" w:cs="Times New Roman"/>
        <w:sz w:val="24"/>
        <w:szCs w:val="24"/>
      </w:rPr>
      <w:t>：</w:t>
    </w:r>
    <w:r w:rsidRPr="00594EBB">
      <w:rPr>
        <w:rFonts w:ascii="Times New Roman" w:eastAsia="宋体" w:hAnsi="Times New Roman" w:cs="Times New Roman"/>
        <w:sz w:val="24"/>
        <w:szCs w:val="24"/>
      </w:rPr>
      <w:t xml:space="preserve">603508 </w:t>
    </w:r>
    <w:r w:rsidRPr="00594EBB">
      <w:rPr>
        <w:rFonts w:ascii="宋体" w:eastAsia="宋体" w:hAnsi="宋体" w:cs="Times New Roman"/>
        <w:sz w:val="24"/>
        <w:szCs w:val="24"/>
      </w:rPr>
      <w:t xml:space="preserve">    </w:t>
    </w:r>
    <w:r w:rsidRPr="00594EBB">
      <w:rPr>
        <w:rFonts w:ascii="宋体" w:eastAsia="宋体" w:hAnsi="宋体"/>
        <w:sz w:val="24"/>
        <w:szCs w:val="24"/>
      </w:rPr>
      <w:t xml:space="preserve">                              证券简称：思维列控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7594B"/>
    <w:multiLevelType w:val="hybridMultilevel"/>
    <w:tmpl w:val="EE3AC50A"/>
    <w:lvl w:ilvl="0" w:tplc="CF3A79B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973BD8"/>
    <w:multiLevelType w:val="hybridMultilevel"/>
    <w:tmpl w:val="7D767CE4"/>
    <w:lvl w:ilvl="0" w:tplc="630E77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13"/>
    <w:rsid w:val="00014785"/>
    <w:rsid w:val="00041D37"/>
    <w:rsid w:val="00042A61"/>
    <w:rsid w:val="000439FC"/>
    <w:rsid w:val="0006133F"/>
    <w:rsid w:val="00080FF3"/>
    <w:rsid w:val="000D1102"/>
    <w:rsid w:val="001878D7"/>
    <w:rsid w:val="00211AD4"/>
    <w:rsid w:val="00212EB2"/>
    <w:rsid w:val="00316268"/>
    <w:rsid w:val="003A4AD1"/>
    <w:rsid w:val="003A7A0D"/>
    <w:rsid w:val="003B6312"/>
    <w:rsid w:val="003C51B5"/>
    <w:rsid w:val="003C59AB"/>
    <w:rsid w:val="003E4691"/>
    <w:rsid w:val="003E5343"/>
    <w:rsid w:val="00420236"/>
    <w:rsid w:val="004322DE"/>
    <w:rsid w:val="00433B67"/>
    <w:rsid w:val="00461D20"/>
    <w:rsid w:val="004920C0"/>
    <w:rsid w:val="004C7C1C"/>
    <w:rsid w:val="004E7DCB"/>
    <w:rsid w:val="005020A2"/>
    <w:rsid w:val="00544655"/>
    <w:rsid w:val="00545813"/>
    <w:rsid w:val="00547179"/>
    <w:rsid w:val="00594EBB"/>
    <w:rsid w:val="005D2A70"/>
    <w:rsid w:val="005E7891"/>
    <w:rsid w:val="005F659D"/>
    <w:rsid w:val="00626020"/>
    <w:rsid w:val="006D3C7D"/>
    <w:rsid w:val="006E7841"/>
    <w:rsid w:val="00726D2A"/>
    <w:rsid w:val="007733DA"/>
    <w:rsid w:val="007A1E3F"/>
    <w:rsid w:val="007A25DC"/>
    <w:rsid w:val="007A74EB"/>
    <w:rsid w:val="007B6CEF"/>
    <w:rsid w:val="007C6175"/>
    <w:rsid w:val="007F1D8B"/>
    <w:rsid w:val="007F312D"/>
    <w:rsid w:val="00806E27"/>
    <w:rsid w:val="00807602"/>
    <w:rsid w:val="008C7BC0"/>
    <w:rsid w:val="009037C1"/>
    <w:rsid w:val="00905EDC"/>
    <w:rsid w:val="00971415"/>
    <w:rsid w:val="0097696B"/>
    <w:rsid w:val="009F17C9"/>
    <w:rsid w:val="00A064B5"/>
    <w:rsid w:val="00A21B37"/>
    <w:rsid w:val="00A32217"/>
    <w:rsid w:val="00A425A0"/>
    <w:rsid w:val="00A508A7"/>
    <w:rsid w:val="00A518D9"/>
    <w:rsid w:val="00A53886"/>
    <w:rsid w:val="00A64E8C"/>
    <w:rsid w:val="00A836FB"/>
    <w:rsid w:val="00AB3F6D"/>
    <w:rsid w:val="00AC2C88"/>
    <w:rsid w:val="00B41649"/>
    <w:rsid w:val="00B50D54"/>
    <w:rsid w:val="00BC377E"/>
    <w:rsid w:val="00BC475D"/>
    <w:rsid w:val="00BD3CF1"/>
    <w:rsid w:val="00BE2CF6"/>
    <w:rsid w:val="00C12F03"/>
    <w:rsid w:val="00C858F4"/>
    <w:rsid w:val="00C86D33"/>
    <w:rsid w:val="00C91814"/>
    <w:rsid w:val="00C91A05"/>
    <w:rsid w:val="00CC4ABD"/>
    <w:rsid w:val="00CD62B2"/>
    <w:rsid w:val="00D0062F"/>
    <w:rsid w:val="00D12D31"/>
    <w:rsid w:val="00D4022B"/>
    <w:rsid w:val="00D54317"/>
    <w:rsid w:val="00D811CA"/>
    <w:rsid w:val="00D84AA6"/>
    <w:rsid w:val="00D94E75"/>
    <w:rsid w:val="00DA1B76"/>
    <w:rsid w:val="00E13897"/>
    <w:rsid w:val="00E24BFF"/>
    <w:rsid w:val="00E349B9"/>
    <w:rsid w:val="00E579B4"/>
    <w:rsid w:val="00E75CB2"/>
    <w:rsid w:val="00E97111"/>
    <w:rsid w:val="00EC2F91"/>
    <w:rsid w:val="00ED039F"/>
    <w:rsid w:val="00ED7676"/>
    <w:rsid w:val="00EE7DD8"/>
    <w:rsid w:val="00EF1F7E"/>
    <w:rsid w:val="00F058EB"/>
    <w:rsid w:val="00F64A7B"/>
    <w:rsid w:val="00FB6CD5"/>
    <w:rsid w:val="00FC43CA"/>
    <w:rsid w:val="00FD5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B1E765-1814-40F8-BE27-911B5EAD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79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79B4"/>
    <w:rPr>
      <w:sz w:val="18"/>
      <w:szCs w:val="18"/>
    </w:rPr>
  </w:style>
  <w:style w:type="paragraph" w:styleId="a4">
    <w:name w:val="footer"/>
    <w:basedOn w:val="a"/>
    <w:link w:val="Char0"/>
    <w:uiPriority w:val="99"/>
    <w:unhideWhenUsed/>
    <w:rsid w:val="00E579B4"/>
    <w:pPr>
      <w:tabs>
        <w:tab w:val="center" w:pos="4153"/>
        <w:tab w:val="right" w:pos="8306"/>
      </w:tabs>
      <w:snapToGrid w:val="0"/>
      <w:jc w:val="left"/>
    </w:pPr>
    <w:rPr>
      <w:sz w:val="18"/>
      <w:szCs w:val="18"/>
    </w:rPr>
  </w:style>
  <w:style w:type="character" w:customStyle="1" w:styleId="Char0">
    <w:name w:val="页脚 Char"/>
    <w:basedOn w:val="a0"/>
    <w:link w:val="a4"/>
    <w:uiPriority w:val="99"/>
    <w:rsid w:val="00E579B4"/>
    <w:rPr>
      <w:sz w:val="18"/>
      <w:szCs w:val="18"/>
    </w:rPr>
  </w:style>
  <w:style w:type="table" w:styleId="a5">
    <w:name w:val="Table Grid"/>
    <w:basedOn w:val="a1"/>
    <w:uiPriority w:val="39"/>
    <w:rsid w:val="00E57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64E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SW-QYN</dc:creator>
  <cp:keywords/>
  <dc:description/>
  <cp:lastModifiedBy>SW-QYN</cp:lastModifiedBy>
  <cp:revision>8</cp:revision>
  <dcterms:created xsi:type="dcterms:W3CDTF">2025-05-08T07:29:00Z</dcterms:created>
  <dcterms:modified xsi:type="dcterms:W3CDTF">2025-05-08T08:56:00Z</dcterms:modified>
</cp:coreProperties>
</file>