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2B179">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投资者关系活动记录表</w:t>
      </w:r>
    </w:p>
    <w:p w14:paraId="07EDA65C">
      <w:pPr>
        <w:widowControl/>
        <w:jc w:val="center"/>
        <w:rPr>
          <w:rFonts w:ascii="宋体" w:hAnsi="宋体" w:eastAsia="宋体" w:cs="宋体"/>
          <w:b/>
          <w:bCs/>
          <w:color w:val="000000"/>
          <w:kern w:val="0"/>
          <w:sz w:val="28"/>
          <w:szCs w:val="28"/>
        </w:rPr>
      </w:pPr>
      <w:r>
        <w:rPr>
          <w:rFonts w:hint="eastAsia" w:ascii="Times New Roman" w:hAnsi="Times New Roman" w:eastAsia="宋体" w:cs="Times New Roman"/>
          <w:b/>
          <w:bCs/>
          <w:color w:val="000000"/>
          <w:kern w:val="0"/>
          <w:sz w:val="28"/>
          <w:szCs w:val="28"/>
        </w:rPr>
        <w:t>2</w:t>
      </w:r>
      <w:r>
        <w:rPr>
          <w:rFonts w:ascii="Times New Roman" w:hAnsi="Times New Roman" w:eastAsia="宋体" w:cs="Times New Roman"/>
          <w:b/>
          <w:bCs/>
          <w:color w:val="000000"/>
          <w:kern w:val="0"/>
          <w:sz w:val="28"/>
          <w:szCs w:val="28"/>
        </w:rPr>
        <w:t>02</w:t>
      </w:r>
      <w:r>
        <w:rPr>
          <w:rFonts w:hint="eastAsia" w:ascii="Times New Roman" w:hAnsi="Times New Roman" w:eastAsia="宋体" w:cs="Times New Roman"/>
          <w:b/>
          <w:bCs/>
          <w:color w:val="000000"/>
          <w:kern w:val="0"/>
          <w:sz w:val="28"/>
          <w:szCs w:val="28"/>
          <w:lang w:val="en-US" w:eastAsia="zh-CN"/>
        </w:rPr>
        <w:t>5</w:t>
      </w:r>
      <w:r>
        <w:rPr>
          <w:rFonts w:hint="eastAsia" w:ascii="宋体" w:hAnsi="宋体" w:eastAsia="宋体" w:cs="宋体"/>
          <w:b/>
          <w:bCs/>
          <w:color w:val="000000"/>
          <w:kern w:val="0"/>
          <w:sz w:val="28"/>
          <w:szCs w:val="28"/>
        </w:rPr>
        <w:t>年</w:t>
      </w:r>
      <w:r>
        <w:rPr>
          <w:rFonts w:hint="eastAsia" w:ascii="Times New Roman" w:hAnsi="Times New Roman" w:eastAsia="宋体" w:cs="Times New Roman"/>
          <w:b/>
          <w:bCs/>
          <w:color w:val="000000"/>
          <w:kern w:val="0"/>
          <w:sz w:val="28"/>
          <w:szCs w:val="28"/>
          <w:lang w:val="en-US" w:eastAsia="zh-CN"/>
        </w:rPr>
        <w:t>5</w:t>
      </w:r>
      <w:r>
        <w:rPr>
          <w:rFonts w:hint="eastAsia" w:ascii="宋体" w:hAnsi="宋体" w:eastAsia="宋体" w:cs="宋体"/>
          <w:b/>
          <w:bCs/>
          <w:color w:val="000000"/>
          <w:kern w:val="0"/>
          <w:sz w:val="28"/>
          <w:szCs w:val="28"/>
        </w:rPr>
        <w:t>月</w:t>
      </w:r>
    </w:p>
    <w:p w14:paraId="04EE1B8F">
      <w:pPr>
        <w:widowControl/>
        <w:jc w:val="left"/>
        <w:rPr>
          <w:rFonts w:ascii="宋体" w:hAnsi="宋体" w:eastAsia="宋体" w:cs="宋体"/>
          <w:kern w:val="0"/>
          <w:sz w:val="22"/>
        </w:rPr>
      </w:pPr>
      <w:r>
        <w:rPr>
          <w:rFonts w:hint="eastAsia" w:ascii="宋体" w:hAnsi="宋体" w:eastAsia="宋体" w:cs="宋体"/>
          <w:color w:val="000000"/>
          <w:kern w:val="0"/>
          <w:sz w:val="22"/>
        </w:rPr>
        <w:t xml:space="preserve">股票名称：智洋创新 </w:t>
      </w:r>
      <w:r>
        <w:rPr>
          <w:rFonts w:ascii="宋体" w:hAnsi="宋体" w:eastAsia="宋体" w:cs="宋体"/>
          <w:color w:val="000000"/>
          <w:kern w:val="0"/>
          <w:sz w:val="22"/>
        </w:rPr>
        <w:t xml:space="preserve">                                    </w:t>
      </w:r>
      <w:r>
        <w:rPr>
          <w:rFonts w:hint="eastAsia" w:ascii="宋体" w:hAnsi="宋体" w:eastAsia="宋体" w:cs="宋体"/>
          <w:color w:val="000000"/>
          <w:kern w:val="0"/>
          <w:sz w:val="22"/>
        </w:rPr>
        <w:t>股票代码：</w:t>
      </w:r>
      <w:r>
        <w:rPr>
          <w:rFonts w:ascii="Times New Roman" w:hAnsi="Times New Roman" w:eastAsia="宋体" w:cs="Times New Roman"/>
          <w:color w:val="000000"/>
          <w:kern w:val="0"/>
          <w:sz w:val="22"/>
        </w:rPr>
        <w:t xml:space="preserve">688191                   </w:t>
      </w:r>
    </w:p>
    <w:tbl>
      <w:tblPr>
        <w:tblStyle w:val="9"/>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6"/>
        <w:gridCol w:w="5800"/>
      </w:tblGrid>
      <w:tr w14:paraId="047C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49" w:hRule="atLeast"/>
        </w:trPr>
        <w:tc>
          <w:tcPr>
            <w:tcW w:w="2756" w:type="dxa"/>
            <w:vAlign w:val="center"/>
          </w:tcPr>
          <w:p w14:paraId="73A52ABC">
            <w:pPr>
              <w:widowControl/>
              <w:jc w:val="center"/>
              <w:rPr>
                <w:rFonts w:ascii="宋体" w:hAnsi="宋体" w:eastAsia="宋体" w:cs="宋体"/>
                <w:b/>
                <w:bCs/>
                <w:color w:val="000000"/>
                <w:kern w:val="0"/>
                <w:sz w:val="22"/>
              </w:rPr>
            </w:pPr>
            <w:r>
              <w:rPr>
                <w:rFonts w:hint="eastAsia" w:ascii="宋体" w:hAnsi="宋体" w:eastAsia="宋体" w:cs="宋体"/>
                <w:color w:val="000000"/>
                <w:kern w:val="0"/>
                <w:sz w:val="22"/>
              </w:rPr>
              <w:t>投资者关系活动类别</w:t>
            </w:r>
          </w:p>
        </w:tc>
        <w:tc>
          <w:tcPr>
            <w:tcW w:w="5800" w:type="dxa"/>
            <w:vAlign w:val="center"/>
          </w:tcPr>
          <w:p w14:paraId="18BC7F43">
            <w:pPr>
              <w:widowControl/>
              <w:spacing w:line="480" w:lineRule="auto"/>
              <w:jc w:val="both"/>
              <w:rPr>
                <w:rFonts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特定对象调研</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分析师会议</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媒体采访</w:t>
            </w:r>
            <w:r>
              <w:rPr>
                <w:rFonts w:hint="eastAsia" w:ascii="宋体" w:hAnsi="宋体" w:eastAsia="宋体" w:cs="宋体"/>
                <w:kern w:val="0"/>
                <w:sz w:val="21"/>
                <w:szCs w:val="21"/>
              </w:rPr>
              <w:sym w:font="Wingdings 2" w:char="0052"/>
            </w:r>
            <w:r>
              <w:rPr>
                <w:rFonts w:hint="eastAsia" w:ascii="宋体" w:hAnsi="宋体" w:eastAsia="宋体" w:cs="宋体"/>
                <w:kern w:val="0"/>
                <w:sz w:val="21"/>
                <w:szCs w:val="21"/>
              </w:rPr>
              <w:t>业绩说明会</w:t>
            </w:r>
          </w:p>
          <w:p w14:paraId="48B750C4">
            <w:pPr>
              <w:widowControl/>
              <w:spacing w:line="480" w:lineRule="auto"/>
              <w:jc w:val="both"/>
              <w:rPr>
                <w:rFonts w:hint="eastAsia" w:ascii="宋体" w:hAnsi="宋体" w:eastAsia="宋体" w:cs="宋体"/>
                <w:kern w:val="0"/>
                <w:sz w:val="22"/>
                <w:lang w:eastAsia="zh-CN"/>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新闻发布会</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路演活动</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现场参观</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其他</w:t>
            </w:r>
          </w:p>
        </w:tc>
      </w:tr>
      <w:tr w14:paraId="2792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756" w:type="dxa"/>
            <w:vAlign w:val="center"/>
          </w:tcPr>
          <w:p w14:paraId="0F26B180">
            <w:pPr>
              <w:widowControl/>
              <w:jc w:val="center"/>
              <w:rPr>
                <w:rFonts w:ascii="宋体" w:hAnsi="宋体" w:eastAsia="宋体" w:cs="宋体"/>
                <w:b/>
                <w:bCs/>
                <w:kern w:val="0"/>
                <w:sz w:val="22"/>
              </w:rPr>
            </w:pPr>
            <w:r>
              <w:rPr>
                <w:rFonts w:hint="eastAsia" w:ascii="宋体" w:hAnsi="宋体" w:eastAsia="宋体" w:cs="宋体"/>
                <w:kern w:val="0"/>
                <w:sz w:val="22"/>
              </w:rPr>
              <w:t>参与单位名称及人员姓名</w:t>
            </w:r>
          </w:p>
        </w:tc>
        <w:tc>
          <w:tcPr>
            <w:tcW w:w="5800" w:type="dxa"/>
            <w:vAlign w:val="center"/>
          </w:tcPr>
          <w:p w14:paraId="5D5BD06C">
            <w:pPr>
              <w:pStyle w:val="3"/>
              <w:numPr>
                <w:ilvl w:val="-1"/>
                <w:numId w:val="0"/>
              </w:numPr>
              <w:ind w:left="0" w:leftChars="0" w:firstLine="0" w:firstLineChars="0"/>
              <w:rPr>
                <w:rFonts w:hint="default"/>
                <w:lang w:val="en-US" w:eastAsia="zh-CN"/>
              </w:rPr>
            </w:pPr>
            <w:r>
              <w:rPr>
                <w:rFonts w:hint="eastAsia" w:cs="宋体" w:asciiTheme="minorEastAsia" w:hAnsiTheme="minorEastAsia" w:eastAsiaTheme="minorEastAsia"/>
                <w:sz w:val="20"/>
                <w:szCs w:val="20"/>
                <w:lang w:val="en-US" w:eastAsia="zh-CN"/>
              </w:rPr>
              <w:t>线上参与公司2024年年度及2025年第一季度业绩说明会的投资者</w:t>
            </w:r>
          </w:p>
        </w:tc>
      </w:tr>
      <w:tr w14:paraId="3084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57955DE9">
            <w:pPr>
              <w:widowControl/>
              <w:jc w:val="center"/>
              <w:rPr>
                <w:rFonts w:ascii="宋体" w:hAnsi="宋体" w:eastAsia="宋体" w:cs="宋体"/>
                <w:kern w:val="0"/>
                <w:sz w:val="22"/>
              </w:rPr>
            </w:pPr>
            <w:r>
              <w:rPr>
                <w:rFonts w:hint="eastAsia" w:ascii="宋体" w:hAnsi="宋体" w:eastAsia="宋体" w:cs="宋体"/>
                <w:kern w:val="0"/>
                <w:sz w:val="22"/>
              </w:rPr>
              <w:t>时间</w:t>
            </w:r>
          </w:p>
        </w:tc>
        <w:tc>
          <w:tcPr>
            <w:tcW w:w="5800" w:type="dxa"/>
            <w:vAlign w:val="center"/>
          </w:tcPr>
          <w:p w14:paraId="05A529EE">
            <w:pPr>
              <w:pStyle w:val="3"/>
              <w:ind w:firstLine="0" w:firstLineChars="0"/>
              <w:rPr>
                <w:rFonts w:hint="default"/>
                <w:lang w:val="en-US" w:eastAsia="zh-CN"/>
              </w:rPr>
            </w:pPr>
            <w:r>
              <w:rPr>
                <w:rFonts w:hint="eastAsia" w:asciiTheme="minorEastAsia" w:hAnsiTheme="minorEastAsia" w:eastAsiaTheme="minorEastAsia" w:cstheme="minorEastAsia"/>
                <w:sz w:val="20"/>
                <w:szCs w:val="20"/>
              </w:rPr>
              <w:t>2025年05月08日 10:00-11:00</w:t>
            </w:r>
          </w:p>
        </w:tc>
      </w:tr>
      <w:tr w14:paraId="5177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6F52D738">
            <w:pPr>
              <w:widowControl/>
              <w:jc w:val="center"/>
              <w:rPr>
                <w:rFonts w:ascii="宋体" w:hAnsi="宋体" w:eastAsia="宋体" w:cs="宋体"/>
                <w:b/>
                <w:bCs/>
                <w:kern w:val="0"/>
                <w:sz w:val="22"/>
              </w:rPr>
            </w:pPr>
            <w:r>
              <w:rPr>
                <w:rFonts w:hint="eastAsia" w:ascii="宋体" w:hAnsi="宋体" w:eastAsia="宋体" w:cs="宋体"/>
                <w:kern w:val="0"/>
                <w:sz w:val="22"/>
              </w:rPr>
              <w:t>地点</w:t>
            </w:r>
          </w:p>
        </w:tc>
        <w:tc>
          <w:tcPr>
            <w:tcW w:w="5800" w:type="dxa"/>
            <w:vAlign w:val="center"/>
          </w:tcPr>
          <w:p w14:paraId="7C1F215F">
            <w:pPr>
              <w:widowControl/>
              <w:jc w:val="both"/>
              <w:rPr>
                <w:rFonts w:hint="default" w:ascii="宋体" w:hAnsi="宋体" w:eastAsia="宋体" w:cs="宋体"/>
                <w:kern w:val="0"/>
                <w:sz w:val="22"/>
                <w:lang w:val="en-US" w:eastAsia="zh-CN"/>
              </w:rPr>
            </w:pPr>
            <w:r>
              <w:rPr>
                <w:rFonts w:cs="宋体" w:asciiTheme="minorEastAsia" w:hAnsiTheme="minorEastAsia" w:eastAsiaTheme="minorEastAsia"/>
                <w:sz w:val="20"/>
                <w:szCs w:val="20"/>
              </w:rPr>
              <w:t>价值在线（https://www.ir-online.cn/）网络互动</w:t>
            </w:r>
          </w:p>
        </w:tc>
      </w:tr>
      <w:tr w14:paraId="4FA0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0CA51761">
            <w:pPr>
              <w:widowControl/>
              <w:jc w:val="center"/>
              <w:rPr>
                <w:rFonts w:ascii="宋体" w:hAnsi="宋体" w:eastAsia="宋体" w:cs="宋体"/>
                <w:kern w:val="0"/>
                <w:sz w:val="22"/>
              </w:rPr>
            </w:pPr>
            <w:r>
              <w:rPr>
                <w:rFonts w:hint="eastAsia" w:ascii="宋体" w:hAnsi="宋体" w:eastAsia="宋体" w:cs="宋体"/>
                <w:kern w:val="0"/>
                <w:sz w:val="22"/>
              </w:rPr>
              <w:t>公司接待人员姓名</w:t>
            </w:r>
          </w:p>
        </w:tc>
        <w:tc>
          <w:tcPr>
            <w:tcW w:w="5800" w:type="dxa"/>
            <w:vAlign w:val="center"/>
          </w:tcPr>
          <w:p w14:paraId="32637CDA">
            <w:pPr>
              <w:widowControl/>
              <w:ind w:firstLineChars="0"/>
              <w:rPr>
                <w:rFonts w:hint="default"/>
                <w:lang w:val="en-US" w:eastAsia="zh-CN"/>
              </w:rPr>
            </w:pPr>
            <w:r>
              <w:rPr>
                <w:rFonts w:hint="default"/>
                <w:lang w:val="en-US" w:eastAsia="zh-CN"/>
              </w:rPr>
              <w:t>董事长 刘国永</w:t>
            </w:r>
          </w:p>
          <w:p w14:paraId="011CD694">
            <w:pPr>
              <w:widowControl/>
              <w:ind w:firstLineChars="0"/>
              <w:rPr>
                <w:rFonts w:hint="default"/>
                <w:lang w:val="en-US" w:eastAsia="zh-CN"/>
              </w:rPr>
            </w:pPr>
            <w:r>
              <w:rPr>
                <w:rFonts w:hint="default"/>
                <w:lang w:val="en-US" w:eastAsia="zh-CN"/>
              </w:rPr>
              <w:t>董事会秘书 刘俊鹏</w:t>
            </w:r>
          </w:p>
          <w:p w14:paraId="45E21C23">
            <w:pPr>
              <w:widowControl/>
              <w:ind w:firstLineChars="0"/>
              <w:rPr>
                <w:rFonts w:hint="default"/>
                <w:lang w:val="en-US" w:eastAsia="zh-CN"/>
              </w:rPr>
            </w:pPr>
            <w:r>
              <w:rPr>
                <w:rFonts w:hint="default"/>
                <w:lang w:val="en-US" w:eastAsia="zh-CN"/>
              </w:rPr>
              <w:t>财务总监 胡学海</w:t>
            </w:r>
          </w:p>
          <w:p w14:paraId="50B1CC8E">
            <w:pPr>
              <w:widowControl/>
              <w:ind w:firstLineChars="0"/>
              <w:rPr>
                <w:rFonts w:hint="default"/>
                <w:lang w:val="en-US" w:eastAsia="zh-CN"/>
              </w:rPr>
            </w:pPr>
            <w:r>
              <w:rPr>
                <w:rFonts w:hint="default"/>
                <w:lang w:val="en-US" w:eastAsia="zh-CN"/>
              </w:rPr>
              <w:t>独立董事 谭博学</w:t>
            </w:r>
          </w:p>
        </w:tc>
      </w:tr>
      <w:tr w14:paraId="3456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9" w:hRule="atLeast"/>
        </w:trPr>
        <w:tc>
          <w:tcPr>
            <w:tcW w:w="2756" w:type="dxa"/>
            <w:vAlign w:val="center"/>
          </w:tcPr>
          <w:p w14:paraId="3E4E87D0">
            <w:pPr>
              <w:widowControl/>
              <w:jc w:val="center"/>
              <w:rPr>
                <w:rFonts w:ascii="宋体" w:hAnsi="宋体" w:eastAsia="宋体" w:cs="宋体"/>
                <w:b/>
                <w:bCs/>
                <w:kern w:val="0"/>
                <w:sz w:val="22"/>
              </w:rPr>
            </w:pPr>
            <w:r>
              <w:rPr>
                <w:rFonts w:hint="eastAsia" w:ascii="宋体" w:hAnsi="宋体" w:eastAsia="宋体" w:cs="宋体"/>
                <w:kern w:val="0"/>
                <w:sz w:val="22"/>
              </w:rPr>
              <w:t>投资者关系活动主要内容介绍</w:t>
            </w:r>
          </w:p>
        </w:tc>
        <w:tc>
          <w:tcPr>
            <w:tcW w:w="5800" w:type="dxa"/>
            <w:vAlign w:val="top"/>
          </w:tcPr>
          <w:p w14:paraId="1ED27E7F">
            <w:pPr>
              <w:pStyle w:val="3"/>
              <w:keepNext w:val="0"/>
              <w:keepLines w:val="0"/>
              <w:pageBreakBefore w:val="0"/>
              <w:widowControl w:val="0"/>
              <w:numPr>
                <w:ilvl w:val="-1"/>
                <w:numId w:val="0"/>
              </w:numPr>
              <w:kinsoku/>
              <w:wordWrap/>
              <w:overflowPunct/>
              <w:topLinePunct w:val="0"/>
              <w:autoSpaceDN/>
              <w:bidi w:val="0"/>
              <w:ind w:firstLine="402" w:firstLineChars="200"/>
              <w:jc w:val="left"/>
              <w:textAlignment w:val="auto"/>
              <w:rPr>
                <w:rFonts w:ascii="宋体" w:hAnsi="宋体" w:eastAsia="宋体" w:cs="宋体"/>
                <w:b/>
                <w:sz w:val="20"/>
              </w:rPr>
            </w:pPr>
            <w:r>
              <w:rPr>
                <w:rFonts w:hint="default" w:ascii="宋体" w:hAnsi="宋体" w:eastAsia="宋体" w:cs="宋体"/>
                <w:b/>
                <w:sz w:val="20"/>
                <w:lang w:val="en-US"/>
              </w:rPr>
              <w:t>1.</w:t>
            </w:r>
            <w:r>
              <w:rPr>
                <w:rFonts w:ascii="宋体" w:hAnsi="宋体" w:eastAsia="宋体" w:cs="宋体"/>
                <w:b/>
                <w:sz w:val="20"/>
              </w:rPr>
              <w:t>去年营业收入增长21.62%，其中电力、水利、轨道交通等各行业的增长驱动因素分别是什么？</w:t>
            </w:r>
          </w:p>
          <w:p w14:paraId="1ED27E7F">
            <w:pPr>
              <w:pStyle w:val="3"/>
              <w:keepNext w:val="0"/>
              <w:keepLines w:val="0"/>
              <w:pageBreakBefore w:val="0"/>
              <w:widowControl w:val="0"/>
              <w:numPr>
                <w:ilvl w:val="-1"/>
                <w:numId w:val="0"/>
              </w:numPr>
              <w:kinsoku/>
              <w:wordWrap/>
              <w:overflowPunct/>
              <w:topLinePunct w:val="0"/>
              <w:autoSpaceDN/>
              <w:bidi w:val="0"/>
              <w:ind w:firstLine="400" w:firstLineChars="200"/>
              <w:jc w:val="left"/>
              <w:textAlignment w:val="auto"/>
              <w:rPr>
                <w:rFonts w:ascii="宋体" w:hAnsi="宋体" w:eastAsia="宋体" w:cs="宋体"/>
                <w:b w:val="0"/>
                <w:sz w:val="20"/>
              </w:rPr>
            </w:pPr>
            <w:r>
              <w:rPr>
                <w:rFonts w:ascii="宋体" w:hAnsi="宋体" w:eastAsia="宋体" w:cs="宋体"/>
                <w:b w:val="0"/>
                <w:sz w:val="20"/>
              </w:rPr>
              <w:t>答:尊敬的投资者，您好，报告期内，公司主营业务收入96,823.99万元，同比增长21.77%，其中轨道交通行业主营业务收入9,300.67万元，同比增长484.79%，水利行业主营业务收入7,267.05万元，同比增长47.81%。
</w:t>
            </w:r>
          </w:p>
          <w:p w14:paraId="1D0F8B98">
            <w:pPr>
              <w:pStyle w:val="3"/>
              <w:keepNext w:val="0"/>
              <w:keepLines w:val="0"/>
              <w:pageBreakBefore w:val="0"/>
              <w:widowControl w:val="0"/>
              <w:numPr>
                <w:ilvl w:val="-1"/>
                <w:numId w:val="0"/>
              </w:numPr>
              <w:kinsoku/>
              <w:wordWrap/>
              <w:overflowPunct/>
              <w:topLinePunct w:val="0"/>
              <w:autoSpaceDN/>
              <w:bidi w:val="0"/>
              <w:ind w:firstLine="400" w:firstLineChars="200"/>
              <w:jc w:val="left"/>
              <w:textAlignment w:val="auto"/>
              <w:rPr>
                <w:rFonts w:ascii="宋体" w:hAnsi="宋体" w:eastAsia="宋体" w:cs="宋体"/>
                <w:b w:val="0"/>
                <w:sz w:val="20"/>
              </w:rPr>
            </w:pPr>
            <w:r>
              <w:rPr>
                <w:rFonts w:ascii="宋体" w:hAnsi="宋体" w:eastAsia="宋体" w:cs="宋体"/>
                <w:b w:val="0"/>
                <w:sz w:val="20"/>
              </w:rPr>
              <w:t>在行业政策驱动方面：1、电力行业：2024年的国家电网建设投资总规模首次超过6,000亿元，持续的投资将有助于加快新型电力系统的构建，推动电力行业的软硬件全面升级，为相关行业企业带来新的发展机遇；2、水利行业：根据数据显示，2023年全国水利建设投资达1.2万亿元，同比增长10.1%，其中智慧水利市场规模突破200亿元，而2024年水利投资再创新高至1.35万亿元；3、轨道交通行业：中国铁路建设目前处于高速发展时期，2024年全国铁路完成固定资产投资8,506亿元，同比增长11.3%，持续保持较高增速的投入
</w:t>
            </w:r>
          </w:p>
          <w:p w14:paraId="3D3ECAB3">
            <w:pPr>
              <w:pStyle w:val="3"/>
              <w:keepNext w:val="0"/>
              <w:keepLines w:val="0"/>
              <w:pageBreakBefore w:val="0"/>
              <w:widowControl w:val="0"/>
              <w:numPr>
                <w:ilvl w:val="-1"/>
                <w:numId w:val="0"/>
              </w:numPr>
              <w:kinsoku/>
              <w:wordWrap/>
              <w:overflowPunct/>
              <w:topLinePunct w:val="0"/>
              <w:autoSpaceDN/>
              <w:bidi w:val="0"/>
              <w:ind w:firstLine="400" w:firstLineChars="200"/>
              <w:jc w:val="left"/>
              <w:textAlignment w:val="auto"/>
              <w:rPr>
                <w:rFonts w:ascii="宋体" w:hAnsi="宋体" w:eastAsia="宋体" w:cs="宋体"/>
                <w:b w:val="0"/>
                <w:sz w:val="20"/>
              </w:rPr>
            </w:pPr>
            <w:r>
              <w:rPr>
                <w:rFonts w:ascii="宋体" w:hAnsi="宋体" w:eastAsia="宋体" w:cs="宋体"/>
                <w:b w:val="0"/>
                <w:sz w:val="20"/>
              </w:rPr>
              <w:t>在公司产品及技术投入方面：经过多年积累，公司已经形成了一站式AI平台、大数据及数字孪生平台、智洋工业大模型技术平台、AI智能体（AI Agent）技术平台、AI终端技术平台、具身智能无人机技术平台六大基础技术平台。公司通过算法、软件及硬件的协同设计模式，实现了物联网连接、多模态数据感知、数字孪生交互、智能分析决策和各行业场景应用。
</w:t>
            </w:r>
          </w:p>
          <w:p w14:paraId="0AE19AC0">
            <w:pPr>
              <w:pStyle w:val="3"/>
              <w:keepNext w:val="0"/>
              <w:keepLines w:val="0"/>
              <w:pageBreakBefore w:val="0"/>
              <w:widowControl w:val="0"/>
              <w:numPr>
                <w:ilvl w:val="-1"/>
                <w:numId w:val="0"/>
              </w:numPr>
              <w:kinsoku/>
              <w:wordWrap/>
              <w:overflowPunct/>
              <w:topLinePunct w:val="0"/>
              <w:autoSpaceDN/>
              <w:bidi w:val="0"/>
              <w:ind w:firstLine="400" w:firstLineChars="200"/>
              <w:jc w:val="left"/>
              <w:textAlignment w:val="auto"/>
              <w:rPr>
                <w:rFonts w:ascii="宋体" w:hAnsi="宋体" w:eastAsia="宋体" w:cs="宋体"/>
                <w:b w:val="0"/>
                <w:sz w:val="20"/>
              </w:rPr>
            </w:pPr>
            <w:r>
              <w:rPr>
                <w:rFonts w:ascii="宋体" w:hAnsi="宋体" w:eastAsia="宋体" w:cs="宋体"/>
                <w:b w:val="0"/>
                <w:sz w:val="20"/>
              </w:rPr>
              <w:t>在行业政策驱动的前提下，公司基于在不同行业落地应用过程中的技术沉淀和行业知识积累，建立了根据业务需求调整技术方案以适应特定场景的能力。这些能力不仅支撑了公司早期在电力行业的成功，还为公司在进入新行业如水利、轨道交通及新能源等行业实现技术落地和商业化扩展提供了坚实基础，保障了公司通过持续的技术创新与生态合作推动更多其他行业的智能化转型。感谢您对公司的关注！</w:t>
            </w:r>
            <w:r>
              <w:rPr>
                <w:rFonts w:ascii="宋体" w:hAnsi="宋体" w:eastAsia="宋体" w:cs="宋体"/>
                <w:b w:val="0"/>
                <w:sz w:val="20"/>
              </w:rPr>
              <w:br w:type="textWrapping"/>
            </w:r>
            <w:r>
              <w:rPr>
                <w:rFonts w:ascii="宋体" w:hAnsi="宋体" w:eastAsia="宋体" w:cs="宋体"/>
                <w:b/>
                <w:sz w:val="20"/>
              </w:rPr>
              <w:t xml:space="preserve">    2.物联网技术应用方面有哪些成果和进展？未来物联网技术将如何与人工智能技术融合，为公司业务带来新的增长点？</w:t>
            </w:r>
            <w:r>
              <w:rPr>
                <w:rFonts w:ascii="宋体" w:hAnsi="宋体" w:eastAsia="宋体" w:cs="宋体"/>
                <w:b/>
                <w:sz w:val="20"/>
              </w:rPr>
              <w:br w:type="textWrapping"/>
            </w:r>
            <w:r>
              <w:rPr>
                <w:rFonts w:ascii="宋体" w:hAnsi="宋体" w:eastAsia="宋体" w:cs="宋体"/>
                <w:b w:val="0"/>
                <w:sz w:val="20"/>
              </w:rPr>
              <w:t xml:space="preserve">    答:尊敬的投资者您好，公司专注于人工智能算法、大数据分析、物联网技术、数字孪生技术及具身智能技术的持续积累和应用实践，通过构建天空地多源感知云边协同的“算法-软件-硬件”产品体系。其中，公司的可视化产品和边缘计算产品，大量应用了物联网通信技术。未来公司将持续加大新产品、新技术的投入，通过新产品、新技术的研发和应用实践，为电力、水利、轨道交通、新能源等行业提供更专业、更先进的人工智能解决方案，实现人工智能商业化落地。感谢您对公司的关注！</w:t>
            </w:r>
            <w:r>
              <w:rPr>
                <w:rFonts w:ascii="宋体" w:hAnsi="宋体" w:eastAsia="宋体" w:cs="宋体"/>
                <w:b w:val="0"/>
                <w:sz w:val="20"/>
              </w:rPr>
              <w:br w:type="textWrapping"/>
            </w:r>
            <w:r>
              <w:rPr>
                <w:rFonts w:ascii="宋体" w:hAnsi="宋体" w:eastAsia="宋体" w:cs="宋体"/>
                <w:b/>
                <w:sz w:val="20"/>
              </w:rPr>
              <w:t xml:space="preserve">    3.过去一年推出了多项新技术和产品，如 “电语” 系列大模型等，这些新技术和产品对公司未来业绩的提升预计有多大贡献？</w:t>
            </w:r>
            <w:r>
              <w:rPr>
                <w:rFonts w:ascii="宋体" w:hAnsi="宋体" w:eastAsia="宋体" w:cs="宋体"/>
                <w:b/>
                <w:sz w:val="20"/>
              </w:rPr>
              <w:br w:type="textWrapping"/>
            </w:r>
            <w:r>
              <w:rPr>
                <w:rFonts w:ascii="宋体" w:hAnsi="宋体" w:eastAsia="宋体" w:cs="宋体"/>
                <w:b w:val="0"/>
                <w:sz w:val="20"/>
              </w:rPr>
              <w:t xml:space="preserve">    答:尊敬的投资者您好，过去一年，公司自研了“鸿蒙+海思/瑞芯微”技术平台，构建了Openharmony4.0和Powerharmony双技术底座并通过开放原子基金会XTS认证，多个产品取得开发原子基金会OpenHarmony生态产品兼容性证书并完成了工信部五所电鸿物联操作系统生态产品认证工作；2024年8月，在2024年（第十一届）输电技术大会上，公司发布了自研的“电语”大规模语言模型、“电语-VL”多模态大模型及全景视觉感知模型，推进了隐患识别、语义分析等多场景应用，加速了电力大模型产品体系布局。2024年10月，公司工业大模型入选山东省昇腾人工智能产业峰会发布的9大原生AI模型之一。
</w:t>
            </w:r>
          </w:p>
          <w:p w14:paraId="21B2AB6A">
            <w:pPr>
              <w:pStyle w:val="3"/>
              <w:keepNext w:val="0"/>
              <w:keepLines w:val="0"/>
              <w:pageBreakBefore w:val="0"/>
              <w:widowControl w:val="0"/>
              <w:numPr>
                <w:ilvl w:val="-1"/>
                <w:numId w:val="0"/>
              </w:numPr>
              <w:kinsoku/>
              <w:wordWrap/>
              <w:overflowPunct/>
              <w:topLinePunct w:val="0"/>
              <w:autoSpaceDN/>
              <w:bidi w:val="0"/>
              <w:ind w:firstLine="400" w:firstLineChars="200"/>
              <w:jc w:val="left"/>
              <w:textAlignment w:val="auto"/>
              <w:rPr>
                <w:rFonts w:ascii="宋体" w:hAnsi="宋体" w:eastAsia="宋体" w:cs="宋体"/>
                <w:b w:val="0"/>
                <w:sz w:val="20"/>
              </w:rPr>
            </w:pPr>
            <w:r>
              <w:rPr>
                <w:rFonts w:ascii="宋体" w:hAnsi="宋体" w:eastAsia="宋体" w:cs="宋体"/>
                <w:b w:val="0"/>
                <w:sz w:val="20"/>
              </w:rPr>
              <w:t>上述新技术及产品均为公司人工智能解决方案的组成部分，提升了公司人工智能解决方案的产品竞争力，未来，公司将持续在人工智能算法、大数据分析、物联网技术、数字孪生技术及具身智能技术等方面持续投入，推动人工智能在各个行业的商业化应用，助力行业客户实现数字化、智能化转型升级。感谢您对公司的关注！</w:t>
            </w:r>
            <w:r>
              <w:rPr>
                <w:rFonts w:ascii="宋体" w:hAnsi="宋体" w:eastAsia="宋体" w:cs="宋体"/>
                <w:b w:val="0"/>
                <w:sz w:val="20"/>
              </w:rPr>
              <w:br w:type="textWrapping"/>
            </w:r>
            <w:r>
              <w:rPr>
                <w:rFonts w:ascii="宋体" w:hAnsi="宋体" w:eastAsia="宋体" w:cs="宋体"/>
                <w:b/>
                <w:sz w:val="20"/>
              </w:rPr>
              <w:t xml:space="preserve">    4.从地域来看，公司在不同区域的业务增长情况有所差异，华北大区、西北大区等增长明显，而华中大区出现下降，原因是什么？未来在区域业务拓展上有哪些规划？</w:t>
            </w:r>
            <w:r>
              <w:rPr>
                <w:rFonts w:ascii="宋体" w:hAnsi="宋体" w:eastAsia="宋体" w:cs="宋体"/>
                <w:b/>
                <w:sz w:val="20"/>
              </w:rPr>
              <w:br w:type="textWrapping"/>
            </w:r>
            <w:r>
              <w:rPr>
                <w:rFonts w:ascii="宋体" w:hAnsi="宋体" w:eastAsia="宋体" w:cs="宋体"/>
                <w:b w:val="0"/>
                <w:sz w:val="20"/>
              </w:rPr>
              <w:t xml:space="preserve">    答:尊敬的投资者您好，公司业务已实现除香港、澳门、台湾地区的省级区划全覆盖，受不同区域客户投资节奏、经济发展水平和项目施工周期等因素影响，区域间收入存在差异化。
</w:t>
            </w:r>
          </w:p>
          <w:p w14:paraId="37CC51C1">
            <w:pPr>
              <w:pStyle w:val="3"/>
              <w:keepNext w:val="0"/>
              <w:keepLines w:val="0"/>
              <w:pageBreakBefore w:val="0"/>
              <w:widowControl w:val="0"/>
              <w:numPr>
                <w:ilvl w:val="-1"/>
                <w:numId w:val="0"/>
              </w:numPr>
              <w:kinsoku/>
              <w:wordWrap/>
              <w:overflowPunct/>
              <w:topLinePunct w:val="0"/>
              <w:autoSpaceDN/>
              <w:bidi w:val="0"/>
              <w:ind w:firstLine="400" w:firstLineChars="200"/>
              <w:jc w:val="left"/>
              <w:textAlignment w:val="auto"/>
              <w:rPr>
                <w:rFonts w:ascii="宋体" w:hAnsi="宋体" w:eastAsia="宋体" w:cs="宋体"/>
                <w:b w:val="0"/>
                <w:sz w:val="20"/>
              </w:rPr>
            </w:pPr>
            <w:r>
              <w:rPr>
                <w:rFonts w:ascii="宋体" w:hAnsi="宋体" w:eastAsia="宋体" w:cs="宋体"/>
                <w:b w:val="0"/>
                <w:sz w:val="20"/>
              </w:rPr>
              <w:t>未来，公司将持续在全国范围内开展业务，积极投入销售资源，拓宽销售渠道，建立更贴合行业市场经营运行逻辑的商业模式，实现公司利益最大化，保证新业务领域可持续、快速发展。感谢您对公司的关注！</w:t>
            </w:r>
            <w:r>
              <w:rPr>
                <w:rFonts w:ascii="宋体" w:hAnsi="宋体" w:eastAsia="宋体" w:cs="宋体"/>
                <w:b w:val="0"/>
                <w:sz w:val="20"/>
              </w:rPr>
              <w:br w:type="textWrapping"/>
            </w:r>
            <w:r>
              <w:rPr>
                <w:rFonts w:ascii="宋体" w:hAnsi="宋体" w:eastAsia="宋体" w:cs="宋体"/>
                <w:b/>
                <w:sz w:val="20"/>
              </w:rPr>
              <w:t xml:space="preserve">    5.国家电网和南方电网在2025年计划加大投资力度，公司是否已经提前布局相关业务？预计这一投资趋势将为公司带来多大的业务增长？</w:t>
            </w:r>
            <w:r>
              <w:rPr>
                <w:rFonts w:ascii="宋体" w:hAnsi="宋体" w:eastAsia="宋体" w:cs="宋体"/>
                <w:b/>
                <w:sz w:val="20"/>
              </w:rPr>
              <w:br w:type="textWrapping"/>
            </w:r>
            <w:r>
              <w:rPr>
                <w:rFonts w:ascii="宋体" w:hAnsi="宋体" w:eastAsia="宋体" w:cs="宋体"/>
                <w:b w:val="0"/>
                <w:sz w:val="20"/>
              </w:rPr>
              <w:t xml:space="preserve">    答:尊敬的投资者您好，公司人工智能解决方案已在电力、水利、轨道交通、新能源、应急管理等行业或领域成功商业化落地。在电力行业，公司AI终端产品广泛应用于各个电压等级线路，从市场占有率、装置在线率、客户满意度等方面均居国内领先地位。</w:t>
            </w:r>
          </w:p>
          <w:p w14:paraId="65128423">
            <w:pPr>
              <w:pStyle w:val="3"/>
              <w:keepNext w:val="0"/>
              <w:keepLines w:val="0"/>
              <w:pageBreakBefore w:val="0"/>
              <w:widowControl w:val="0"/>
              <w:numPr>
                <w:ilvl w:val="-1"/>
                <w:numId w:val="0"/>
              </w:numPr>
              <w:kinsoku/>
              <w:wordWrap/>
              <w:overflowPunct/>
              <w:topLinePunct w:val="0"/>
              <w:autoSpaceDN/>
              <w:bidi w:val="0"/>
              <w:ind w:firstLine="400" w:firstLineChars="200"/>
              <w:jc w:val="left"/>
              <w:textAlignment w:val="auto"/>
              <w:rPr>
                <w:rFonts w:ascii="宋体" w:hAnsi="宋体" w:eastAsia="宋体" w:cs="宋体"/>
                <w:b w:val="0"/>
                <w:sz w:val="20"/>
              </w:rPr>
            </w:pPr>
            <w:r>
              <w:rPr>
                <w:rFonts w:ascii="宋体" w:hAnsi="宋体" w:eastAsia="宋体" w:cs="宋体"/>
                <w:b w:val="0"/>
                <w:sz w:val="20"/>
              </w:rPr>
              <w:t>未来公司将持续关注电力行业政策，紧跟行业技术发展方向，加大研发投入、优化营销策略，不断巩固公司市场竞争地位，持续提高市场占有率。感谢您对公司的关注！</w:t>
            </w:r>
            <w:r>
              <w:rPr>
                <w:rFonts w:ascii="宋体" w:hAnsi="宋体" w:eastAsia="宋体" w:cs="宋体"/>
                <w:b w:val="0"/>
                <w:sz w:val="20"/>
              </w:rPr>
              <w:br w:type="textWrapping"/>
            </w:r>
            <w:r>
              <w:rPr>
                <w:rFonts w:ascii="宋体" w:hAnsi="宋体" w:eastAsia="宋体" w:cs="宋体"/>
                <w:b/>
                <w:sz w:val="20"/>
              </w:rPr>
              <w:t xml:space="preserve">    6.公司在人工智能行业的技术竞争中，提到聚焦 “三大核心要素 + 场景适配能力”，在算法迭代、多模态融合等方面，与同行业竞争对手相比，公司的优势和差距分别体现在哪里？</w:t>
            </w:r>
            <w:r>
              <w:rPr>
                <w:rFonts w:ascii="宋体" w:hAnsi="宋体" w:eastAsia="宋体" w:cs="宋体"/>
                <w:b/>
                <w:sz w:val="20"/>
              </w:rPr>
              <w:br w:type="textWrapping"/>
            </w:r>
            <w:r>
              <w:rPr>
                <w:rFonts w:ascii="宋体" w:hAnsi="宋体" w:eastAsia="宋体" w:cs="宋体"/>
                <w:b w:val="0"/>
                <w:sz w:val="20"/>
              </w:rPr>
              <w:t xml:space="preserve">    答:尊敬的投资者您好，公司致力于探索“人工智能与行业场景深度融合”的商业模式，早期以电力行业作为切入点，契合电网智能化的发展趋势，成功推出了电力行业人工智能产品，并形成了成熟的商业模式。随着公司的发展及各行业对于人工智能产品需求的增长，公司已逐步将产品技术和商业模式拓展至水利、轨道交通、新能源等众多行业场景。
</w:t>
            </w:r>
          </w:p>
          <w:p w14:paraId="71477201">
            <w:pPr>
              <w:pStyle w:val="3"/>
              <w:keepNext w:val="0"/>
              <w:keepLines w:val="0"/>
              <w:pageBreakBefore w:val="0"/>
              <w:widowControl w:val="0"/>
              <w:numPr>
                <w:ilvl w:val="-1"/>
                <w:numId w:val="0"/>
              </w:numPr>
              <w:kinsoku/>
              <w:wordWrap/>
              <w:overflowPunct/>
              <w:topLinePunct w:val="0"/>
              <w:autoSpaceDN/>
              <w:bidi w:val="0"/>
              <w:ind w:firstLine="400" w:firstLineChars="200"/>
              <w:jc w:val="left"/>
              <w:textAlignment w:val="auto"/>
              <w:rPr>
                <w:rFonts w:ascii="宋体" w:hAnsi="宋体" w:eastAsia="宋体" w:cs="宋体"/>
                <w:b w:val="0"/>
                <w:sz w:val="20"/>
              </w:rPr>
            </w:pPr>
            <w:r>
              <w:rPr>
                <w:rFonts w:ascii="宋体" w:hAnsi="宋体" w:eastAsia="宋体" w:cs="宋体"/>
                <w:b w:val="0"/>
                <w:sz w:val="20"/>
              </w:rPr>
              <w:t>基于在不同行业落地应用过程中的技术沉淀和行业知识积累，公司拥有根据业务需求调整技术方案以适应特定场景的能力，从数据采集、模型训练到系统部署，公司提供端到端的AI解决方案，确保技术落地的高效性与可靠性。公司拥有专业的研发团队，专注于AI前沿技术的探索与应用，能够快速吸收最新技术成果并实现商业化落地，并始终以解决客户痛点为出发点，确保技术落地后为客户带来实际的经济效益和效率提升。
</w:t>
            </w:r>
          </w:p>
          <w:p w14:paraId="1ED27E7F">
            <w:pPr>
              <w:pStyle w:val="3"/>
              <w:keepNext w:val="0"/>
              <w:keepLines w:val="0"/>
              <w:pageBreakBefore w:val="0"/>
              <w:widowControl w:val="0"/>
              <w:numPr>
                <w:ilvl w:val="-1"/>
                <w:numId w:val="0"/>
              </w:numPr>
              <w:kinsoku/>
              <w:wordWrap/>
              <w:overflowPunct/>
              <w:topLinePunct w:val="0"/>
              <w:autoSpaceDN/>
              <w:bidi w:val="0"/>
              <w:ind w:firstLine="400" w:firstLineChars="200"/>
              <w:jc w:val="left"/>
              <w:textAlignment w:val="auto"/>
              <w:rPr>
                <w:rFonts w:hint="default"/>
                <w:b/>
                <w:bCs/>
                <w:color w:val="auto"/>
                <w:lang w:val="en-US" w:eastAsia="zh-CN"/>
              </w:rPr>
            </w:pPr>
            <w:bookmarkStart w:id="0" w:name="_GoBack"/>
            <w:bookmarkEnd w:id="0"/>
            <w:r>
              <w:rPr>
                <w:rFonts w:ascii="宋体" w:hAnsi="宋体" w:eastAsia="宋体" w:cs="宋体"/>
                <w:b w:val="0"/>
                <w:sz w:val="20"/>
              </w:rPr>
              <w:t>从通用技术的角度来看，公司在人工智能领域的核心竞争力体现在算法研发、数据处理、工程化能力、技术融合、前沿探索、研发创新以及商业化能力等多个方面。这些能力不仅支撑了公司早期在电力行业的成功，还为公司在进入新行业如水利、轨道交通及新能源等行业实现技术落地和商业化扩展提供了坚实基础，保障了公司通过持续的技术创新与生态合作推动更多其他行业的智能化转型。感谢您对公司的关注！</w:t>
            </w:r>
            <w:r>
              <w:rPr>
                <w:rFonts w:ascii="宋体" w:hAnsi="宋体" w:eastAsia="宋体" w:cs="宋体"/>
                <w:b w:val="0"/>
                <w:sz w:val="20"/>
              </w:rPr>
              <w:br w:type="textWrapping"/>
            </w:r>
            <w:r>
              <w:rPr>
                <w:rFonts w:ascii="宋体" w:hAnsi="宋体" w:eastAsia="宋体" w:cs="宋体"/>
                <w:b/>
                <w:sz w:val="20"/>
              </w:rPr>
              <w:t xml:space="preserve">    7.电力行业业务稳定增长，但输电可视化产品市场竞争日趋激烈，公司如何保持在该领域的市场份额？未来有哪些新产品或新业务方向来应对市场变化？</w:t>
            </w:r>
            <w:r>
              <w:rPr>
                <w:rFonts w:ascii="宋体" w:hAnsi="宋体" w:eastAsia="宋体" w:cs="宋体"/>
                <w:b/>
                <w:sz w:val="20"/>
              </w:rPr>
              <w:br w:type="textWrapping"/>
            </w:r>
            <w:r>
              <w:rPr>
                <w:rFonts w:ascii="宋体" w:hAnsi="宋体" w:eastAsia="宋体" w:cs="宋体"/>
                <w:b w:val="0"/>
                <w:sz w:val="20"/>
              </w:rPr>
              <w:t xml:space="preserve">    答:尊敬的投资者您好，公司在电力行业的人工智能解决方案已覆盖输电、变电、配电场景，公司将持续关注市场竞争情况，积极应对市场变化，保持公司在电力行业的竞争优势。感谢您对公司的关注！</w:t>
            </w:r>
          </w:p>
        </w:tc>
      </w:tr>
      <w:tr w14:paraId="5F79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756" w:type="dxa"/>
            <w:vAlign w:val="center"/>
          </w:tcPr>
          <w:p w14:paraId="144FFB76">
            <w:pPr>
              <w:widowControl/>
              <w:jc w:val="center"/>
              <w:rPr>
                <w:rFonts w:ascii="宋体" w:hAnsi="宋体" w:eastAsia="宋体" w:cs="宋体"/>
                <w:kern w:val="0"/>
                <w:sz w:val="22"/>
              </w:rPr>
            </w:pPr>
            <w:r>
              <w:rPr>
                <w:rFonts w:hint="eastAsia" w:ascii="宋体" w:hAnsi="宋体" w:eastAsia="宋体" w:cs="宋体"/>
                <w:color w:val="000000"/>
                <w:kern w:val="0"/>
                <w:sz w:val="22"/>
              </w:rPr>
              <w:t>附件清单（如有）</w:t>
            </w:r>
          </w:p>
        </w:tc>
        <w:tc>
          <w:tcPr>
            <w:tcW w:w="5800" w:type="dxa"/>
            <w:vAlign w:val="center"/>
          </w:tcPr>
          <w:p w14:paraId="73E9FEB2">
            <w:pPr>
              <w:widowControl/>
              <w:jc w:val="left"/>
              <w:rPr>
                <w:rFonts w:ascii="宋体" w:hAnsi="宋体" w:eastAsia="宋体" w:cs="宋体"/>
                <w:kern w:val="0"/>
                <w:sz w:val="22"/>
              </w:rPr>
            </w:pPr>
            <w:r>
              <w:rPr>
                <w:rFonts w:hint="eastAsia" w:ascii="宋体" w:hAnsi="宋体" w:eastAsia="宋体" w:cs="宋体"/>
                <w:color w:val="000000"/>
                <w:kern w:val="0"/>
                <w:sz w:val="22"/>
              </w:rPr>
              <w:t>无</w:t>
            </w:r>
          </w:p>
        </w:tc>
      </w:tr>
    </w:tbl>
    <w:p w14:paraId="16B8FC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yZmJhNWUwZDM5YjMzNmE5OTJjMTljYWEyYTUyZGQifQ=="/>
  </w:docVars>
  <w:rsids>
    <w:rsidRoot w:val="00172A27"/>
    <w:rsid w:val="00437DB0"/>
    <w:rsid w:val="007963DE"/>
    <w:rsid w:val="009F2CF0"/>
    <w:rsid w:val="00C20653"/>
    <w:rsid w:val="010A1B1D"/>
    <w:rsid w:val="013F35C7"/>
    <w:rsid w:val="016F222E"/>
    <w:rsid w:val="021D3B2B"/>
    <w:rsid w:val="02210598"/>
    <w:rsid w:val="02227CFD"/>
    <w:rsid w:val="02701533"/>
    <w:rsid w:val="02B13BC6"/>
    <w:rsid w:val="02C72BF4"/>
    <w:rsid w:val="03463684"/>
    <w:rsid w:val="03A26EFC"/>
    <w:rsid w:val="03DE5572"/>
    <w:rsid w:val="03F01827"/>
    <w:rsid w:val="03FE37A0"/>
    <w:rsid w:val="04E00A6D"/>
    <w:rsid w:val="04F05A45"/>
    <w:rsid w:val="05435F87"/>
    <w:rsid w:val="05437A4D"/>
    <w:rsid w:val="059D36F5"/>
    <w:rsid w:val="05D26539"/>
    <w:rsid w:val="05D9297D"/>
    <w:rsid w:val="05EB486B"/>
    <w:rsid w:val="06270600"/>
    <w:rsid w:val="07097292"/>
    <w:rsid w:val="07460ABA"/>
    <w:rsid w:val="078F6F30"/>
    <w:rsid w:val="07A27123"/>
    <w:rsid w:val="07AC7BD4"/>
    <w:rsid w:val="07C7513E"/>
    <w:rsid w:val="08616FEA"/>
    <w:rsid w:val="08EE736F"/>
    <w:rsid w:val="08F62613"/>
    <w:rsid w:val="08F874F0"/>
    <w:rsid w:val="09094DDA"/>
    <w:rsid w:val="09632933"/>
    <w:rsid w:val="097F1A8E"/>
    <w:rsid w:val="0A0D68E9"/>
    <w:rsid w:val="0A1107B2"/>
    <w:rsid w:val="0A44176F"/>
    <w:rsid w:val="0A4B061F"/>
    <w:rsid w:val="0A6646D7"/>
    <w:rsid w:val="0AC20E80"/>
    <w:rsid w:val="0ACA197F"/>
    <w:rsid w:val="0ACC7133"/>
    <w:rsid w:val="0AFE299F"/>
    <w:rsid w:val="0B245D47"/>
    <w:rsid w:val="0B585547"/>
    <w:rsid w:val="0B64383C"/>
    <w:rsid w:val="0BB3573E"/>
    <w:rsid w:val="0BD62C31"/>
    <w:rsid w:val="0C1C5DD6"/>
    <w:rsid w:val="0CDC5604"/>
    <w:rsid w:val="0D016360"/>
    <w:rsid w:val="0DD341C2"/>
    <w:rsid w:val="0DDA0D2C"/>
    <w:rsid w:val="0E2C57A1"/>
    <w:rsid w:val="0E636C57"/>
    <w:rsid w:val="0EC87A33"/>
    <w:rsid w:val="0ED924BE"/>
    <w:rsid w:val="0ED96309"/>
    <w:rsid w:val="0EE91861"/>
    <w:rsid w:val="0EEE3020"/>
    <w:rsid w:val="0F503A5A"/>
    <w:rsid w:val="0F5572A5"/>
    <w:rsid w:val="0F5727DE"/>
    <w:rsid w:val="0F9A02BF"/>
    <w:rsid w:val="0FAB3DE0"/>
    <w:rsid w:val="102A7E2E"/>
    <w:rsid w:val="108175CA"/>
    <w:rsid w:val="109816DF"/>
    <w:rsid w:val="10FF4C3C"/>
    <w:rsid w:val="11211562"/>
    <w:rsid w:val="112655BB"/>
    <w:rsid w:val="11332717"/>
    <w:rsid w:val="114C4F30"/>
    <w:rsid w:val="11DE7013"/>
    <w:rsid w:val="12093BAD"/>
    <w:rsid w:val="121811C9"/>
    <w:rsid w:val="12C05415"/>
    <w:rsid w:val="13032866"/>
    <w:rsid w:val="131A369D"/>
    <w:rsid w:val="136705BC"/>
    <w:rsid w:val="141166AC"/>
    <w:rsid w:val="14211F49"/>
    <w:rsid w:val="15160683"/>
    <w:rsid w:val="15417794"/>
    <w:rsid w:val="156144BC"/>
    <w:rsid w:val="16137463"/>
    <w:rsid w:val="1642631D"/>
    <w:rsid w:val="16612B9C"/>
    <w:rsid w:val="169F72CB"/>
    <w:rsid w:val="16A971B0"/>
    <w:rsid w:val="16BE1E47"/>
    <w:rsid w:val="177253C0"/>
    <w:rsid w:val="17DF6058"/>
    <w:rsid w:val="17ED46D0"/>
    <w:rsid w:val="182B7D2A"/>
    <w:rsid w:val="184B797D"/>
    <w:rsid w:val="18666660"/>
    <w:rsid w:val="18895C11"/>
    <w:rsid w:val="18AC0339"/>
    <w:rsid w:val="18C24271"/>
    <w:rsid w:val="19024334"/>
    <w:rsid w:val="19D4595C"/>
    <w:rsid w:val="1A123269"/>
    <w:rsid w:val="1A533D8C"/>
    <w:rsid w:val="1A981ABF"/>
    <w:rsid w:val="1AA0263F"/>
    <w:rsid w:val="1AAA2915"/>
    <w:rsid w:val="1B364D60"/>
    <w:rsid w:val="1B4D3645"/>
    <w:rsid w:val="1B7D37E0"/>
    <w:rsid w:val="1BBB78FF"/>
    <w:rsid w:val="1BCE6400"/>
    <w:rsid w:val="1BEA5FCD"/>
    <w:rsid w:val="1C281CCA"/>
    <w:rsid w:val="1CAD5C4C"/>
    <w:rsid w:val="1CD04682"/>
    <w:rsid w:val="1D010737"/>
    <w:rsid w:val="1D032DBE"/>
    <w:rsid w:val="1D336832"/>
    <w:rsid w:val="1D342C3A"/>
    <w:rsid w:val="1DF97785"/>
    <w:rsid w:val="1E2612FC"/>
    <w:rsid w:val="1E276378"/>
    <w:rsid w:val="1EF315BA"/>
    <w:rsid w:val="1F54082A"/>
    <w:rsid w:val="1F69641E"/>
    <w:rsid w:val="1F713148"/>
    <w:rsid w:val="1FB57B5F"/>
    <w:rsid w:val="1FBF5D12"/>
    <w:rsid w:val="2020430B"/>
    <w:rsid w:val="209452FD"/>
    <w:rsid w:val="21260517"/>
    <w:rsid w:val="2165773C"/>
    <w:rsid w:val="21AA4163"/>
    <w:rsid w:val="21D56297"/>
    <w:rsid w:val="22057693"/>
    <w:rsid w:val="220B45FB"/>
    <w:rsid w:val="223360A0"/>
    <w:rsid w:val="22907E14"/>
    <w:rsid w:val="22C504CA"/>
    <w:rsid w:val="230A7776"/>
    <w:rsid w:val="231064A5"/>
    <w:rsid w:val="233E7BBA"/>
    <w:rsid w:val="239724A4"/>
    <w:rsid w:val="2436696D"/>
    <w:rsid w:val="24486182"/>
    <w:rsid w:val="247A5BD6"/>
    <w:rsid w:val="24AA16AC"/>
    <w:rsid w:val="255013C8"/>
    <w:rsid w:val="255A6D2C"/>
    <w:rsid w:val="25BA1229"/>
    <w:rsid w:val="27215DF4"/>
    <w:rsid w:val="27397488"/>
    <w:rsid w:val="27760BB9"/>
    <w:rsid w:val="27855555"/>
    <w:rsid w:val="27A2751F"/>
    <w:rsid w:val="27EB31D8"/>
    <w:rsid w:val="28154152"/>
    <w:rsid w:val="281976B6"/>
    <w:rsid w:val="282473C7"/>
    <w:rsid w:val="28C01545"/>
    <w:rsid w:val="28CE09B0"/>
    <w:rsid w:val="293A22CE"/>
    <w:rsid w:val="29477D41"/>
    <w:rsid w:val="297B7E8B"/>
    <w:rsid w:val="299020A1"/>
    <w:rsid w:val="2A032341"/>
    <w:rsid w:val="2A0E5B0E"/>
    <w:rsid w:val="2A4B1DB7"/>
    <w:rsid w:val="2ABD7C20"/>
    <w:rsid w:val="2AC5217D"/>
    <w:rsid w:val="2ADA3454"/>
    <w:rsid w:val="2B6A4497"/>
    <w:rsid w:val="2BC55B39"/>
    <w:rsid w:val="2CAD6C55"/>
    <w:rsid w:val="2CD077D7"/>
    <w:rsid w:val="2CEA61F8"/>
    <w:rsid w:val="2D8F7C42"/>
    <w:rsid w:val="2D951AFB"/>
    <w:rsid w:val="2E6B3F2B"/>
    <w:rsid w:val="2EC6530B"/>
    <w:rsid w:val="2F6A2554"/>
    <w:rsid w:val="30E12562"/>
    <w:rsid w:val="3115795B"/>
    <w:rsid w:val="311C1AD3"/>
    <w:rsid w:val="31456BEB"/>
    <w:rsid w:val="31605B7D"/>
    <w:rsid w:val="31612DB1"/>
    <w:rsid w:val="318A49A8"/>
    <w:rsid w:val="31970A44"/>
    <w:rsid w:val="321665E0"/>
    <w:rsid w:val="322E474A"/>
    <w:rsid w:val="325B3210"/>
    <w:rsid w:val="329007D9"/>
    <w:rsid w:val="329B1F49"/>
    <w:rsid w:val="32DD7307"/>
    <w:rsid w:val="33147CE6"/>
    <w:rsid w:val="335E09E9"/>
    <w:rsid w:val="33A00548"/>
    <w:rsid w:val="33AC6322"/>
    <w:rsid w:val="3439694D"/>
    <w:rsid w:val="34516EE5"/>
    <w:rsid w:val="345320E1"/>
    <w:rsid w:val="35275116"/>
    <w:rsid w:val="35D005E4"/>
    <w:rsid w:val="35D1418C"/>
    <w:rsid w:val="35F37400"/>
    <w:rsid w:val="363D3C0F"/>
    <w:rsid w:val="363E1541"/>
    <w:rsid w:val="36573053"/>
    <w:rsid w:val="36A67FA0"/>
    <w:rsid w:val="36BB34B9"/>
    <w:rsid w:val="37464610"/>
    <w:rsid w:val="3798061D"/>
    <w:rsid w:val="37C27B03"/>
    <w:rsid w:val="387A6C7E"/>
    <w:rsid w:val="38984EB0"/>
    <w:rsid w:val="38A36DF6"/>
    <w:rsid w:val="39052B68"/>
    <w:rsid w:val="392E24CC"/>
    <w:rsid w:val="395D6464"/>
    <w:rsid w:val="397D1296"/>
    <w:rsid w:val="39BB6F27"/>
    <w:rsid w:val="39D31C98"/>
    <w:rsid w:val="3AC4126A"/>
    <w:rsid w:val="3AE643CE"/>
    <w:rsid w:val="3B0F2A3B"/>
    <w:rsid w:val="3B4066D5"/>
    <w:rsid w:val="3B5404EC"/>
    <w:rsid w:val="3C0042EC"/>
    <w:rsid w:val="3C0F02F1"/>
    <w:rsid w:val="3C44739D"/>
    <w:rsid w:val="3C725E88"/>
    <w:rsid w:val="3C951CEB"/>
    <w:rsid w:val="3CB72D11"/>
    <w:rsid w:val="3D71311A"/>
    <w:rsid w:val="3D896A98"/>
    <w:rsid w:val="3DC87A8D"/>
    <w:rsid w:val="3DFB09DB"/>
    <w:rsid w:val="3E11180D"/>
    <w:rsid w:val="3E8401FC"/>
    <w:rsid w:val="3E940F7D"/>
    <w:rsid w:val="3F0E0AC7"/>
    <w:rsid w:val="3F1026D2"/>
    <w:rsid w:val="3F4756E8"/>
    <w:rsid w:val="3F7F3446"/>
    <w:rsid w:val="3FA93D9F"/>
    <w:rsid w:val="400C5F49"/>
    <w:rsid w:val="401F5C3E"/>
    <w:rsid w:val="4064171F"/>
    <w:rsid w:val="40B774B3"/>
    <w:rsid w:val="40C63A63"/>
    <w:rsid w:val="40EA56FB"/>
    <w:rsid w:val="41037834"/>
    <w:rsid w:val="41250B55"/>
    <w:rsid w:val="418C1E31"/>
    <w:rsid w:val="41CA7CD2"/>
    <w:rsid w:val="420B22DF"/>
    <w:rsid w:val="4235270E"/>
    <w:rsid w:val="425F778B"/>
    <w:rsid w:val="427778D5"/>
    <w:rsid w:val="42A96C58"/>
    <w:rsid w:val="42FF712E"/>
    <w:rsid w:val="432307B8"/>
    <w:rsid w:val="432A1001"/>
    <w:rsid w:val="43394FCF"/>
    <w:rsid w:val="43790FC1"/>
    <w:rsid w:val="43D0207E"/>
    <w:rsid w:val="44331706"/>
    <w:rsid w:val="444B19CF"/>
    <w:rsid w:val="445642ED"/>
    <w:rsid w:val="446F7A2D"/>
    <w:rsid w:val="447A7409"/>
    <w:rsid w:val="447D0FBB"/>
    <w:rsid w:val="44E15CD4"/>
    <w:rsid w:val="45222596"/>
    <w:rsid w:val="452914D7"/>
    <w:rsid w:val="453136A9"/>
    <w:rsid w:val="45827D99"/>
    <w:rsid w:val="463466FB"/>
    <w:rsid w:val="46576CE9"/>
    <w:rsid w:val="470F4080"/>
    <w:rsid w:val="472B1063"/>
    <w:rsid w:val="475F01D5"/>
    <w:rsid w:val="47B072FC"/>
    <w:rsid w:val="47CF4FD6"/>
    <w:rsid w:val="48783EC5"/>
    <w:rsid w:val="48AE790D"/>
    <w:rsid w:val="48D23F22"/>
    <w:rsid w:val="48D909BC"/>
    <w:rsid w:val="48F12E38"/>
    <w:rsid w:val="4903536C"/>
    <w:rsid w:val="49687097"/>
    <w:rsid w:val="49756D85"/>
    <w:rsid w:val="4979722E"/>
    <w:rsid w:val="4984533F"/>
    <w:rsid w:val="49C9058B"/>
    <w:rsid w:val="4A6E03EE"/>
    <w:rsid w:val="4AD13BC7"/>
    <w:rsid w:val="4B090752"/>
    <w:rsid w:val="4B1F4F5F"/>
    <w:rsid w:val="4B4D41D4"/>
    <w:rsid w:val="4B653633"/>
    <w:rsid w:val="4B7E2F51"/>
    <w:rsid w:val="4B930A43"/>
    <w:rsid w:val="4BF70FA7"/>
    <w:rsid w:val="4C211DE9"/>
    <w:rsid w:val="4C757CBC"/>
    <w:rsid w:val="4C903D54"/>
    <w:rsid w:val="4D317A1B"/>
    <w:rsid w:val="4D387C5C"/>
    <w:rsid w:val="4D9011F0"/>
    <w:rsid w:val="4E126D3A"/>
    <w:rsid w:val="4E714C6A"/>
    <w:rsid w:val="4E796E1E"/>
    <w:rsid w:val="4F13449C"/>
    <w:rsid w:val="4F297D4A"/>
    <w:rsid w:val="4F881896"/>
    <w:rsid w:val="4F8E345D"/>
    <w:rsid w:val="503E4904"/>
    <w:rsid w:val="50692847"/>
    <w:rsid w:val="508F5DD3"/>
    <w:rsid w:val="509C43C4"/>
    <w:rsid w:val="50D7421A"/>
    <w:rsid w:val="50D744E9"/>
    <w:rsid w:val="50E161BC"/>
    <w:rsid w:val="512111FB"/>
    <w:rsid w:val="5138209E"/>
    <w:rsid w:val="516F18AB"/>
    <w:rsid w:val="523A1E14"/>
    <w:rsid w:val="529E4657"/>
    <w:rsid w:val="52B753C1"/>
    <w:rsid w:val="52DD2E1E"/>
    <w:rsid w:val="534E704F"/>
    <w:rsid w:val="536454A1"/>
    <w:rsid w:val="539B6B31"/>
    <w:rsid w:val="53CF1E7C"/>
    <w:rsid w:val="53D02297"/>
    <w:rsid w:val="53E91C39"/>
    <w:rsid w:val="543D53F8"/>
    <w:rsid w:val="54E619FF"/>
    <w:rsid w:val="551B42A4"/>
    <w:rsid w:val="551D67DF"/>
    <w:rsid w:val="5545416E"/>
    <w:rsid w:val="55560EC1"/>
    <w:rsid w:val="55FE4406"/>
    <w:rsid w:val="561673D2"/>
    <w:rsid w:val="566779D8"/>
    <w:rsid w:val="56914A08"/>
    <w:rsid w:val="56E74480"/>
    <w:rsid w:val="56E87D29"/>
    <w:rsid w:val="57AF1DBF"/>
    <w:rsid w:val="57FF1A43"/>
    <w:rsid w:val="57FF3E6E"/>
    <w:rsid w:val="58BF7C36"/>
    <w:rsid w:val="592C2B4D"/>
    <w:rsid w:val="597A6232"/>
    <w:rsid w:val="59A12425"/>
    <w:rsid w:val="59C3104F"/>
    <w:rsid w:val="59F0161C"/>
    <w:rsid w:val="59F439CA"/>
    <w:rsid w:val="5A1A68E8"/>
    <w:rsid w:val="5AB40632"/>
    <w:rsid w:val="5B060463"/>
    <w:rsid w:val="5BD42293"/>
    <w:rsid w:val="5BDD766D"/>
    <w:rsid w:val="5C307A8B"/>
    <w:rsid w:val="5C8368D6"/>
    <w:rsid w:val="5C9626D8"/>
    <w:rsid w:val="5D312048"/>
    <w:rsid w:val="5D500321"/>
    <w:rsid w:val="5D902E1F"/>
    <w:rsid w:val="5E0013AF"/>
    <w:rsid w:val="5E532442"/>
    <w:rsid w:val="5EB26960"/>
    <w:rsid w:val="5ECA60E4"/>
    <w:rsid w:val="5EF53CC8"/>
    <w:rsid w:val="5EF84405"/>
    <w:rsid w:val="5F6107C3"/>
    <w:rsid w:val="5FB765CD"/>
    <w:rsid w:val="60331C88"/>
    <w:rsid w:val="605D7B4A"/>
    <w:rsid w:val="6060031F"/>
    <w:rsid w:val="60614D0A"/>
    <w:rsid w:val="61107AD5"/>
    <w:rsid w:val="611976B3"/>
    <w:rsid w:val="612666CE"/>
    <w:rsid w:val="61361570"/>
    <w:rsid w:val="61691F7C"/>
    <w:rsid w:val="618B4015"/>
    <w:rsid w:val="619E1588"/>
    <w:rsid w:val="61C57FB9"/>
    <w:rsid w:val="61E96F29"/>
    <w:rsid w:val="620C4264"/>
    <w:rsid w:val="62B2525D"/>
    <w:rsid w:val="62D2376F"/>
    <w:rsid w:val="63455D65"/>
    <w:rsid w:val="6365113D"/>
    <w:rsid w:val="638B41CB"/>
    <w:rsid w:val="640A42F1"/>
    <w:rsid w:val="642E7568"/>
    <w:rsid w:val="64787261"/>
    <w:rsid w:val="64EC395F"/>
    <w:rsid w:val="64F62857"/>
    <w:rsid w:val="652F0DE7"/>
    <w:rsid w:val="656B002A"/>
    <w:rsid w:val="65B72141"/>
    <w:rsid w:val="65BF1D00"/>
    <w:rsid w:val="66087D37"/>
    <w:rsid w:val="664E6468"/>
    <w:rsid w:val="665D7F78"/>
    <w:rsid w:val="66633782"/>
    <w:rsid w:val="66A148DD"/>
    <w:rsid w:val="66B370FA"/>
    <w:rsid w:val="66C66513"/>
    <w:rsid w:val="66D91FDE"/>
    <w:rsid w:val="66FC0076"/>
    <w:rsid w:val="671A784B"/>
    <w:rsid w:val="679E48C0"/>
    <w:rsid w:val="68314937"/>
    <w:rsid w:val="68382D66"/>
    <w:rsid w:val="684F1CF5"/>
    <w:rsid w:val="68B34299"/>
    <w:rsid w:val="68DA5601"/>
    <w:rsid w:val="68F83862"/>
    <w:rsid w:val="692823E0"/>
    <w:rsid w:val="69370C94"/>
    <w:rsid w:val="69376D7B"/>
    <w:rsid w:val="698353CB"/>
    <w:rsid w:val="69E11460"/>
    <w:rsid w:val="6B131620"/>
    <w:rsid w:val="6B520BFD"/>
    <w:rsid w:val="6BF41431"/>
    <w:rsid w:val="6C1372C1"/>
    <w:rsid w:val="6C3B59F1"/>
    <w:rsid w:val="6C8A547B"/>
    <w:rsid w:val="6C9A398D"/>
    <w:rsid w:val="6CC938CF"/>
    <w:rsid w:val="6CE86177"/>
    <w:rsid w:val="6CF96C8E"/>
    <w:rsid w:val="6D3C12AA"/>
    <w:rsid w:val="6DA85A13"/>
    <w:rsid w:val="6DBF58D0"/>
    <w:rsid w:val="6DEC349C"/>
    <w:rsid w:val="6DFC5EB5"/>
    <w:rsid w:val="6E564558"/>
    <w:rsid w:val="6E6B3B38"/>
    <w:rsid w:val="6E7626AB"/>
    <w:rsid w:val="6E7A7577"/>
    <w:rsid w:val="6EBC4EA2"/>
    <w:rsid w:val="6F4B11EA"/>
    <w:rsid w:val="6F6A074D"/>
    <w:rsid w:val="6F717228"/>
    <w:rsid w:val="6F8E19D1"/>
    <w:rsid w:val="6F9F7DAF"/>
    <w:rsid w:val="6FA87620"/>
    <w:rsid w:val="6FC36291"/>
    <w:rsid w:val="70556C38"/>
    <w:rsid w:val="70605573"/>
    <w:rsid w:val="70EE1B56"/>
    <w:rsid w:val="71424947"/>
    <w:rsid w:val="71922E29"/>
    <w:rsid w:val="71AC2D14"/>
    <w:rsid w:val="71EE215A"/>
    <w:rsid w:val="720D65E0"/>
    <w:rsid w:val="72360EE8"/>
    <w:rsid w:val="72646CEB"/>
    <w:rsid w:val="72B90FC4"/>
    <w:rsid w:val="73345474"/>
    <w:rsid w:val="7387396F"/>
    <w:rsid w:val="73C76A4A"/>
    <w:rsid w:val="73E532F1"/>
    <w:rsid w:val="74401AB8"/>
    <w:rsid w:val="750077C7"/>
    <w:rsid w:val="751437B2"/>
    <w:rsid w:val="752179EF"/>
    <w:rsid w:val="75952E0A"/>
    <w:rsid w:val="75A339A7"/>
    <w:rsid w:val="75C76111"/>
    <w:rsid w:val="765D56C8"/>
    <w:rsid w:val="766E7E8B"/>
    <w:rsid w:val="769062DB"/>
    <w:rsid w:val="76C6190C"/>
    <w:rsid w:val="7733375C"/>
    <w:rsid w:val="777A72F9"/>
    <w:rsid w:val="777C4347"/>
    <w:rsid w:val="777D392A"/>
    <w:rsid w:val="77857E22"/>
    <w:rsid w:val="779E27EC"/>
    <w:rsid w:val="781F7040"/>
    <w:rsid w:val="783629EC"/>
    <w:rsid w:val="7883527A"/>
    <w:rsid w:val="78AE262D"/>
    <w:rsid w:val="78D10B9C"/>
    <w:rsid w:val="79270A91"/>
    <w:rsid w:val="7A122D59"/>
    <w:rsid w:val="7A304361"/>
    <w:rsid w:val="7ABA1BA8"/>
    <w:rsid w:val="7B7C4A19"/>
    <w:rsid w:val="7BF64FE7"/>
    <w:rsid w:val="7C313C16"/>
    <w:rsid w:val="7C6164C4"/>
    <w:rsid w:val="7C6E7291"/>
    <w:rsid w:val="7C8E0680"/>
    <w:rsid w:val="7CB75A48"/>
    <w:rsid w:val="7CC3658D"/>
    <w:rsid w:val="7CE765F7"/>
    <w:rsid w:val="7D28519D"/>
    <w:rsid w:val="7D38369E"/>
    <w:rsid w:val="7D60687A"/>
    <w:rsid w:val="7D9D61F5"/>
    <w:rsid w:val="7DD96791"/>
    <w:rsid w:val="7DE83587"/>
    <w:rsid w:val="7E15459A"/>
    <w:rsid w:val="7E4E5983"/>
    <w:rsid w:val="7E5342F6"/>
    <w:rsid w:val="7EEE63B7"/>
    <w:rsid w:val="7EF2463D"/>
    <w:rsid w:val="7F1B2E7F"/>
    <w:rsid w:val="7F232D2E"/>
    <w:rsid w:val="7F593C7E"/>
    <w:rsid w:val="7F863FFD"/>
    <w:rsid w:val="7F8E4305"/>
    <w:rsid w:val="7FAC1E0B"/>
    <w:rsid w:val="7FB45BB2"/>
    <w:rsid w:val="7FC75574"/>
    <w:rsid w:val="7FD40763"/>
    <w:rsid w:val="7FE61CF4"/>
    <w:rsid w:val="7FF369C9"/>
    <w:rsid w:val="7FF36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annotation text"/>
    <w:basedOn w:val="1"/>
    <w:autoRedefine/>
    <w:qFormat/>
    <w:uiPriority w:val="0"/>
    <w:pPr>
      <w:jc w:val="left"/>
    </w:pPr>
  </w:style>
  <w:style w:type="paragraph" w:styleId="5">
    <w:name w:val="Body Text"/>
    <w:basedOn w:val="1"/>
    <w:next w:val="6"/>
    <w:autoRedefine/>
    <w:qFormat/>
    <w:uiPriority w:val="0"/>
    <w:rPr>
      <w:rFonts w:eastAsia="仿宋_GB2312"/>
      <w:color w:val="000000"/>
    </w:rPr>
  </w:style>
  <w:style w:type="paragraph" w:styleId="6">
    <w:name w:val="Title"/>
    <w:basedOn w:val="1"/>
    <w:next w:val="1"/>
    <w:autoRedefine/>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List Paragraph"/>
    <w:basedOn w:val="1"/>
    <w:autoRedefine/>
    <w:qFormat/>
    <w:uiPriority w:val="34"/>
    <w:pPr>
      <w:ind w:firstLine="420" w:firstLineChars="200"/>
    </w:pPr>
  </w:style>
  <w:style w:type="paragraph" w:customStyle="1" w:styleId="13">
    <w:name w:val="_Style 217"/>
    <w:autoRedefine/>
    <w:qFormat/>
    <w:uiPriority w:val="0"/>
    <w:pPr>
      <w:widowControl w:val="0"/>
      <w:jc w:val="both"/>
    </w:pPr>
    <w:rPr>
      <w:rFonts w:ascii="Calibri" w:hAnsi="Calibri" w:eastAsia="宋体" w:cs="Times New Roman"/>
      <w:kern w:val="2"/>
      <w:sz w:val="21"/>
      <w:szCs w:val="21"/>
      <w:lang w:val="en-US" w:eastAsia="zh-CN" w:bidi="ar-SA"/>
    </w:rPr>
  </w:style>
  <w:style w:type="paragraph" w:customStyle="1" w:styleId="14">
    <w:name w:val="_Style 113"/>
    <w:autoRedefine/>
    <w:qFormat/>
    <w:uiPriority w:val="0"/>
    <w:rPr>
      <w:rFonts w:ascii="宋体" w:hAnsi="宋体" w:eastAsia="宋体" w:cs="宋体"/>
      <w:sz w:val="21"/>
      <w:szCs w:val="24"/>
      <w:lang w:val="en-US" w:eastAsia="zh-CN" w:bidi="ar-SA"/>
    </w:rPr>
  </w:style>
  <w:style w:type="paragraph" w:customStyle="1" w:styleId="15">
    <w:name w:val="_Style 471"/>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2849</Words>
  <Characters>3050</Characters>
  <Lines>1</Lines>
  <Paragraphs>1</Paragraphs>
  <TotalTime>4</TotalTime>
  <ScaleCrop>false</ScaleCrop>
  <LinksUpToDate>false</LinksUpToDate>
  <CharactersWithSpaces>3169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2022-06-17T06:36:00Z</dcterms:created>
  <dc:creator>Ivin</dc:creator>
  <cp:lastModifiedBy>Ivin</cp:lastModifiedBy>
  <cp:lastPrinted>2022-09-30T10:29:00Z</cp:lastPrinted>
  <dcterms:modified xsi:type="dcterms:W3CDTF">2025-05-08T09:04:34Z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F68E36CE0517490DBEA1DFBD5CD69417_13</vt:lpwstr>
  </property>
  <property fmtid="{D5CDD505-2E9C-101B-9397-08002B2CF9AE}" pid="4" name="KSOTemplateDocerSaveRecord">
    <vt:lpwstr>eyJoZGlkIjoiM2E4MWZjMDQ1MWU4NDFkMTRlODc2MzY4OGE5MTgwZWMiLCJ1c2VySWQiOiIyNjA2MTQ0NzgifQ==</vt:lpwstr>
  </property>
</Properties>
</file>