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3E366">
      <w:pPr>
        <w:jc w:val="center"/>
        <w:rPr>
          <w:sz w:val="28"/>
          <w:szCs w:val="28"/>
        </w:rPr>
      </w:pPr>
      <w:r>
        <w:rPr>
          <w:rFonts w:hint="eastAsia"/>
          <w:sz w:val="28"/>
          <w:szCs w:val="28"/>
        </w:rPr>
        <w:t>杭州柯林电气股份有限公司</w:t>
      </w:r>
    </w:p>
    <w:p w14:paraId="0562A7A1">
      <w:pPr>
        <w:jc w:val="center"/>
        <w:rPr>
          <w:sz w:val="28"/>
          <w:szCs w:val="28"/>
        </w:rPr>
      </w:pPr>
      <w:r>
        <w:rPr>
          <w:rFonts w:hint="eastAsia"/>
          <w:sz w:val="28"/>
          <w:szCs w:val="28"/>
        </w:rPr>
        <w:t>投资者关系活动记录表</w:t>
      </w:r>
    </w:p>
    <w:p w14:paraId="3D0742F1">
      <w:pPr>
        <w:rPr>
          <w:rFonts w:hint="eastAsia" w:eastAsia="宋体"/>
          <w:lang w:val="en-US" w:eastAsia="zh-CN"/>
        </w:rPr>
      </w:pPr>
      <w:r>
        <w:rPr>
          <w:rFonts w:hint="eastAsia"/>
        </w:rPr>
        <w:t xml:space="preserve">证券简称：杭州柯林 </w:t>
      </w:r>
      <w:r>
        <w:t xml:space="preserve">           </w:t>
      </w:r>
      <w:r>
        <w:rPr>
          <w:rFonts w:hint="eastAsia"/>
        </w:rPr>
        <w:t xml:space="preserve">证券代码：688611 </w:t>
      </w:r>
      <w:r>
        <w:t xml:space="preserve">      </w:t>
      </w:r>
      <w:r>
        <w:rPr>
          <w:rFonts w:hint="eastAsia"/>
        </w:rPr>
        <w:t>编号：202</w:t>
      </w:r>
      <w:r>
        <w:rPr>
          <w:rFonts w:hint="eastAsia"/>
          <w:lang w:val="en-US" w:eastAsia="zh-CN"/>
        </w:rPr>
        <w:t>5</w:t>
      </w:r>
      <w:r>
        <w:rPr>
          <w:rFonts w:hint="eastAsia"/>
        </w:rPr>
        <w:t>-0</w:t>
      </w:r>
      <w:r>
        <w:rPr>
          <w:rFonts w:hint="eastAsia"/>
          <w:lang w:val="en-US" w:eastAsia="zh-CN"/>
        </w:rPr>
        <w:t>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5998"/>
      </w:tblGrid>
      <w:tr w14:paraId="42C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14:paraId="77375E09">
            <w:pPr>
              <w:jc w:val="center"/>
            </w:pPr>
            <w:r>
              <w:rPr>
                <w:rFonts w:hint="eastAsia"/>
              </w:rPr>
              <w:t>投资者关系活动</w:t>
            </w:r>
          </w:p>
          <w:p w14:paraId="1CF832CC">
            <w:pPr>
              <w:jc w:val="center"/>
            </w:pPr>
            <w:r>
              <w:rPr>
                <w:rFonts w:hint="eastAsia"/>
              </w:rPr>
              <w:t>类别</w:t>
            </w:r>
          </w:p>
        </w:tc>
        <w:tc>
          <w:tcPr>
            <w:tcW w:w="5998" w:type="dxa"/>
            <w:vAlign w:val="top"/>
          </w:tcPr>
          <w:p w14:paraId="1E6AC3F4">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lang w:val="en-US" w:eastAsia="zh-CN"/>
              </w:rPr>
              <w:t>☑</w:t>
            </w:r>
            <w:r>
              <w:rPr>
                <w:rFonts w:hint="eastAsia"/>
                <w:b w:val="0"/>
                <w:bCs w:val="0"/>
              </w:rPr>
              <w:t xml:space="preserve">特定对象调研 </w:t>
            </w:r>
            <w:r>
              <w:rPr>
                <w:b w:val="0"/>
                <w:bCs w:val="0"/>
              </w:rPr>
              <w:t xml:space="preserve">   </w:t>
            </w:r>
            <w:r>
              <w:rPr>
                <w:rFonts w:hint="eastAsia"/>
                <w:b w:val="0"/>
                <w:bCs w:val="0"/>
                <w:lang w:eastAsia="zh-CN"/>
              </w:rPr>
              <w:t>☑</w:t>
            </w:r>
            <w:r>
              <w:rPr>
                <w:rFonts w:hint="eastAsia"/>
                <w:b w:val="0"/>
                <w:bCs w:val="0"/>
              </w:rPr>
              <w:t>分析师会议</w:t>
            </w:r>
          </w:p>
          <w:p w14:paraId="10EE8CD9">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default"/>
                <w:b w:val="0"/>
                <w:bCs w:val="0"/>
                <w:lang w:val="en-US"/>
              </w:rPr>
              <w:t>□</w:t>
            </w:r>
            <w:r>
              <w:rPr>
                <w:rFonts w:hint="eastAsia"/>
                <w:b w:val="0"/>
                <w:bCs w:val="0"/>
              </w:rPr>
              <w:t xml:space="preserve">媒体采访 </w:t>
            </w:r>
            <w:r>
              <w:rPr>
                <w:b w:val="0"/>
                <w:bCs w:val="0"/>
              </w:rPr>
              <w:t xml:space="preserve">       </w:t>
            </w:r>
            <w:r>
              <w:rPr>
                <w:rFonts w:hint="eastAsia"/>
                <w:b w:val="0"/>
                <w:bCs w:val="0"/>
              </w:rPr>
              <w:t>□业绩说明会</w:t>
            </w:r>
          </w:p>
          <w:p w14:paraId="4DE26AEE">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rPr>
              <w:t xml:space="preserve">□新闻发布会 </w:t>
            </w:r>
            <w:r>
              <w:rPr>
                <w:b w:val="0"/>
                <w:bCs w:val="0"/>
              </w:rPr>
              <w:t xml:space="preserve">     </w:t>
            </w:r>
            <w:r>
              <w:rPr>
                <w:rFonts w:hint="eastAsia"/>
                <w:b w:val="0"/>
                <w:bCs w:val="0"/>
                <w:lang w:eastAsia="zh-CN"/>
              </w:rPr>
              <w:t>□</w:t>
            </w:r>
            <w:r>
              <w:rPr>
                <w:rFonts w:hint="eastAsia"/>
                <w:b w:val="0"/>
                <w:bCs w:val="0"/>
              </w:rPr>
              <w:t>路演活动</w:t>
            </w:r>
          </w:p>
          <w:p w14:paraId="4B442AD2">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lang w:eastAsia="zh-CN"/>
              </w:rPr>
              <w:t>□</w:t>
            </w:r>
            <w:r>
              <w:rPr>
                <w:rFonts w:hint="eastAsia"/>
                <w:b w:val="0"/>
                <w:bCs w:val="0"/>
              </w:rPr>
              <w:t>现场参观</w:t>
            </w:r>
            <w:r>
              <w:rPr>
                <w:rFonts w:hint="eastAsia"/>
                <w:b w:val="0"/>
                <w:bCs w:val="0"/>
                <w:lang w:val="en-US" w:eastAsia="zh-CN"/>
              </w:rPr>
              <w:t xml:space="preserve">    □</w:t>
            </w:r>
            <w:r>
              <w:rPr>
                <w:rFonts w:hint="eastAsia"/>
                <w:b w:val="0"/>
                <w:bCs w:val="0"/>
              </w:rPr>
              <w:t>其他（</w:t>
            </w:r>
            <w:r>
              <w:rPr>
                <w:rFonts w:hint="eastAsia"/>
                <w:b w:val="0"/>
                <w:bCs w:val="0"/>
                <w:u w:val="thick"/>
              </w:rPr>
              <w:t>请文字说明其他活动内容</w:t>
            </w:r>
            <w:r>
              <w:rPr>
                <w:rFonts w:hint="eastAsia"/>
                <w:b w:val="0"/>
                <w:bCs w:val="0"/>
              </w:rPr>
              <w:t>）</w:t>
            </w:r>
          </w:p>
        </w:tc>
      </w:tr>
      <w:tr w14:paraId="3869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91" w:type="dxa"/>
            <w:vAlign w:val="center"/>
          </w:tcPr>
          <w:p w14:paraId="6E15A15F">
            <w:pPr>
              <w:jc w:val="center"/>
            </w:pPr>
            <w:r>
              <w:rPr>
                <w:rFonts w:hint="eastAsia"/>
              </w:rPr>
              <w:t>参与单位名称</w:t>
            </w:r>
          </w:p>
          <w:p w14:paraId="43A893A2">
            <w:pPr>
              <w:jc w:val="center"/>
            </w:pPr>
            <w:r>
              <w:rPr>
                <w:rFonts w:hint="eastAsia"/>
              </w:rPr>
              <w:t>（排名不分先后）</w:t>
            </w:r>
          </w:p>
        </w:tc>
        <w:tc>
          <w:tcPr>
            <w:tcW w:w="5998" w:type="dxa"/>
            <w:shd w:val="clear" w:color="auto" w:fill="auto"/>
            <w:vAlign w:val="center"/>
          </w:tcPr>
          <w:p w14:paraId="7E0806E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lang w:val="en-US" w:eastAsia="zh-CN"/>
              </w:rPr>
              <w:t>中信建投证券、华金证券、易方达基金、万家基金、泰康基金、金鹰基金、宏土创新基金、盘京投资、博海汇金资管、睿诚投资</w:t>
            </w:r>
          </w:p>
        </w:tc>
      </w:tr>
      <w:tr w14:paraId="3339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91" w:type="dxa"/>
            <w:vAlign w:val="center"/>
          </w:tcPr>
          <w:p w14:paraId="47EE7C87">
            <w:pPr>
              <w:jc w:val="center"/>
            </w:pPr>
            <w:r>
              <w:rPr>
                <w:rFonts w:hint="eastAsia"/>
              </w:rPr>
              <w:t>时间</w:t>
            </w:r>
          </w:p>
        </w:tc>
        <w:tc>
          <w:tcPr>
            <w:tcW w:w="5998" w:type="dxa"/>
            <w:shd w:val="clear" w:color="auto" w:fill="auto"/>
            <w:vAlign w:val="center"/>
          </w:tcPr>
          <w:p w14:paraId="38725E1D">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rPr>
              <w:t>202</w:t>
            </w:r>
            <w:r>
              <w:rPr>
                <w:rFonts w:hint="eastAsia"/>
                <w:b w:val="0"/>
                <w:bCs w:val="0"/>
                <w:lang w:val="en-US" w:eastAsia="zh-CN"/>
              </w:rPr>
              <w:t>5</w:t>
            </w:r>
            <w:r>
              <w:rPr>
                <w:rFonts w:hint="eastAsia"/>
                <w:b w:val="0"/>
                <w:bCs w:val="0"/>
              </w:rPr>
              <w:t>年</w:t>
            </w:r>
            <w:r>
              <w:rPr>
                <w:rFonts w:hint="eastAsia"/>
                <w:b w:val="0"/>
                <w:bCs w:val="0"/>
                <w:lang w:val="en-US" w:eastAsia="zh-CN"/>
              </w:rPr>
              <w:t>5</w:t>
            </w:r>
            <w:r>
              <w:rPr>
                <w:rFonts w:hint="eastAsia"/>
                <w:b w:val="0"/>
                <w:bCs w:val="0"/>
              </w:rPr>
              <w:t>月</w:t>
            </w:r>
            <w:r>
              <w:rPr>
                <w:rFonts w:hint="eastAsia"/>
                <w:b w:val="0"/>
                <w:bCs w:val="0"/>
                <w:lang w:val="en-US" w:eastAsia="zh-CN"/>
              </w:rPr>
              <w:t>7日至5月8日</w:t>
            </w:r>
          </w:p>
        </w:tc>
      </w:tr>
      <w:tr w14:paraId="4A4E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vAlign w:val="center"/>
          </w:tcPr>
          <w:p w14:paraId="6029F018">
            <w:pPr>
              <w:jc w:val="center"/>
            </w:pPr>
            <w:r>
              <w:rPr>
                <w:rFonts w:hint="eastAsia"/>
              </w:rPr>
              <w:t>上市公司接待人员</w:t>
            </w:r>
          </w:p>
          <w:p w14:paraId="2FE57A4C">
            <w:pPr>
              <w:jc w:val="center"/>
            </w:pPr>
            <w:r>
              <w:rPr>
                <w:rFonts w:hint="eastAsia"/>
              </w:rPr>
              <w:t>姓名</w:t>
            </w:r>
          </w:p>
        </w:tc>
        <w:tc>
          <w:tcPr>
            <w:tcW w:w="5998" w:type="dxa"/>
            <w:shd w:val="clear" w:color="auto" w:fill="auto"/>
            <w:vAlign w:val="top"/>
          </w:tcPr>
          <w:p w14:paraId="2A848C67">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default" w:eastAsia="宋体"/>
                <w:b w:val="0"/>
                <w:bCs w:val="0"/>
                <w:lang w:val="en-US" w:eastAsia="zh-CN"/>
              </w:rPr>
            </w:pPr>
            <w:r>
              <w:rPr>
                <w:rFonts w:hint="eastAsia"/>
                <w:b w:val="0"/>
                <w:bCs w:val="0"/>
                <w:lang w:val="en-US" w:eastAsia="zh-CN"/>
              </w:rPr>
              <w:t>董事长/总经理：谢东</w:t>
            </w:r>
          </w:p>
          <w:p w14:paraId="49689779">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eastAsia"/>
                <w:b w:val="0"/>
                <w:bCs w:val="0"/>
              </w:rPr>
            </w:pPr>
            <w:r>
              <w:rPr>
                <w:rFonts w:hint="eastAsia"/>
                <w:b w:val="0"/>
                <w:bCs w:val="0"/>
              </w:rPr>
              <w:t>董事/副总/董秘：张艳萍</w:t>
            </w:r>
          </w:p>
          <w:p w14:paraId="701DF09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lang w:val="en-US" w:eastAsia="zh-CN"/>
              </w:rPr>
              <w:t>投关总监：潘文韬</w:t>
            </w:r>
          </w:p>
        </w:tc>
      </w:tr>
      <w:tr w14:paraId="5232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2191" w:type="dxa"/>
            <w:vAlign w:val="center"/>
          </w:tcPr>
          <w:p w14:paraId="37A7996B">
            <w:pPr>
              <w:jc w:val="center"/>
            </w:pPr>
          </w:p>
          <w:p w14:paraId="630BB9DA">
            <w:pPr>
              <w:jc w:val="center"/>
            </w:pPr>
          </w:p>
          <w:p w14:paraId="528ADEED">
            <w:pPr>
              <w:jc w:val="center"/>
            </w:pPr>
          </w:p>
          <w:p w14:paraId="5ED20B69">
            <w:pPr>
              <w:jc w:val="center"/>
            </w:pPr>
            <w:r>
              <w:rPr>
                <w:rFonts w:hint="eastAsia"/>
              </w:rPr>
              <w:t>投资者关系活动主要内容介绍</w:t>
            </w:r>
          </w:p>
        </w:tc>
        <w:tc>
          <w:tcPr>
            <w:tcW w:w="5998" w:type="dxa"/>
            <w:shd w:val="clear" w:color="auto" w:fill="auto"/>
            <w:vAlign w:val="top"/>
          </w:tcPr>
          <w:p w14:paraId="31A7991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14:textFill>
                  <w14:solidFill>
                    <w14:schemeClr w14:val="tx1"/>
                  </w14:solidFill>
                </w14:textFill>
              </w:rPr>
              <w:t>Q：公司</w:t>
            </w:r>
            <w:r>
              <w:rPr>
                <w:rFonts w:hint="eastAsia"/>
                <w:b w:val="0"/>
                <w:bCs w:val="0"/>
                <w:color w:val="000000" w:themeColor="text1"/>
                <w:lang w:val="en-US" w:eastAsia="zh-CN"/>
                <w14:textFill>
                  <w14:solidFill>
                    <w14:schemeClr w14:val="tx1"/>
                  </w14:solidFill>
                </w14:textFill>
              </w:rPr>
              <w:t>电网数智感知业务的优势与市场展望</w:t>
            </w:r>
          </w:p>
          <w:p w14:paraId="2C3F8C4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A：公司紧密结合电网数字化、网络化、智能化的发展趋势，已经形成了覆盖“输电、变电、配电”全链路及“高压、超高压、特高压”全电压等级的数十种系列产品，是行业内少数具备物联网感知层、网络层、平台层、应用层设备及系统研发能力的领军企业。</w:t>
            </w:r>
          </w:p>
          <w:p w14:paraId="378218A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国家能源局2024年11月出台的《国家能源局关于加强电力安全治理 以高水平安全保障新型电力系统高质量发展的意见》（国能发安全〔2024〕90号）是我国从国家层面首次专门就全方位加强电力系统运行安全治理出台的政策文件，该《意见》针对性地提出：“深化电力监控系统安全防护能力。建立健全电力监控系统网络安全监测预警机制，丰富监测采集手段，扩展监测覆盖范围，进一步提高网络安全态势感知水</w:t>
            </w:r>
            <w:bookmarkStart w:id="0" w:name="_GoBack"/>
            <w:bookmarkEnd w:id="0"/>
            <w:r>
              <w:rPr>
                <w:rFonts w:hint="eastAsia"/>
                <w:b w:val="0"/>
                <w:bCs w:val="0"/>
                <w:color w:val="000000" w:themeColor="text1"/>
                <w:lang w:val="en-US" w:eastAsia="zh-CN"/>
                <w14:textFill>
                  <w14:solidFill>
                    <w14:schemeClr w14:val="tx1"/>
                  </w14:solidFill>
                </w14:textFill>
              </w:rPr>
              <w:t>平和应急处置能力。”</w:t>
            </w:r>
          </w:p>
          <w:p w14:paraId="3BAFC83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为此，公司根据行业发展与用户需求不断研发电网数智感知设备的新技术新产品，目前公司已有10个产品经权威机构鉴定为国际领先水平。</w:t>
            </w: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其中自主研发的激光声谱乙炔快速检测装置，首次实现了油中痕量乙炔的高灵敏、分钟级快速检测，3分钟内分析</w:t>
            </w:r>
            <w:r>
              <w:rPr>
                <w:rFonts w:hint="eastAsia" w:cs="宋体"/>
                <w:b w:val="0"/>
                <w:bCs w:val="0"/>
                <w:color w:val="000000" w:themeColor="text1"/>
                <w:sz w:val="24"/>
                <w:szCs w:val="24"/>
                <w:lang w:val="en-US" w:eastAsia="zh-CN" w:bidi="ar-SA"/>
                <w14:textFill>
                  <w14:solidFill>
                    <w14:schemeClr w14:val="tx1"/>
                  </w14:solidFill>
                </w14:textFill>
              </w:rPr>
              <w:t>诊断出</w:t>
            </w: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检测结果</w:t>
            </w:r>
            <w:r>
              <w:rPr>
                <w:rFonts w:hint="eastAsia" w:cs="宋体"/>
                <w:b w:val="0"/>
                <w:bCs w:val="0"/>
                <w:color w:val="000000" w:themeColor="text1"/>
                <w:sz w:val="24"/>
                <w:szCs w:val="24"/>
                <w:lang w:val="en-US" w:eastAsia="zh-CN" w:bidi="ar-SA"/>
                <w14:textFill>
                  <w14:solidFill>
                    <w14:schemeClr w14:val="tx1"/>
                  </w14:solidFill>
                </w14:textFill>
              </w:rPr>
              <w:t>，解决了</w:t>
            </w: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超/特高压油浸式电力设备运行风险早期分钟级预警的关键技术难题，目前已在电网变压器状态监测中规模化部署，助力电力设备监测向“主动安全”模式转型提升。</w:t>
            </w:r>
          </w:p>
          <w:p w14:paraId="3541367B">
            <w:pPr>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b w:val="0"/>
                <w:bCs w:val="0"/>
                <w:color w:val="000000" w:themeColor="text1"/>
                <w:szCs w:val="21"/>
                <w14:textFill>
                  <w14:solidFill>
                    <w14:schemeClr w14:val="tx1"/>
                  </w14:solidFill>
                </w14:textFill>
              </w:rPr>
            </w:pPr>
            <w:r>
              <w:rPr>
                <w:rFonts w:hint="eastAsia"/>
                <w:b w:val="0"/>
                <w:bCs w:val="0"/>
                <w:color w:val="000000" w:themeColor="text1"/>
                <w:lang w:val="en-US" w:eastAsia="zh-CN"/>
                <w14:textFill>
                  <w14:solidFill>
                    <w14:schemeClr w14:val="tx1"/>
                  </w14:solidFill>
                </w14:textFill>
              </w:rPr>
              <w:t>不仅如此，公司还在不断拓展销售渠道和重点区域市场，</w:t>
            </w:r>
            <w:r>
              <w:rPr>
                <w:rFonts w:hint="eastAsia"/>
                <w:b w:val="0"/>
                <w:bCs w:val="0"/>
                <w:color w:val="000000" w:themeColor="text1"/>
                <w:szCs w:val="21"/>
                <w14:textFill>
                  <w14:solidFill>
                    <w14:schemeClr w14:val="tx1"/>
                  </w14:solidFill>
                </w14:textFill>
              </w:rPr>
              <w:t>为进一步扩大市场份额、做大做强奠定了坚实</w:t>
            </w:r>
            <w:r>
              <w:rPr>
                <w:rFonts w:hint="eastAsia"/>
                <w:b w:val="0"/>
                <w:bCs w:val="0"/>
                <w:color w:val="000000" w:themeColor="text1"/>
                <w:szCs w:val="21"/>
                <w:lang w:val="en-US" w:eastAsia="zh-CN"/>
                <w14:textFill>
                  <w14:solidFill>
                    <w14:schemeClr w14:val="tx1"/>
                  </w14:solidFill>
                </w14:textFill>
              </w:rPr>
              <w:t>的</w:t>
            </w:r>
            <w:r>
              <w:rPr>
                <w:rFonts w:hint="eastAsia"/>
                <w:b w:val="0"/>
                <w:bCs w:val="0"/>
                <w:color w:val="000000" w:themeColor="text1"/>
                <w:szCs w:val="21"/>
                <w14:textFill>
                  <w14:solidFill>
                    <w14:schemeClr w14:val="tx1"/>
                  </w14:solidFill>
                </w14:textFill>
              </w:rPr>
              <w:t>基础。</w:t>
            </w:r>
          </w:p>
          <w:p w14:paraId="1344AE0B">
            <w:pPr>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b w:val="0"/>
                <w:bCs w:val="0"/>
                <w:color w:val="000000" w:themeColor="text1"/>
                <w:szCs w:val="21"/>
                <w14:textFill>
                  <w14:solidFill>
                    <w14:schemeClr w14:val="tx1"/>
                  </w14:solidFill>
                </w14:textFill>
              </w:rPr>
            </w:pPr>
          </w:p>
          <w:p w14:paraId="6034428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14:textFill>
                  <w14:solidFill>
                    <w14:schemeClr w14:val="tx1"/>
                  </w14:solidFill>
                </w14:textFill>
              </w:rPr>
              <w:t>Q：公司</w:t>
            </w:r>
            <w:r>
              <w:rPr>
                <w:rFonts w:hint="eastAsia"/>
                <w:b w:val="0"/>
                <w:bCs w:val="0"/>
                <w:color w:val="000000" w:themeColor="text1"/>
                <w:lang w:val="en-US" w:eastAsia="zh-CN"/>
                <w14:textFill>
                  <w14:solidFill>
                    <w14:schemeClr w14:val="tx1"/>
                  </w14:solidFill>
                </w14:textFill>
              </w:rPr>
              <w:t>现阶段钙钛矿光伏业务的最新进展</w:t>
            </w:r>
          </w:p>
          <w:p w14:paraId="581AFB2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14:textFill>
                  <w14:solidFill>
                    <w14:schemeClr w14:val="tx1"/>
                  </w14:solidFill>
                </w14:textFill>
              </w:rPr>
              <w:t>A：</w:t>
            </w:r>
            <w:r>
              <w:rPr>
                <w:rFonts w:hint="eastAsia"/>
                <w:b w:val="0"/>
                <w:bCs w:val="0"/>
                <w:color w:val="000000" w:themeColor="text1"/>
                <w:lang w:val="en-US" w:eastAsia="zh-CN"/>
                <w14:textFill>
                  <w14:solidFill>
                    <w14:schemeClr w14:val="tx1"/>
                  </w14:solidFill>
                </w14:textFill>
              </w:rPr>
              <w:t>公司于近期成功签订杭州市钱塘区国产宽体客机零部件生产厂房分布式钙钛矿组件采购合同，安装面积约10万㎡，为公司钙钛矿组件首次实现MW级场景的商业化应用。公司生产制备的650mm*1200mm单结钙钛矿光伏刚性组件经全球权威检测机构TÜV认证效率为21.1%，达到行业先进水平。公司在钙钛矿组件的材料改进、制备方法、封装工艺、生产装备等方面已申请专利14项，其中6项发明专利和2项实用新型已获授权，另外6项发明专利已进入实质审查阶段。</w:t>
            </w:r>
          </w:p>
          <w:p w14:paraId="15AD2C00">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b w:val="0"/>
                <w:bCs w:val="0"/>
                <w:color w:val="000000" w:themeColor="text1"/>
                <w14:textFill>
                  <w14:solidFill>
                    <w14:schemeClr w14:val="tx1"/>
                  </w14:solidFill>
                </w14:textFill>
              </w:rPr>
            </w:pPr>
          </w:p>
          <w:p w14:paraId="007B6D5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14:textFill>
                  <w14:solidFill>
                    <w14:schemeClr w14:val="tx1"/>
                  </w14:solidFill>
                </w14:textFill>
              </w:rPr>
              <w:t>Q：公司六维力传感器</w:t>
            </w:r>
            <w:r>
              <w:rPr>
                <w:rFonts w:hint="eastAsia"/>
                <w:b w:val="0"/>
                <w:bCs w:val="0"/>
                <w:color w:val="000000" w:themeColor="text1"/>
                <w:lang w:val="en-US" w:eastAsia="zh-CN"/>
                <w14:textFill>
                  <w14:solidFill>
                    <w14:schemeClr w14:val="tx1"/>
                  </w14:solidFill>
                </w14:textFill>
              </w:rPr>
              <w:t>的研发背景与进展</w:t>
            </w:r>
          </w:p>
          <w:p w14:paraId="71CEB4B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A：公司主业电气智能感知设备主要是由智能传感器+数字化平台组成，已陆续开发了覆盖声、电、光、磁、热、气等数十种传感器，积累了丰富的传感器开发及应用经验，广泛用于高压、超高压、特高压的各类电气设备感知，其灵敏度和精度及其可靠性要求较高。公司凭借</w:t>
            </w:r>
            <w:r>
              <w:rPr>
                <w:rFonts w:hint="eastAsia"/>
                <w:b w:val="0"/>
                <w:bCs w:val="0"/>
                <w:color w:val="000000" w:themeColor="text1"/>
                <w:lang w:val="en-US" w:eastAsia="zh-CN"/>
                <w14:textFill>
                  <w14:solidFill>
                    <w14:schemeClr w14:val="tx1"/>
                  </w14:solidFill>
                </w14:textFill>
              </w:rPr>
              <w:t>十多年</w:t>
            </w:r>
            <w:r>
              <w:rPr>
                <w:rFonts w:hint="eastAsia"/>
                <w:b w:val="0"/>
                <w:bCs w:val="0"/>
                <w:color w:val="000000" w:themeColor="text1"/>
                <w14:textFill>
                  <w14:solidFill>
                    <w14:schemeClr w14:val="tx1"/>
                  </w14:solidFill>
                </w14:textFill>
              </w:rPr>
              <w:t>传感器</w:t>
            </w:r>
            <w:r>
              <w:rPr>
                <w:rFonts w:hint="eastAsia"/>
                <w:b w:val="0"/>
                <w:bCs w:val="0"/>
                <w:color w:val="000000" w:themeColor="text1"/>
                <w:lang w:val="en-US" w:eastAsia="zh-CN"/>
                <w14:textFill>
                  <w14:solidFill>
                    <w14:schemeClr w14:val="tx1"/>
                  </w14:solidFill>
                </w14:textFill>
              </w:rPr>
              <w:t>研发及应用</w:t>
            </w:r>
            <w:r>
              <w:rPr>
                <w:rFonts w:hint="eastAsia"/>
                <w:b w:val="0"/>
                <w:bCs w:val="0"/>
                <w:color w:val="000000" w:themeColor="text1"/>
                <w14:textFill>
                  <w14:solidFill>
                    <w14:schemeClr w14:val="tx1"/>
                  </w14:solidFill>
                </w14:textFill>
              </w:rPr>
              <w:t>的核心优势，在原有的力位传感器解耦算法、多维数据处理能力和微弱信号采集的基础上，增加了力学的感知部分。</w:t>
            </w:r>
          </w:p>
          <w:p w14:paraId="4317F16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Fonts w:hint="eastAsia"/>
                <w:b w:val="0"/>
                <w:bCs w:val="0"/>
                <w:color w:val="000000" w:themeColor="text1"/>
                <w:lang w:val="en-US" w:eastAsia="zh-CN"/>
                <w14:textFill>
                  <w14:solidFill>
                    <w14:schemeClr w14:val="tx1"/>
                  </w14:solidFill>
                </w14:textFill>
              </w:rPr>
              <w:t>公司此前针对六维力传感器产品进行了老化内测，测试结果符合设定预期，近期正积极推进下游某目标客户的适配送样，</w:t>
            </w: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预计在今年下半年会产生相应业务收入。</w:t>
            </w:r>
          </w:p>
          <w:p w14:paraId="72DFEEC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color w:val="000000" w:themeColor="text1"/>
                <w:sz w:val="24"/>
                <w:szCs w:val="24"/>
                <w:lang w:val="en-US" w:eastAsia="zh-CN" w:bidi="ar-SA"/>
                <w14:textFill>
                  <w14:solidFill>
                    <w14:schemeClr w14:val="tx1"/>
                  </w14:solidFill>
                </w14:textFill>
              </w:rPr>
            </w:pPr>
          </w:p>
          <w:p w14:paraId="6BA35829">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14:textFill>
                  <w14:solidFill>
                    <w14:schemeClr w14:val="tx1"/>
                  </w14:solidFill>
                </w14:textFill>
              </w:rPr>
              <w:t>Q：公司</w:t>
            </w:r>
            <w:r>
              <w:rPr>
                <w:rFonts w:hint="eastAsia"/>
                <w:b w:val="0"/>
                <w:bCs w:val="0"/>
                <w:color w:val="000000" w:themeColor="text1"/>
                <w:lang w:val="en-US" w:eastAsia="zh-CN"/>
                <w14:textFill>
                  <w14:solidFill>
                    <w14:schemeClr w14:val="tx1"/>
                  </w14:solidFill>
                </w14:textFill>
              </w:rPr>
              <w:t>对于机器人核心部件的布局思路</w:t>
            </w:r>
          </w:p>
          <w:p w14:paraId="7D7CF6D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14:textFill>
                  <w14:solidFill>
                    <w14:schemeClr w14:val="tx1"/>
                  </w14:solidFill>
                </w14:textFill>
              </w:rPr>
              <w:t>A：</w:t>
            </w:r>
            <w:r>
              <w:rPr>
                <w:rFonts w:hint="eastAsia"/>
                <w:b w:val="0"/>
                <w:bCs w:val="0"/>
                <w:color w:val="000000" w:themeColor="text1"/>
                <w:lang w:val="en-US" w:eastAsia="zh-CN"/>
                <w14:textFill>
                  <w14:solidFill>
                    <w14:schemeClr w14:val="tx1"/>
                  </w14:solidFill>
                </w14:textFill>
              </w:rPr>
              <w:t>六维力传感器的研发门槛极高，主要体现在材料与结构、多维解耦技术与微弱信号处理等方面，对此公司进行了全过程的自主研发。公司现已成功研制高精度、宽量程、响应速度极快的六维力传感器，突破了多维力信号解耦及小型化与高性能难以兼顾的难题。针对贴片和标定等生产环节，公司正进行自动化工艺的研发。</w:t>
            </w:r>
          </w:p>
          <w:p w14:paraId="07B33C6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b w:val="0"/>
                <w:bCs w:val="0"/>
                <w:sz w:val="24"/>
                <w:szCs w:val="24"/>
                <w:lang w:val="en-US" w:eastAsia="zh-CN" w:bidi="ar-SA"/>
              </w:rPr>
            </w:pPr>
            <w:r>
              <w:rPr>
                <w:rFonts w:hint="eastAsia"/>
                <w:b w:val="0"/>
                <w:bCs w:val="0"/>
                <w:color w:val="000000" w:themeColor="text1"/>
                <w:lang w:val="en-US" w:eastAsia="zh-CN"/>
                <w14:textFill>
                  <w14:solidFill>
                    <w14:schemeClr w14:val="tx1"/>
                  </w14:solidFill>
                </w14:textFill>
              </w:rPr>
              <w:t>人形机器人作为我国新质生产力发展的代表性产品，配套的相关核心部件产业未来有望随着人形机器人的规模化量产面临巨大的商业机遇。公司现阶段先以六维力传感器作为产品落脚点，适时推进技术延伸产品，不断丰富机器人相关核心部件的自有产品矩阵，做大人形机器人的单机价值量。</w:t>
            </w:r>
          </w:p>
        </w:tc>
      </w:tr>
      <w:tr w14:paraId="2F30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14:paraId="1DFAFDF0"/>
          <w:p w14:paraId="33D06E0F">
            <w:pPr>
              <w:jc w:val="center"/>
            </w:pPr>
            <w:r>
              <w:rPr>
                <w:rFonts w:hint="eastAsia"/>
              </w:rPr>
              <w:t>附件清单（如有）</w:t>
            </w:r>
          </w:p>
          <w:p w14:paraId="582DBA58"/>
        </w:tc>
        <w:tc>
          <w:tcPr>
            <w:tcW w:w="5998" w:type="dxa"/>
            <w:vAlign w:val="top"/>
          </w:tcPr>
          <w:p w14:paraId="1B6C673A">
            <w:pPr>
              <w:jc w:val="left"/>
              <w:rPr>
                <w:b w:val="0"/>
                <w:bCs w:val="0"/>
              </w:rPr>
            </w:pPr>
          </w:p>
          <w:p w14:paraId="5BB4C4C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eastAsia="宋体"/>
                <w:b w:val="0"/>
                <w:bCs w:val="0"/>
                <w:lang w:eastAsia="zh-CN"/>
              </w:rPr>
            </w:pPr>
            <w:r>
              <w:rPr>
                <w:rFonts w:hint="eastAsia"/>
                <w:b w:val="0"/>
                <w:bCs w:val="0"/>
              </w:rPr>
              <w:t>无</w:t>
            </w:r>
          </w:p>
        </w:tc>
      </w:tr>
    </w:tbl>
    <w:p w14:paraId="43964E6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00D61"/>
    <w:rsid w:val="09D31116"/>
    <w:rsid w:val="1D282E08"/>
    <w:rsid w:val="24874EB7"/>
    <w:rsid w:val="297F7151"/>
    <w:rsid w:val="3E8058ED"/>
    <w:rsid w:val="4E09538B"/>
    <w:rsid w:val="4ED00D61"/>
    <w:rsid w:val="5A0B696B"/>
    <w:rsid w:val="5FC123DD"/>
    <w:rsid w:val="6C36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宋体"/>
      <w:b/>
      <w:bCs/>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1709</Words>
  <Characters>1767</Characters>
  <Lines>0</Lines>
  <Paragraphs>0</Paragraphs>
  <TotalTime>2</TotalTime>
  <ScaleCrop>false</ScaleCrop>
  <LinksUpToDate>false</LinksUpToDate>
  <CharactersWithSpaces>1810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2025-02-28T09:13:00Z</dcterms:created>
  <dc:creator>梨呀</dc:creator>
  <cp:lastModifiedBy>梨呀</cp:lastModifiedBy>
  <dcterms:modified xsi:type="dcterms:W3CDTF">2025-05-08T10:40:36Z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78817F55F1484056A0E1B9FC414806A5_11</vt:lpwstr>
  </property>
  <property fmtid="{D5CDD505-2E9C-101B-9397-08002B2CF9AE}" pid="4" name="KSOTemplateDocerSaveRecord">
    <vt:lpwstr>eyJoZGlkIjoiOGI4NjI5OTBmMDM1ODFlMDkzNDFlZTFiMWNhZWU5ZTMiLCJ1c2VySWQiOiI4ODA1OTczODAifQ==</vt:lpwstr>
  </property>
</Properties>
</file>