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F496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val="en-US" w:bidi="ar-SA"/>
        </w:rPr>
        <w:t>证券代码：600331                               证券简称：宏达股份</w:t>
      </w:r>
    </w:p>
    <w:p w14:paraId="40F3CE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Times New Roman"/>
          <w:kern w:val="2"/>
          <w:sz w:val="36"/>
          <w:szCs w:val="36"/>
          <w:lang w:val="en-US" w:bidi="ar-SA"/>
        </w:rPr>
      </w:pPr>
      <w:r>
        <w:rPr>
          <w:rFonts w:hint="eastAsia" w:ascii="黑体" w:hAnsi="黑体" w:eastAsia="黑体" w:cs="Times New Roman"/>
          <w:kern w:val="2"/>
          <w:sz w:val="36"/>
          <w:szCs w:val="36"/>
          <w:lang w:val="en-US" w:bidi="ar-SA"/>
        </w:rPr>
        <w:t>四川宏达股份有限公司</w:t>
      </w:r>
    </w:p>
    <w:p w14:paraId="50E93F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Times New Roman"/>
          <w:kern w:val="2"/>
          <w:sz w:val="36"/>
          <w:szCs w:val="36"/>
          <w:lang w:val="en-US" w:bidi="ar-SA"/>
        </w:rPr>
      </w:pPr>
      <w:r>
        <w:rPr>
          <w:rFonts w:hint="eastAsia" w:ascii="黑体" w:hAnsi="黑体" w:eastAsia="黑体" w:cs="Times New Roman"/>
          <w:kern w:val="2"/>
          <w:sz w:val="36"/>
          <w:szCs w:val="36"/>
          <w:lang w:val="en-US" w:bidi="ar-SA"/>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0"/>
        <w:gridCol w:w="5945"/>
      </w:tblGrid>
      <w:tr w14:paraId="34601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1" w:hRule="atLeast"/>
          <w:jc w:val="center"/>
        </w:trPr>
        <w:tc>
          <w:tcPr>
            <w:tcW w:w="2580" w:type="dxa"/>
            <w:vAlign w:val="center"/>
          </w:tcPr>
          <w:p w14:paraId="4CBA16A2">
            <w:pPr>
              <w:pStyle w:val="12"/>
              <w:ind w:firstLine="0" w:firstLineChars="0"/>
              <w:jc w:val="center"/>
              <w:rPr>
                <w:rFonts w:hint="eastAsia" w:ascii="宋体" w:hAnsi="宋体" w:eastAsia="宋体" w:cs="宋体"/>
                <w:sz w:val="24"/>
                <w:szCs w:val="24"/>
              </w:rPr>
            </w:pPr>
            <w:r>
              <w:rPr>
                <w:rFonts w:hint="eastAsia" w:ascii="宋体" w:hAnsi="宋体" w:eastAsia="宋体" w:cs="宋体"/>
                <w:sz w:val="24"/>
                <w:szCs w:val="24"/>
              </w:rPr>
              <w:t>投资者关系活动类别</w:t>
            </w:r>
          </w:p>
        </w:tc>
        <w:tc>
          <w:tcPr>
            <w:tcW w:w="5945" w:type="dxa"/>
          </w:tcPr>
          <w:p w14:paraId="5099462E">
            <w:pPr>
              <w:pStyle w:val="12"/>
              <w:ind w:firstLine="129" w:firstLineChars="54"/>
              <w:rPr>
                <w:rFonts w:hint="eastAsia" w:ascii="宋体" w:hAnsi="宋体" w:eastAsia="宋体" w:cs="宋体"/>
                <w:sz w:val="24"/>
                <w:szCs w:val="24"/>
              </w:rPr>
            </w:pPr>
          </w:p>
          <w:p w14:paraId="3BFED5B5">
            <w:pPr>
              <w:pStyle w:val="12"/>
              <w:rPr>
                <w:rFonts w:hint="eastAsia" w:ascii="宋体" w:hAnsi="宋体" w:eastAsia="宋体" w:cs="宋体"/>
                <w:sz w:val="24"/>
                <w:szCs w:val="24"/>
              </w:rPr>
            </w:pPr>
            <w:sdt>
              <w:sdtPr>
                <w:rPr>
                  <w:rFonts w:hint="eastAsia" w:ascii="宋体" w:hAnsi="宋体" w:eastAsia="宋体" w:cs="宋体"/>
                  <w:sz w:val="24"/>
                  <w:szCs w:val="24"/>
                </w:rPr>
                <w:id w:val="249780449"/>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sz w:val="24"/>
                    <w:szCs w:val="24"/>
                    <w:lang w:val="zh-CN" w:eastAsia="zh-CN" w:bidi="zh-CN"/>
                  </w:rPr>
                  <w:t>☐</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67EC0231">
            <w:pPr>
              <w:pStyle w:val="12"/>
              <w:rPr>
                <w:rFonts w:hint="eastAsia"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sz w:val="24"/>
                    <w:szCs w:val="24"/>
                    <w:lang w:val="zh-CN" w:eastAsia="zh-CN" w:bidi="zh-CN"/>
                  </w:rPr>
                  <w:t>☐</w:t>
                </w:r>
              </w:sdtContent>
            </w:sdt>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23AA80F1">
            <w:pPr>
              <w:pStyle w:val="12"/>
              <w:rPr>
                <w:rFonts w:hint="eastAsia"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Wingdings 2" w:hAnsi="Wingdings 2" w:eastAsia="宋体" w:cs="宋体"/>
                    <w:sz w:val="24"/>
                    <w:szCs w:val="24"/>
                    <w:lang w:val="zh-CN" w:eastAsia="zh-CN" w:bidi="zh-CN"/>
                  </w:rPr>
                  <w:t>R</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1DCDFBB6">
            <w:pPr>
              <w:pStyle w:val="12"/>
              <w:rPr>
                <w:rFonts w:hint="eastAsia"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现场参观</w:t>
            </w:r>
          </w:p>
          <w:p w14:paraId="628956D6">
            <w:pPr>
              <w:pStyle w:val="12"/>
              <w:rPr>
                <w:rFonts w:hint="eastAsia" w:ascii="宋体" w:hAnsi="宋体" w:eastAsia="宋体" w:cs="宋体"/>
                <w:sz w:val="24"/>
                <w:szCs w:val="24"/>
              </w:rPr>
            </w:pPr>
            <w:sdt>
              <w:sdtPr>
                <w:rPr>
                  <w:rFonts w:hint="eastAsia" w:ascii="宋体" w:hAnsi="宋体" w:eastAsia="宋体" w:cs="宋体"/>
                  <w:sz w:val="24"/>
                  <w:szCs w:val="24"/>
                </w:rPr>
                <w:id w:val="400885218"/>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其他（请文字说明其他活动内容）</w:t>
            </w:r>
          </w:p>
        </w:tc>
      </w:tr>
      <w:tr w14:paraId="3A391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580" w:type="dxa"/>
            <w:vAlign w:val="center"/>
          </w:tcPr>
          <w:p w14:paraId="7A8AEAFD">
            <w:pPr>
              <w:pStyle w:val="12"/>
              <w:ind w:firstLine="0" w:firstLineChars="0"/>
              <w:jc w:val="center"/>
              <w:rPr>
                <w:rFonts w:hint="eastAsia" w:ascii="宋体" w:hAnsi="宋体" w:eastAsia="宋体" w:cs="宋体"/>
                <w:sz w:val="24"/>
                <w:szCs w:val="24"/>
                <w:lang w:val="en-US"/>
              </w:rPr>
            </w:pPr>
            <w:r>
              <w:rPr>
                <w:rFonts w:hint="eastAsia" w:ascii="宋体" w:hAnsi="宋体" w:eastAsia="宋体" w:cs="宋体"/>
                <w:sz w:val="24"/>
                <w:szCs w:val="24"/>
                <w:lang w:val="en-US"/>
              </w:rPr>
              <w:t>形式</w:t>
            </w:r>
          </w:p>
        </w:tc>
        <w:tc>
          <w:tcPr>
            <w:tcW w:w="5945" w:type="dxa"/>
          </w:tcPr>
          <w:p w14:paraId="5324F9E7">
            <w:pPr>
              <w:pStyle w:val="12"/>
              <w:rPr>
                <w:rFonts w:hint="eastAsia" w:ascii="宋体" w:hAnsi="宋体" w:eastAsia="宋体" w:cs="宋体"/>
                <w:sz w:val="24"/>
                <w:szCs w:val="24"/>
                <w:lang w:val="en-US"/>
              </w:rPr>
            </w:pPr>
            <w:sdt>
              <w:sdtPr>
                <w:rPr>
                  <w:rFonts w:hint="eastAsia" w:ascii="宋体" w:hAnsi="宋体" w:eastAsia="宋体" w:cs="宋体"/>
                  <w:sz w:val="24"/>
                  <w:szCs w:val="24"/>
                </w:rPr>
                <w:id w:val="201993987"/>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Wingdings 2" w:hAnsi="Wingdings 2" w:eastAsia="宋体" w:cs="宋体"/>
                    <w:sz w:val="24"/>
                    <w:szCs w:val="24"/>
                    <w:lang w:val="zh-CN" w:eastAsia="zh-CN" w:bidi="zh-CN"/>
                  </w:rPr>
                  <w:t>R</w:t>
                </w:r>
              </w:sdtContent>
            </w:sdt>
            <w:r>
              <w:rPr>
                <w:rFonts w:hint="eastAsia" w:ascii="宋体" w:hAnsi="宋体" w:eastAsia="宋体" w:cs="宋体"/>
                <w:sz w:val="24"/>
                <w:szCs w:val="24"/>
                <w:lang w:val="en-US"/>
              </w:rPr>
              <w:t xml:space="preserve">现场     </w:t>
            </w:r>
            <w:sdt>
              <w:sdtPr>
                <w:rPr>
                  <w:rFonts w:hint="eastAsia" w:ascii="宋体" w:hAnsi="宋体" w:eastAsia="宋体" w:cs="宋体"/>
                  <w:sz w:val="24"/>
                  <w:szCs w:val="24"/>
                </w:rPr>
                <w:id w:val="-190289641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lang w:val="zh-CN" w:eastAsia="zh-CN" w:bidi="zh-CN"/>
                  </w:rPr>
                  <w:t>☐</w:t>
                </w:r>
              </w:sdtContent>
            </w:sdt>
            <w:r>
              <w:rPr>
                <w:rFonts w:hint="eastAsia" w:ascii="宋体" w:hAnsi="宋体" w:eastAsia="宋体" w:cs="宋体"/>
                <w:sz w:val="24"/>
                <w:szCs w:val="24"/>
                <w:lang w:val="en-US"/>
              </w:rPr>
              <w:t xml:space="preserve">网上    </w:t>
            </w:r>
            <w:sdt>
              <w:sdtPr>
                <w:rPr>
                  <w:rFonts w:hint="eastAsia" w:ascii="宋体" w:hAnsi="宋体" w:eastAsia="宋体" w:cs="宋体"/>
                  <w:sz w:val="24"/>
                  <w:szCs w:val="24"/>
                </w:rPr>
                <w:id w:val="1076561798"/>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lang w:val="en-US"/>
              </w:rPr>
              <w:t>电话会议</w:t>
            </w:r>
          </w:p>
        </w:tc>
      </w:tr>
      <w:tr w14:paraId="3B308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2580" w:type="dxa"/>
            <w:vAlign w:val="center"/>
          </w:tcPr>
          <w:p w14:paraId="15A82484">
            <w:pPr>
              <w:pStyle w:val="12"/>
              <w:ind w:firstLine="0" w:firstLineChars="0"/>
              <w:jc w:val="center"/>
              <w:rPr>
                <w:rFonts w:hint="eastAsia" w:ascii="宋体" w:hAnsi="宋体" w:eastAsia="宋体" w:cs="宋体"/>
                <w:sz w:val="24"/>
                <w:szCs w:val="24"/>
              </w:rPr>
            </w:pPr>
            <w:r>
              <w:rPr>
                <w:rFonts w:hint="eastAsia" w:ascii="宋体" w:hAnsi="宋体" w:eastAsia="宋体" w:cs="宋体"/>
                <w:sz w:val="24"/>
                <w:szCs w:val="24"/>
              </w:rPr>
              <w:t>参与单位名称</w:t>
            </w:r>
          </w:p>
        </w:tc>
        <w:tc>
          <w:tcPr>
            <w:tcW w:w="5945" w:type="dxa"/>
            <w:vAlign w:val="center"/>
          </w:tcPr>
          <w:p w14:paraId="21888B29">
            <w:pPr>
              <w:pStyle w:val="12"/>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华商基金、国寿安保、华夏基金、工银瑞信、嘉实基金、泰康资产、国寿资产、兴全基金、富国基金、博时基金、中欧基金、汇添富基金</w:t>
            </w:r>
          </w:p>
        </w:tc>
      </w:tr>
      <w:tr w14:paraId="783D5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580" w:type="dxa"/>
            <w:vAlign w:val="center"/>
          </w:tcPr>
          <w:p w14:paraId="069D1E83">
            <w:pPr>
              <w:pStyle w:val="12"/>
              <w:ind w:firstLine="0" w:firstLineChars="0"/>
              <w:jc w:val="center"/>
              <w:rPr>
                <w:rFonts w:hint="eastAsia" w:ascii="宋体" w:hAnsi="宋体" w:eastAsia="宋体" w:cs="宋体"/>
                <w:sz w:val="24"/>
                <w:szCs w:val="24"/>
              </w:rPr>
            </w:pPr>
            <w:r>
              <w:rPr>
                <w:rFonts w:hint="eastAsia" w:ascii="宋体" w:hAnsi="宋体" w:eastAsia="宋体" w:cs="宋体"/>
                <w:sz w:val="24"/>
                <w:szCs w:val="24"/>
              </w:rPr>
              <w:t>时间</w:t>
            </w:r>
          </w:p>
        </w:tc>
        <w:tc>
          <w:tcPr>
            <w:tcW w:w="5945" w:type="dxa"/>
            <w:vAlign w:val="center"/>
          </w:tcPr>
          <w:p w14:paraId="6B84A224">
            <w:pPr>
              <w:ind w:firstLine="0" w:firstLineChars="0"/>
              <w:rPr>
                <w:rFonts w:hint="eastAsia" w:ascii="宋体" w:hAnsi="宋体" w:eastAsia="宋体" w:cs="宋体"/>
                <w:sz w:val="24"/>
                <w:szCs w:val="24"/>
                <w:lang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p>
        </w:tc>
      </w:tr>
      <w:tr w14:paraId="36A67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580" w:type="dxa"/>
            <w:vAlign w:val="center"/>
          </w:tcPr>
          <w:p w14:paraId="18EE5038">
            <w:pPr>
              <w:pStyle w:val="12"/>
              <w:ind w:firstLine="0" w:firstLineChars="0"/>
              <w:jc w:val="center"/>
              <w:rPr>
                <w:rFonts w:hint="eastAsia" w:ascii="宋体" w:hAnsi="宋体" w:eastAsia="宋体" w:cs="宋体"/>
                <w:sz w:val="24"/>
                <w:szCs w:val="24"/>
              </w:rPr>
            </w:pPr>
            <w:r>
              <w:rPr>
                <w:rFonts w:hint="eastAsia" w:ascii="宋体" w:hAnsi="宋体" w:eastAsia="宋体" w:cs="宋体"/>
                <w:sz w:val="24"/>
                <w:szCs w:val="24"/>
              </w:rPr>
              <w:t>地点</w:t>
            </w:r>
          </w:p>
        </w:tc>
        <w:tc>
          <w:tcPr>
            <w:tcW w:w="5945" w:type="dxa"/>
            <w:vAlign w:val="center"/>
          </w:tcPr>
          <w:p w14:paraId="5770E4FA">
            <w:pPr>
              <w:pStyle w:val="12"/>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基金公司</w:t>
            </w:r>
          </w:p>
        </w:tc>
      </w:tr>
      <w:tr w14:paraId="513F8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580" w:type="dxa"/>
            <w:vAlign w:val="center"/>
          </w:tcPr>
          <w:p w14:paraId="089C7C47">
            <w:pPr>
              <w:pStyle w:val="12"/>
              <w:ind w:firstLine="0" w:firstLineChars="0"/>
              <w:jc w:val="center"/>
              <w:rPr>
                <w:rFonts w:hint="eastAsia" w:ascii="宋体" w:hAnsi="宋体" w:eastAsia="宋体" w:cs="宋体"/>
                <w:sz w:val="24"/>
                <w:szCs w:val="24"/>
              </w:rPr>
            </w:pPr>
            <w:r>
              <w:rPr>
                <w:rFonts w:hint="eastAsia" w:ascii="宋体" w:hAnsi="宋体" w:eastAsia="宋体" w:cs="宋体"/>
                <w:sz w:val="24"/>
                <w:szCs w:val="24"/>
              </w:rPr>
              <w:t>上市公司接待人员姓名</w:t>
            </w:r>
          </w:p>
        </w:tc>
        <w:tc>
          <w:tcPr>
            <w:tcW w:w="5945" w:type="dxa"/>
            <w:vAlign w:val="center"/>
          </w:tcPr>
          <w:p w14:paraId="132E2C09">
            <w:pPr>
              <w:pStyle w:val="12"/>
              <w:ind w:firstLine="0" w:firstLineChars="0"/>
              <w:rPr>
                <w:rFonts w:hint="eastAsia" w:ascii="宋体" w:hAnsi="宋体" w:eastAsia="宋体" w:cs="宋体"/>
                <w:sz w:val="24"/>
                <w:szCs w:val="24"/>
              </w:rPr>
            </w:pPr>
            <w:r>
              <w:rPr>
                <w:rFonts w:hint="eastAsia" w:ascii="宋体" w:hAnsi="宋体" w:eastAsia="宋体" w:cs="宋体"/>
                <w:sz w:val="24"/>
                <w:szCs w:val="24"/>
              </w:rPr>
              <w:t>董事、常务副总经理兼财务总监 帅巍</w:t>
            </w:r>
          </w:p>
          <w:p w14:paraId="56D807C1">
            <w:pPr>
              <w:pStyle w:val="12"/>
              <w:ind w:firstLine="0" w:firstLineChars="0"/>
              <w:rPr>
                <w:rFonts w:hint="eastAsia" w:ascii="宋体" w:hAnsi="宋体" w:eastAsia="宋体" w:cs="宋体"/>
                <w:sz w:val="24"/>
                <w:szCs w:val="24"/>
              </w:rPr>
            </w:pPr>
            <w:r>
              <w:rPr>
                <w:rFonts w:hint="eastAsia" w:ascii="宋体" w:hAnsi="宋体" w:eastAsia="宋体" w:cs="宋体"/>
                <w:sz w:val="24"/>
                <w:szCs w:val="24"/>
              </w:rPr>
              <w:t>副总经理兼董事会秘书 王延俊</w:t>
            </w:r>
          </w:p>
        </w:tc>
      </w:tr>
      <w:tr w14:paraId="3A629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jc w:val="center"/>
        </w:trPr>
        <w:tc>
          <w:tcPr>
            <w:tcW w:w="2580" w:type="dxa"/>
            <w:vAlign w:val="center"/>
          </w:tcPr>
          <w:p w14:paraId="522AFCC1">
            <w:pPr>
              <w:pStyle w:val="12"/>
              <w:ind w:firstLine="0" w:firstLineChars="0"/>
              <w:jc w:val="center"/>
              <w:rPr>
                <w:rFonts w:hint="eastAsia" w:ascii="宋体" w:hAnsi="宋体" w:eastAsia="宋体" w:cs="宋体"/>
                <w:sz w:val="24"/>
                <w:szCs w:val="24"/>
              </w:rPr>
            </w:pPr>
            <w:r>
              <w:rPr>
                <w:rFonts w:hint="eastAsia" w:ascii="宋体" w:hAnsi="宋体" w:eastAsia="宋体" w:cs="宋体"/>
                <w:sz w:val="24"/>
                <w:szCs w:val="24"/>
              </w:rPr>
              <w:t>交流内容及问答记录</w:t>
            </w:r>
          </w:p>
        </w:tc>
        <w:tc>
          <w:tcPr>
            <w:tcW w:w="5945" w:type="dxa"/>
          </w:tcPr>
          <w:p w14:paraId="3C6D83B4">
            <w:pPr>
              <w:numPr>
                <w:ilvl w:val="0"/>
                <w:numId w:val="0"/>
              </w:numPr>
              <w:ind w:firstLine="482" w:firstLineChars="200"/>
              <w:rPr>
                <w:rFonts w:hint="default" w:ascii="宋体" w:hAnsi="宋体" w:eastAsia="宋体" w:cs="宋体"/>
                <w:sz w:val="24"/>
                <w:szCs w:val="24"/>
                <w:lang w:val="en-US" w:eastAsia="zh-CN"/>
              </w:rPr>
            </w:pPr>
            <w:r>
              <w:rPr>
                <w:rFonts w:hint="eastAsia" w:cs="宋体"/>
                <w:b/>
                <w:bCs/>
                <w:sz w:val="24"/>
                <w:szCs w:val="24"/>
                <w:lang w:val="en-US" w:eastAsia="zh-CN"/>
              </w:rPr>
              <w:t>1、</w:t>
            </w:r>
            <w:r>
              <w:rPr>
                <w:rFonts w:hint="eastAsia" w:ascii="宋体" w:hAnsi="宋体" w:eastAsia="宋体" w:cs="宋体"/>
                <w:b/>
                <w:bCs/>
                <w:sz w:val="24"/>
                <w:szCs w:val="24"/>
                <w:lang w:val="en-US" w:eastAsia="zh-CN"/>
              </w:rPr>
              <w:t>公司主营业务生产经营情况</w:t>
            </w:r>
            <w:r>
              <w:rPr>
                <w:rFonts w:hint="eastAsia" w:cs="宋体"/>
                <w:b/>
                <w:bCs/>
                <w:sz w:val="24"/>
                <w:szCs w:val="24"/>
                <w:lang w:val="en-US" w:eastAsia="zh-CN"/>
              </w:rPr>
              <w:t>？</w:t>
            </w:r>
          </w:p>
          <w:p w14:paraId="2A5651F2">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答：公司凭借磷化工、有色金属锌冶炼、合成氨业务的深度融合，构建高效的资源循环利用体系与产业协同效应，实现了资源的最大化利用与成本的有效控制。</w:t>
            </w:r>
          </w:p>
          <w:p w14:paraId="454B318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磷化工方面，公司拥有磷酸盐系列产品产能42万吨/年，其中，工业级磷铵产能17万吨/年，普通磷铵产能25万吨/年；复合肥产能30万吨/年。受国外需求增加，价格上涨，磷酸一铵出口增加影响，近几年磷化工效益有所上升。公司磷酸盐产品“云顶”、“华云”和“生茂”牌具有较高的知名度及品牌价值，有着较强的品牌号召力。公司复合肥料和磷铵系列产品的品牌、产品质量和公司信誉均获得客户认可。公司工业级磷酸一铵产、销量位居国内同行业前列。</w:t>
            </w:r>
          </w:p>
          <w:p w14:paraId="241326AF">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色方面，公司本部现有电解锌生产能力10万吨/年，锌合金产能10万吨/年。公司从事锌冶炼超30年，“慈山牌”锌锭品牌分别在上海期货交易所和伦敦金属交易所注册、可直接交仓。有色方面最大的优势和特点是冶化结合，通过冶化结合构建锌冶炼→尾气→磷、硫→化工产品的循环经济产业链，生产磷酸盐系列产品、复合肥、锌锭等产品。近两年上游锌精矿紧缺、锌精矿扣减加工费低迷，公司在伴生有价金属的综合回收取得突破，是有色板块2024年度实现扭亏为盈的重要原因。</w:t>
            </w:r>
          </w:p>
          <w:p w14:paraId="4BDB3A9D">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合成氨方面，</w:t>
            </w:r>
            <w:r>
              <w:rPr>
                <w:rFonts w:hint="eastAsia" w:cs="宋体"/>
                <w:sz w:val="24"/>
                <w:szCs w:val="24"/>
                <w:lang w:val="en-US" w:eastAsia="zh-CN"/>
              </w:rPr>
              <w:t>公司控股子公司绵竹川润现有以天然气和空气为原料的合成氨生产装置一套，设计产能20万吨/年，为德阳地区的大型合成氨生产企业。</w:t>
            </w:r>
            <w:r>
              <w:rPr>
                <w:rFonts w:hint="eastAsia" w:ascii="宋体" w:hAnsi="宋体" w:eastAsia="宋体" w:cs="宋体"/>
                <w:sz w:val="24"/>
                <w:szCs w:val="24"/>
                <w:lang w:val="en-US" w:eastAsia="zh-CN"/>
              </w:rPr>
              <w:t>磷化工</w:t>
            </w:r>
            <w:r>
              <w:rPr>
                <w:rFonts w:hint="eastAsia" w:cs="宋体"/>
                <w:sz w:val="24"/>
                <w:szCs w:val="24"/>
                <w:lang w:val="en-US" w:eastAsia="zh-CN"/>
              </w:rPr>
              <w:t>分公司</w:t>
            </w:r>
            <w:r>
              <w:rPr>
                <w:rFonts w:hint="eastAsia" w:ascii="宋体" w:hAnsi="宋体" w:eastAsia="宋体" w:cs="宋体"/>
                <w:sz w:val="24"/>
                <w:szCs w:val="24"/>
                <w:lang w:val="en-US" w:eastAsia="zh-CN"/>
              </w:rPr>
              <w:t>生产磷铵所需的合成氨来自公司控股子公司绵竹川润以天然气为原料的合成氨装置；脱硫尾气所需的氨水也来源于绵竹川润，脱硫生产的硫酸铵则用于磷复肥，进一步提升了资源利用效率。</w:t>
            </w:r>
          </w:p>
          <w:p w14:paraId="70E4B80B">
            <w:pPr>
              <w:numPr>
                <w:ilvl w:val="0"/>
                <w:numId w:val="0"/>
              </w:num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2024年度，公司实现营业收入34.09亿元，较上年同期增加12.68%，归母净利润3,611.03万元，实现扭亏为盈。</w:t>
            </w:r>
          </w:p>
          <w:p w14:paraId="42AF9C82">
            <w:pPr>
              <w:numPr>
                <w:ilvl w:val="0"/>
                <w:numId w:val="0"/>
              </w:numPr>
              <w:ind w:firstLine="482" w:firstLineChars="200"/>
              <w:rPr>
                <w:rFonts w:hint="eastAsia" w:ascii="宋体" w:hAnsi="宋体" w:eastAsia="宋体" w:cs="宋体"/>
                <w:sz w:val="24"/>
                <w:szCs w:val="24"/>
                <w:lang w:val="en-US" w:eastAsia="zh-CN"/>
              </w:rPr>
            </w:pPr>
            <w:r>
              <w:rPr>
                <w:rFonts w:hint="eastAsia" w:cs="宋体"/>
                <w:b/>
                <w:bCs/>
                <w:sz w:val="24"/>
                <w:szCs w:val="24"/>
                <w:lang w:val="en-US" w:eastAsia="zh-CN"/>
              </w:rPr>
              <w:t>2、</w:t>
            </w:r>
            <w:r>
              <w:rPr>
                <w:rFonts w:hint="eastAsia" w:ascii="宋体" w:hAnsi="宋体" w:eastAsia="宋体" w:cs="宋体"/>
                <w:b/>
                <w:bCs/>
                <w:sz w:val="24"/>
                <w:szCs w:val="24"/>
                <w:lang w:val="en-US" w:eastAsia="zh-CN"/>
              </w:rPr>
              <w:t>公司未来发展战略？</w:t>
            </w:r>
          </w:p>
          <w:p w14:paraId="437D138F">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公司将绿色磷化工和有色金属采选冶一体化两大产业确定为核心主业。结合行业深入分析自身优劣，积极争取大股东的支持和赋能，围绕两大主业扬长补短，将按照“矿化一体、矿冶一体、冶化结合、产业耦合”的发展思路，不断增强核心竞争力，实现高质量发展。</w:t>
            </w:r>
          </w:p>
          <w:p w14:paraId="2AFD66F8">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绿色磷化工产业方面，公司将在维护当前磷矿供应渠道的基础上，积极走出去，寻求优质磷矿山的并购或合作，拓宽磷矿的稳定供应渠道。其次，在巩固当前四川、云南、新疆等优势市场基础上，努力开拓华中、华北以及海外等新市场。最后，将积极协调争取大股东的支持，拓展磷石膏消纳途径，解决制约发展的瓶颈问题。</w:t>
            </w:r>
          </w:p>
          <w:p w14:paraId="6C4AFFE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色金属采选冶一体化产业方面，公司将立足现实，根据产品市场和生产组织的具体情况，继续稳妥对现有产线实施技术改造升级，挖掘生产经营最大潜能，为有色产业发展培养人才。同时，将在原料端发力，以现有锌精矿供应渠道为基础，积极寻求优质铅锌矿的并购或合作，拓宽原料的稳定供应渠道。</w:t>
            </w:r>
          </w:p>
          <w:p w14:paraId="2C739242">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西藏多龙铜矿规模大，资源禀赋好，是中国为数不多的待开发的超大规模铜金矿山，项目的开发对于保障国家资源安全具有重要意义。公司将积极协调推进参股的多龙铜矿项目的“探转采”和开发建设工作，力争早日将优质资源转化为现实效益。此外，公司还将积极拓展矿产资源储备，在铜、金等矿种方面加大资源获取力度，夯实产业发展底座。</w:t>
            </w:r>
          </w:p>
          <w:p w14:paraId="3AC72E44">
            <w:pPr>
              <w:numPr>
                <w:ilvl w:val="0"/>
                <w:numId w:val="0"/>
              </w:numPr>
              <w:ind w:firstLine="482" w:firstLineChars="200"/>
              <w:rPr>
                <w:rFonts w:hint="eastAsia" w:ascii="宋体" w:hAnsi="宋体" w:eastAsia="宋体" w:cs="宋体"/>
                <w:b/>
                <w:bCs/>
                <w:sz w:val="24"/>
                <w:szCs w:val="24"/>
                <w:lang w:val="en-US" w:eastAsia="zh-CN"/>
              </w:rPr>
            </w:pPr>
            <w:r>
              <w:rPr>
                <w:rFonts w:hint="eastAsia" w:cs="宋体"/>
                <w:b/>
                <w:bCs/>
                <w:sz w:val="24"/>
                <w:szCs w:val="24"/>
                <w:lang w:val="en-US" w:eastAsia="zh-CN"/>
              </w:rPr>
              <w:t>3、</w:t>
            </w:r>
            <w:r>
              <w:rPr>
                <w:rFonts w:hint="eastAsia" w:ascii="宋体" w:hAnsi="宋体" w:eastAsia="宋体" w:cs="宋体"/>
                <w:b/>
                <w:bCs/>
                <w:sz w:val="24"/>
                <w:szCs w:val="24"/>
                <w:lang w:val="en-US" w:eastAsia="zh-CN"/>
              </w:rPr>
              <w:t>蜀道集团未来对公司赋能主要体现在哪些方面？</w:t>
            </w:r>
          </w:p>
          <w:p w14:paraId="599773A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答：2024年9月蜀道集团成为公司控股股东后，将利用在资金、资源等方面的优势为公司赋能，实现产业协同。</w:t>
            </w:r>
          </w:p>
          <w:p w14:paraId="120D6F23">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解决公司负债和流动性问题，宏达股份拟向控股股东蜀道集团发行6.096亿股股票（含本数），蜀道集团以现金方式认购。本次发行拟募集资金总额为28.53亿元，在扣除相关发行费用后，拟用于公司偿还债务和补充流动资金。本次发行相关事项已经公司董事会、股东会审议通过，并取得了蜀道集团的批复同意。目前，本次发行正处于上交所审核阶段，尚需经上交所审核通过，并获得中国证监会作出同意注册的决定后方可实施。宏达股份将会同相关中介机构，争取尽快完成本次发行工作。</w:t>
            </w:r>
          </w:p>
          <w:p w14:paraId="2D1D09A6">
            <w:pPr>
              <w:numPr>
                <w:ilvl w:val="0"/>
                <w:numId w:val="0"/>
              </w:numPr>
              <w:ind w:firstLine="480" w:firstLineChars="200"/>
              <w:rPr>
                <w:rFonts w:ascii="Times New Roman" w:hAnsi="Times New Roman"/>
                <w:sz w:val="24"/>
                <w:szCs w:val="24"/>
              </w:rPr>
            </w:pPr>
            <w:r>
              <w:rPr>
                <w:rFonts w:ascii="Times New Roman" w:hAnsi="Times New Roman"/>
                <w:sz w:val="24"/>
                <w:szCs w:val="24"/>
              </w:rPr>
              <w:t>基于控股股东蜀道集团自有矿山的支持，公司已有较为稳定的磷矿石来源；同时，得益于控股股东完善的产业链和广阔的生态伙伴体系，公司所需硫磺、钾盐、氮肥等其他主要原料的供应渠道方面得到了拓展和稳固；下一步，公司将积极寻求优质矿山的并购或合作，以形成更好的“矿化一体”效应。</w:t>
            </w:r>
          </w:p>
          <w:p w14:paraId="45646091">
            <w:pPr>
              <w:numPr>
                <w:ilvl w:val="0"/>
                <w:numId w:val="0"/>
              </w:numPr>
              <w:ind w:firstLine="482" w:firstLineChars="200"/>
              <w:rPr>
                <w:rFonts w:hint="eastAsia" w:ascii="宋体" w:hAnsi="宋体" w:eastAsia="宋体" w:cs="宋体"/>
                <w:sz w:val="24"/>
                <w:szCs w:val="24"/>
                <w:lang w:val="en-US" w:eastAsia="zh-CN"/>
              </w:rPr>
            </w:pPr>
            <w:r>
              <w:rPr>
                <w:rFonts w:hint="eastAsia" w:cs="宋体"/>
                <w:b/>
                <w:bCs/>
                <w:sz w:val="24"/>
                <w:szCs w:val="24"/>
                <w:lang w:val="en-US" w:eastAsia="zh-CN"/>
              </w:rPr>
              <w:t>4、</w:t>
            </w:r>
            <w:r>
              <w:rPr>
                <w:rFonts w:hint="eastAsia" w:ascii="宋体" w:hAnsi="宋体" w:eastAsia="宋体" w:cs="宋体"/>
                <w:b/>
                <w:bCs/>
                <w:sz w:val="24"/>
                <w:szCs w:val="24"/>
                <w:lang w:val="en-US" w:eastAsia="zh-CN"/>
              </w:rPr>
              <w:t>西藏多龙矿目前的开发进度？</w:t>
            </w:r>
          </w:p>
          <w:p w14:paraId="3F038F99">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答：</w:t>
            </w:r>
            <w:r>
              <w:rPr>
                <w:rFonts w:hint="eastAsia" w:ascii="Times New Roman" w:hAnsi="Times New Roman"/>
                <w:sz w:val="24"/>
                <w:szCs w:val="24"/>
              </w:rPr>
              <w:t>公司参股公司多龙矿业现持有西藏阿里地区改则县多龙铜矿（由原多不杂铜矿和波龙铜矿整合为一个探矿权）和多不杂西铜矿两宗探矿权。</w:t>
            </w:r>
            <w:r>
              <w:rPr>
                <w:rFonts w:ascii="宋体" w:hAnsi="宋体" w:eastAsia="宋体" w:cs="宋体"/>
                <w:kern w:val="0"/>
                <w:sz w:val="24"/>
                <w:szCs w:val="24"/>
                <w:highlight w:val="none"/>
                <w:lang w:val="en-US" w:eastAsia="zh-CN" w:bidi="ar"/>
              </w:rPr>
              <w:t>多龙铜矿作为宏达股份</w:t>
            </w:r>
            <w:r>
              <w:rPr>
                <w:rFonts w:hint="eastAsia" w:ascii="宋体" w:hAnsi="宋体" w:eastAsia="宋体" w:cs="宋体"/>
                <w:kern w:val="0"/>
                <w:sz w:val="24"/>
                <w:szCs w:val="24"/>
                <w:highlight w:val="none"/>
                <w:lang w:val="en-US" w:eastAsia="zh-CN" w:bidi="ar"/>
              </w:rPr>
              <w:t>和宏达集团</w:t>
            </w:r>
            <w:r>
              <w:rPr>
                <w:rFonts w:ascii="宋体" w:hAnsi="宋体" w:eastAsia="宋体" w:cs="宋体"/>
                <w:kern w:val="0"/>
                <w:sz w:val="24"/>
                <w:szCs w:val="24"/>
                <w:highlight w:val="none"/>
                <w:lang w:val="en-US" w:eastAsia="zh-CN" w:bidi="ar"/>
              </w:rPr>
              <w:t>的重要核心资产。加快推动多龙铜矿开发，是推动蜀道集团转型创新发展、保障国家战略资源供应安全的有力抓手，也是深化川藏合作、共同推动区域协调发展的重要举措。</w:t>
            </w:r>
          </w:p>
          <w:p w14:paraId="42674DEC">
            <w:pPr>
              <w:spacing w:line="360" w:lineRule="auto"/>
              <w:ind w:firstLine="480" w:firstLineChars="200"/>
              <w:rPr>
                <w:rFonts w:hint="eastAsia" w:ascii="宋体" w:hAnsi="宋体" w:eastAsia="宋体" w:cs="宋体"/>
                <w:sz w:val="24"/>
                <w:szCs w:val="24"/>
                <w:lang w:val="en-US" w:eastAsia="zh-CN"/>
              </w:rPr>
            </w:pPr>
            <w:r>
              <w:rPr>
                <w:rFonts w:hint="eastAsia" w:ascii="Times New Roman" w:hAnsi="Times New Roman"/>
                <w:sz w:val="24"/>
                <w:szCs w:val="24"/>
              </w:rPr>
              <w:t>目前，正全力推动多龙铜矿的“探转采”工作，</w:t>
            </w:r>
            <w:bookmarkStart w:id="0" w:name="_GoBack"/>
            <w:bookmarkEnd w:id="0"/>
            <w:r>
              <w:rPr>
                <w:rFonts w:hint="eastAsia" w:ascii="Times New Roman" w:hAnsi="Times New Roman"/>
                <w:sz w:val="24"/>
                <w:szCs w:val="24"/>
              </w:rPr>
              <w:t>已完成《多龙铜矿勘探报告》、《多龙铜矿开发利用方案》及《矿山地质环境与土地复垦方案》等报告的评审及备案工作，采矿权取得的前置要件已办理完毕。多不杂西铜矿尚处于地质详查阶段。</w:t>
            </w:r>
          </w:p>
          <w:p w14:paraId="60A01FC5">
            <w:pPr>
              <w:numPr>
                <w:ilvl w:val="0"/>
                <w:numId w:val="0"/>
              </w:numPr>
              <w:ind w:firstLine="482" w:firstLineChars="200"/>
              <w:rPr>
                <w:rFonts w:hint="eastAsia" w:ascii="宋体" w:hAnsi="宋体" w:eastAsia="宋体" w:cs="宋体"/>
                <w:b/>
                <w:bCs/>
                <w:sz w:val="24"/>
                <w:szCs w:val="24"/>
                <w:lang w:val="en-US" w:eastAsia="zh-CN"/>
              </w:rPr>
            </w:pPr>
            <w:r>
              <w:rPr>
                <w:rFonts w:hint="eastAsia" w:cs="宋体"/>
                <w:b/>
                <w:bCs/>
                <w:sz w:val="24"/>
                <w:szCs w:val="24"/>
                <w:lang w:val="en-US" w:eastAsia="zh-CN"/>
              </w:rPr>
              <w:t>5、</w:t>
            </w:r>
            <w:r>
              <w:rPr>
                <w:rFonts w:hint="eastAsia" w:ascii="宋体" w:hAnsi="宋体" w:eastAsia="宋体" w:cs="宋体"/>
                <w:b/>
                <w:bCs/>
                <w:sz w:val="24"/>
                <w:szCs w:val="24"/>
                <w:lang w:val="en-US" w:eastAsia="zh-CN"/>
              </w:rPr>
              <w:t>金鼎锌业合同纠纷案进展情况？</w:t>
            </w:r>
          </w:p>
          <w:p w14:paraId="77D56ECC">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青羊区法院于2025年4月10日出具《结案通知书》，公司作为被执行人已履行完毕法律文书所确定的义务，金鼎锌业合同纠纷案已执行完毕。目前，因本案执行被查封、冻结的公司名下部分资产已解除查封、冻结。限制宏达股份经营发展的重大债务风险事项已得到彻底解决，未来不会再对公司损益和生产经营产生重大不利影响。在解决该重大债务风险后，公司将集中精力采取有效措施增强主营业务盈利能力和可持续发展能力，增强投资者回报。</w:t>
            </w:r>
          </w:p>
        </w:tc>
      </w:tr>
      <w:tr w14:paraId="6D621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580" w:type="dxa"/>
            <w:vAlign w:val="center"/>
          </w:tcPr>
          <w:p w14:paraId="79B89893">
            <w:pPr>
              <w:pStyle w:val="12"/>
              <w:ind w:firstLine="0" w:firstLineChars="0"/>
              <w:jc w:val="center"/>
              <w:rPr>
                <w:rFonts w:hint="eastAsia" w:ascii="宋体" w:hAnsi="宋体" w:eastAsia="宋体" w:cs="宋体"/>
                <w:sz w:val="24"/>
                <w:szCs w:val="24"/>
              </w:rPr>
            </w:pPr>
            <w:r>
              <w:rPr>
                <w:rFonts w:hint="eastAsia" w:ascii="宋体" w:hAnsi="宋体" w:eastAsia="宋体" w:cs="宋体"/>
                <w:sz w:val="24"/>
                <w:szCs w:val="24"/>
              </w:rPr>
              <w:t>附件清单（如有）</w:t>
            </w:r>
          </w:p>
        </w:tc>
        <w:tc>
          <w:tcPr>
            <w:tcW w:w="5945" w:type="dxa"/>
            <w:vAlign w:val="center"/>
          </w:tcPr>
          <w:p w14:paraId="73604BAB">
            <w:pPr>
              <w:pStyle w:val="12"/>
              <w:ind w:firstLine="0" w:firstLineChars="0"/>
              <w:rPr>
                <w:rFonts w:hint="eastAsia" w:ascii="宋体" w:hAnsi="宋体" w:eastAsia="宋体" w:cs="宋体"/>
                <w:sz w:val="24"/>
                <w:szCs w:val="24"/>
              </w:rPr>
            </w:pPr>
            <w:r>
              <w:rPr>
                <w:rFonts w:hint="eastAsia" w:ascii="宋体" w:hAnsi="宋体" w:eastAsia="宋体" w:cs="宋体"/>
                <w:sz w:val="24"/>
                <w:szCs w:val="24"/>
              </w:rPr>
              <w:t>无</w:t>
            </w:r>
          </w:p>
        </w:tc>
      </w:tr>
      <w:tr w14:paraId="60A6D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2580" w:type="dxa"/>
            <w:vAlign w:val="center"/>
          </w:tcPr>
          <w:p w14:paraId="2B84821F">
            <w:pPr>
              <w:pStyle w:val="12"/>
              <w:ind w:firstLine="0" w:firstLineChars="0"/>
              <w:jc w:val="center"/>
              <w:rPr>
                <w:rFonts w:hint="eastAsia" w:ascii="宋体" w:hAnsi="宋体" w:eastAsia="宋体" w:cs="宋体"/>
                <w:sz w:val="24"/>
                <w:szCs w:val="24"/>
              </w:rPr>
            </w:pPr>
            <w:r>
              <w:rPr>
                <w:rFonts w:hint="eastAsia" w:ascii="宋体" w:hAnsi="宋体" w:eastAsia="宋体" w:cs="宋体"/>
                <w:sz w:val="24"/>
                <w:szCs w:val="24"/>
              </w:rPr>
              <w:t>日期</w:t>
            </w:r>
          </w:p>
        </w:tc>
        <w:tc>
          <w:tcPr>
            <w:tcW w:w="5945" w:type="dxa"/>
            <w:vAlign w:val="center"/>
          </w:tcPr>
          <w:p w14:paraId="6170B8CE">
            <w:pPr>
              <w:pStyle w:val="12"/>
              <w:ind w:firstLine="0" w:firstLineChars="0"/>
              <w:rPr>
                <w:rFonts w:hint="default" w:ascii="宋体" w:hAnsi="宋体" w:eastAsia="宋体" w:cs="宋体"/>
                <w:sz w:val="24"/>
                <w:szCs w:val="24"/>
                <w:lang w:val="en-US"/>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4月</w:t>
            </w:r>
          </w:p>
        </w:tc>
      </w:tr>
    </w:tbl>
    <w:p w14:paraId="6F4180DF">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A2898">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AE741">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80B84">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F98C">
    <w:pPr>
      <w:pStyle w:val="7"/>
      <w:keepNext w:val="0"/>
      <w:keepLines w:val="0"/>
      <w:pageBreakBefore w:val="0"/>
      <w:widowControl w:val="0"/>
      <w:tabs>
        <w:tab w:val="clear" w:pos="4153"/>
      </w:tabs>
      <w:kinsoku/>
      <w:wordWrap/>
      <w:overflowPunct/>
      <w:topLinePunct w:val="0"/>
      <w:bidi w:val="0"/>
      <w:adjustRightInd/>
      <w:snapToGrid w:val="0"/>
      <w:spacing w:line="240" w:lineRule="auto"/>
      <w:jc w:val="right"/>
      <w:textAlignment w:val="auto"/>
    </w:pPr>
    <w:r>
      <w:rPr>
        <w:rFonts w:hint="eastAsia"/>
      </w:rPr>
      <w:t>四川宏达股份有限公司投资者关系活动记录表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2D596">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C47F4">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mMjljM2YxNWFkMTIyYTg0MGM5M2Y3YzhlM2RmMzYifQ=="/>
  </w:docVars>
  <w:rsids>
    <w:rsidRoot w:val="00301D32"/>
    <w:rsid w:val="00026CC3"/>
    <w:rsid w:val="00036089"/>
    <w:rsid w:val="00053CFA"/>
    <w:rsid w:val="000633EC"/>
    <w:rsid w:val="00063804"/>
    <w:rsid w:val="000665A2"/>
    <w:rsid w:val="00085115"/>
    <w:rsid w:val="000877AB"/>
    <w:rsid w:val="000B7C08"/>
    <w:rsid w:val="000D12CF"/>
    <w:rsid w:val="000D2D88"/>
    <w:rsid w:val="000E4B20"/>
    <w:rsid w:val="0011418F"/>
    <w:rsid w:val="0013655A"/>
    <w:rsid w:val="00172C24"/>
    <w:rsid w:val="00184270"/>
    <w:rsid w:val="001E59D1"/>
    <w:rsid w:val="001E5EA4"/>
    <w:rsid w:val="002042A7"/>
    <w:rsid w:val="00205911"/>
    <w:rsid w:val="002146AD"/>
    <w:rsid w:val="00275CB6"/>
    <w:rsid w:val="002800B5"/>
    <w:rsid w:val="00295252"/>
    <w:rsid w:val="00295B29"/>
    <w:rsid w:val="002C1427"/>
    <w:rsid w:val="002D4073"/>
    <w:rsid w:val="002E0C4E"/>
    <w:rsid w:val="002E7098"/>
    <w:rsid w:val="002F68F6"/>
    <w:rsid w:val="00301D32"/>
    <w:rsid w:val="00331C5A"/>
    <w:rsid w:val="00366FAD"/>
    <w:rsid w:val="00367B01"/>
    <w:rsid w:val="0037105B"/>
    <w:rsid w:val="003975BA"/>
    <w:rsid w:val="003A74E6"/>
    <w:rsid w:val="003B4AFF"/>
    <w:rsid w:val="003B73DD"/>
    <w:rsid w:val="003C3454"/>
    <w:rsid w:val="003D011C"/>
    <w:rsid w:val="004108C7"/>
    <w:rsid w:val="00412DC2"/>
    <w:rsid w:val="00440041"/>
    <w:rsid w:val="0044706E"/>
    <w:rsid w:val="00451268"/>
    <w:rsid w:val="004515AD"/>
    <w:rsid w:val="00451857"/>
    <w:rsid w:val="00453516"/>
    <w:rsid w:val="00457548"/>
    <w:rsid w:val="00470DB2"/>
    <w:rsid w:val="00471638"/>
    <w:rsid w:val="004925E7"/>
    <w:rsid w:val="00495B11"/>
    <w:rsid w:val="004F6FF3"/>
    <w:rsid w:val="00523124"/>
    <w:rsid w:val="00534833"/>
    <w:rsid w:val="0053646D"/>
    <w:rsid w:val="00571B49"/>
    <w:rsid w:val="005743AE"/>
    <w:rsid w:val="0059577A"/>
    <w:rsid w:val="005C2456"/>
    <w:rsid w:val="005C2D95"/>
    <w:rsid w:val="005D64CA"/>
    <w:rsid w:val="005E5717"/>
    <w:rsid w:val="005E6DB2"/>
    <w:rsid w:val="00612C89"/>
    <w:rsid w:val="0061433E"/>
    <w:rsid w:val="00622819"/>
    <w:rsid w:val="0062751D"/>
    <w:rsid w:val="00634F97"/>
    <w:rsid w:val="006354AA"/>
    <w:rsid w:val="00657CFF"/>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54510"/>
    <w:rsid w:val="00763586"/>
    <w:rsid w:val="00764128"/>
    <w:rsid w:val="007824B8"/>
    <w:rsid w:val="007910DD"/>
    <w:rsid w:val="007A3EC1"/>
    <w:rsid w:val="007B3368"/>
    <w:rsid w:val="007D0A69"/>
    <w:rsid w:val="007D4281"/>
    <w:rsid w:val="007D6DC4"/>
    <w:rsid w:val="007E57D0"/>
    <w:rsid w:val="007F67F6"/>
    <w:rsid w:val="00824FE6"/>
    <w:rsid w:val="00853463"/>
    <w:rsid w:val="00893F25"/>
    <w:rsid w:val="00895035"/>
    <w:rsid w:val="008A0AEA"/>
    <w:rsid w:val="008B2B14"/>
    <w:rsid w:val="008C6AED"/>
    <w:rsid w:val="008C7604"/>
    <w:rsid w:val="008E1B27"/>
    <w:rsid w:val="008E6192"/>
    <w:rsid w:val="00903379"/>
    <w:rsid w:val="00906975"/>
    <w:rsid w:val="00907D1B"/>
    <w:rsid w:val="00917F0B"/>
    <w:rsid w:val="00917F8B"/>
    <w:rsid w:val="00935B08"/>
    <w:rsid w:val="00960964"/>
    <w:rsid w:val="00965E4D"/>
    <w:rsid w:val="00973294"/>
    <w:rsid w:val="009B1D5C"/>
    <w:rsid w:val="009C2E31"/>
    <w:rsid w:val="009E1955"/>
    <w:rsid w:val="00A527AA"/>
    <w:rsid w:val="00A5684D"/>
    <w:rsid w:val="00A75C61"/>
    <w:rsid w:val="00A905A0"/>
    <w:rsid w:val="00A9601B"/>
    <w:rsid w:val="00AD100E"/>
    <w:rsid w:val="00AE1E36"/>
    <w:rsid w:val="00AF74AA"/>
    <w:rsid w:val="00B03C2F"/>
    <w:rsid w:val="00B15064"/>
    <w:rsid w:val="00B23549"/>
    <w:rsid w:val="00B340A3"/>
    <w:rsid w:val="00B410F5"/>
    <w:rsid w:val="00B6280C"/>
    <w:rsid w:val="00B671A4"/>
    <w:rsid w:val="00B72CD4"/>
    <w:rsid w:val="00B85B00"/>
    <w:rsid w:val="00BC0095"/>
    <w:rsid w:val="00BF132F"/>
    <w:rsid w:val="00C13878"/>
    <w:rsid w:val="00C22EC5"/>
    <w:rsid w:val="00C46FA3"/>
    <w:rsid w:val="00CA1705"/>
    <w:rsid w:val="00CE1A54"/>
    <w:rsid w:val="00CF5FB6"/>
    <w:rsid w:val="00D02518"/>
    <w:rsid w:val="00D17454"/>
    <w:rsid w:val="00D33FBC"/>
    <w:rsid w:val="00D561AF"/>
    <w:rsid w:val="00D66227"/>
    <w:rsid w:val="00D7535C"/>
    <w:rsid w:val="00D76302"/>
    <w:rsid w:val="00DA5CE2"/>
    <w:rsid w:val="00DE10E8"/>
    <w:rsid w:val="00E16FDA"/>
    <w:rsid w:val="00E35F58"/>
    <w:rsid w:val="00E45BD9"/>
    <w:rsid w:val="00E66FFC"/>
    <w:rsid w:val="00E759D6"/>
    <w:rsid w:val="00E84A8C"/>
    <w:rsid w:val="00E852FE"/>
    <w:rsid w:val="00E976DE"/>
    <w:rsid w:val="00EB226D"/>
    <w:rsid w:val="00EC0F83"/>
    <w:rsid w:val="00ED69ED"/>
    <w:rsid w:val="00EE3187"/>
    <w:rsid w:val="00EE6195"/>
    <w:rsid w:val="00EF499B"/>
    <w:rsid w:val="00F10A58"/>
    <w:rsid w:val="00F1489C"/>
    <w:rsid w:val="00F14977"/>
    <w:rsid w:val="00F51176"/>
    <w:rsid w:val="00F61984"/>
    <w:rsid w:val="00FA178F"/>
    <w:rsid w:val="00FB4A08"/>
    <w:rsid w:val="00FC0C2A"/>
    <w:rsid w:val="00FD7F8E"/>
    <w:rsid w:val="00FF11E4"/>
    <w:rsid w:val="022F1DCE"/>
    <w:rsid w:val="038A1AFE"/>
    <w:rsid w:val="04B072D4"/>
    <w:rsid w:val="05F575D4"/>
    <w:rsid w:val="064249C6"/>
    <w:rsid w:val="08641132"/>
    <w:rsid w:val="09186774"/>
    <w:rsid w:val="0945438F"/>
    <w:rsid w:val="0A71587A"/>
    <w:rsid w:val="0B44735E"/>
    <w:rsid w:val="0B792C38"/>
    <w:rsid w:val="0B79748A"/>
    <w:rsid w:val="0C28640C"/>
    <w:rsid w:val="0E90599A"/>
    <w:rsid w:val="0ED720CD"/>
    <w:rsid w:val="11281521"/>
    <w:rsid w:val="11B25FF5"/>
    <w:rsid w:val="12070CAE"/>
    <w:rsid w:val="120D4FD7"/>
    <w:rsid w:val="145F688C"/>
    <w:rsid w:val="15DD2205"/>
    <w:rsid w:val="17A67110"/>
    <w:rsid w:val="183277C9"/>
    <w:rsid w:val="185A699B"/>
    <w:rsid w:val="1864189B"/>
    <w:rsid w:val="18D73A7D"/>
    <w:rsid w:val="193335FB"/>
    <w:rsid w:val="19557370"/>
    <w:rsid w:val="199B03CB"/>
    <w:rsid w:val="1B1C1F38"/>
    <w:rsid w:val="1B8016FF"/>
    <w:rsid w:val="1BD06B6A"/>
    <w:rsid w:val="1F782BDE"/>
    <w:rsid w:val="22B22083"/>
    <w:rsid w:val="23317869"/>
    <w:rsid w:val="23EB3B50"/>
    <w:rsid w:val="25650CAE"/>
    <w:rsid w:val="26406598"/>
    <w:rsid w:val="28080056"/>
    <w:rsid w:val="28734C1A"/>
    <w:rsid w:val="28C72DDD"/>
    <w:rsid w:val="29EE0E64"/>
    <w:rsid w:val="2B2F07C6"/>
    <w:rsid w:val="2EF90F16"/>
    <w:rsid w:val="2F125C63"/>
    <w:rsid w:val="2F286F4A"/>
    <w:rsid w:val="2F7214C1"/>
    <w:rsid w:val="302C3D0A"/>
    <w:rsid w:val="303B78D5"/>
    <w:rsid w:val="309B292D"/>
    <w:rsid w:val="338B0FF4"/>
    <w:rsid w:val="33DE31BB"/>
    <w:rsid w:val="389C49C0"/>
    <w:rsid w:val="39BC78F4"/>
    <w:rsid w:val="3C373E57"/>
    <w:rsid w:val="3EF1250A"/>
    <w:rsid w:val="40567DB0"/>
    <w:rsid w:val="40FF5CD2"/>
    <w:rsid w:val="41566D3D"/>
    <w:rsid w:val="42C13ADC"/>
    <w:rsid w:val="42DB40B0"/>
    <w:rsid w:val="43B71B0A"/>
    <w:rsid w:val="44FA0589"/>
    <w:rsid w:val="45A663E3"/>
    <w:rsid w:val="469F09AF"/>
    <w:rsid w:val="4B756271"/>
    <w:rsid w:val="4C8E1CA8"/>
    <w:rsid w:val="4D6D36A4"/>
    <w:rsid w:val="510903EF"/>
    <w:rsid w:val="53F137F4"/>
    <w:rsid w:val="543A6906"/>
    <w:rsid w:val="56850CBB"/>
    <w:rsid w:val="5A666D76"/>
    <w:rsid w:val="5A8B3991"/>
    <w:rsid w:val="5B2253C2"/>
    <w:rsid w:val="5C7D1B60"/>
    <w:rsid w:val="603269D2"/>
    <w:rsid w:val="61A52BCA"/>
    <w:rsid w:val="65451FAE"/>
    <w:rsid w:val="67095496"/>
    <w:rsid w:val="67ED7463"/>
    <w:rsid w:val="681A546A"/>
    <w:rsid w:val="68CA77A4"/>
    <w:rsid w:val="69CB37D4"/>
    <w:rsid w:val="6A0D5B9B"/>
    <w:rsid w:val="6A3B23B1"/>
    <w:rsid w:val="6AEA32DC"/>
    <w:rsid w:val="6B160A7F"/>
    <w:rsid w:val="6CC24AB5"/>
    <w:rsid w:val="6D9271B2"/>
    <w:rsid w:val="6F134790"/>
    <w:rsid w:val="72446028"/>
    <w:rsid w:val="73076EC0"/>
    <w:rsid w:val="73BA34EB"/>
    <w:rsid w:val="74210CA6"/>
    <w:rsid w:val="748F0F7B"/>
    <w:rsid w:val="788C25F5"/>
    <w:rsid w:val="78F62113"/>
    <w:rsid w:val="79F72AA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line="360" w:lineRule="auto"/>
      <w:ind w:firstLine="420" w:firstLineChars="200"/>
    </w:pPr>
    <w:rPr>
      <w:rFonts w:ascii="宋体" w:hAnsi="宋体" w:eastAsia="宋体" w:cs="宋体"/>
      <w:sz w:val="21"/>
      <w:szCs w:val="21"/>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style>
  <w:style w:type="paragraph" w:styleId="4">
    <w:name w:val="Body Text"/>
    <w:basedOn w:val="1"/>
    <w:autoRedefine/>
    <w:qFormat/>
    <w:uiPriority w:val="1"/>
    <w:pPr>
      <w:ind w:left="220"/>
    </w:pPr>
    <w:rPr>
      <w:sz w:val="32"/>
      <w:szCs w:val="32"/>
    </w:rPr>
  </w:style>
  <w:style w:type="paragraph" w:styleId="5">
    <w:name w:val="Balloon Text"/>
    <w:basedOn w:val="1"/>
    <w:link w:val="17"/>
    <w:autoRedefine/>
    <w:qFormat/>
    <w:uiPriority w:val="0"/>
    <w:rPr>
      <w:sz w:val="18"/>
      <w:szCs w:val="18"/>
    </w:rPr>
  </w:style>
  <w:style w:type="paragraph" w:styleId="6">
    <w:name w:val="footer"/>
    <w:basedOn w:val="1"/>
    <w:link w:val="14"/>
    <w:autoRedefine/>
    <w:qFormat/>
    <w:uiPriority w:val="0"/>
    <w:pPr>
      <w:tabs>
        <w:tab w:val="center" w:pos="4153"/>
        <w:tab w:val="right" w:pos="8306"/>
      </w:tabs>
      <w:snapToGrid w:val="0"/>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autoRedefine/>
    <w:qFormat/>
    <w:uiPriority w:val="0"/>
    <w:rPr>
      <w:b/>
      <w:bCs/>
    </w:rPr>
  </w:style>
  <w:style w:type="character" w:styleId="11">
    <w:name w:val="annotation reference"/>
    <w:basedOn w:val="10"/>
    <w:autoRedefine/>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autoRedefine/>
    <w:qFormat/>
    <w:uiPriority w:val="0"/>
    <w:rPr>
      <w:rFonts w:ascii="仿宋" w:hAnsi="仿宋" w:eastAsia="仿宋" w:cs="仿宋"/>
      <w:sz w:val="18"/>
      <w:szCs w:val="18"/>
      <w:lang w:val="zh-CN" w:bidi="zh-CN"/>
    </w:rPr>
  </w:style>
  <w:style w:type="character" w:customStyle="1" w:styleId="14">
    <w:name w:val="页脚 字符"/>
    <w:basedOn w:val="10"/>
    <w:link w:val="6"/>
    <w:autoRedefine/>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autoRedefine/>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2422</Words>
  <Characters>2478</Characters>
  <Lines>33</Lines>
  <Paragraphs>9</Paragraphs>
  <TotalTime>1</TotalTime>
  <ScaleCrop>false</ScaleCrop>
  <LinksUpToDate>false</LinksUpToDate>
  <CharactersWithSpaces>2535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2024-10-18T09:01:00Z</dcterms:created>
  <dc:creator>jie.huang</dc:creator>
  <cp:lastModifiedBy>FJ</cp:lastModifiedBy>
  <dcterms:modified xsi:type="dcterms:W3CDTF">2025-05-09T07:39:38Z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17FA0F099739426B8F4B8422BAAC8A75_13</vt:lpwstr>
  </property>
  <property fmtid="{D5CDD505-2E9C-101B-9397-08002B2CF9AE}" pid="4" name="KSOTemplateDocerSaveRecord">
    <vt:lpwstr>eyJoZGlkIjoiYTczMThjZjllYWM5NDkzYmFkZTRiNTdlYTYzYzZiZGIiLCJ1c2VySWQiOiI1Mzg0MDgyMTQifQ==</vt:lpwstr>
  </property>
</Properties>
</file>