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8F08">
      <w:pPr>
        <w:rPr>
          <w:rFonts w:ascii="华文宋体" w:hAnsi="华文宋体" w:eastAsia="华文宋体"/>
        </w:rPr>
      </w:pPr>
    </w:p>
    <w:p w14:paraId="16F68F09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16F68F0A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16F68F0B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16F6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16F68F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16F68F0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6F68F0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16F68F0F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16F68F1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16F6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6F68F1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16F68F1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16F6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16F68F15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16F68F16">
            <w:pPr>
              <w:pStyle w:val="6"/>
              <w:spacing w:before="0" w:beforeAutospacing="0" w:after="0" w:afterAutospacing="0" w:line="300" w:lineRule="auto"/>
              <w:rPr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中金公司、平安证券、浙商证券、敦和资产、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汇安基金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、中银资产、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泰信基金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、建信养老金管理、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天弘基金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、方正自营、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海富通基金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、明世伙伴私募基金、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天治基金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、东方证券、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浦银安盛基金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、上海银叶资产、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中信建投基金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、中信证券资产、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银华基金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、金元证券、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诺德基金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、海南鑫焱创业投资、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北京京管泰富基金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、中银资产、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正圆私募基金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、上海从容资产、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工银瑞信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基金、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安信自营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上海混沌道然资产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国富人寿保险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kern w:val="2"/>
                <w:sz w:val="21"/>
                <w:szCs w:val="21"/>
                <w:lang w:val="en-US" w:eastAsia="zh-CN"/>
              </w:rPr>
              <w:t>杭州巨子私募基金</w:t>
            </w:r>
          </w:p>
        </w:tc>
      </w:tr>
      <w:tr w14:paraId="16F6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6F68F1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16F68F19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年5月7日</w:t>
            </w:r>
          </w:p>
        </w:tc>
      </w:tr>
      <w:tr w14:paraId="16F6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16F68F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16F68F1C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16F6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6F68F1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16F68F1F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16F68F20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16F6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16F68F2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16F68F2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公司即饮业务今年的打法？</w:t>
            </w:r>
          </w:p>
          <w:p w14:paraId="16F68F2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答：Meco果茶是即饮业务的核心，1、渠道端：公司将会继续做深做透学校渠道，把握零食量贩和礼品渠道背后的市场机会，同时积极加大对餐饮渠道的探索；2、产品端：</w:t>
            </w:r>
            <w:r>
              <w:rPr>
                <w:rFonts w:hint="eastAsia" w:ascii="宋体" w:hAnsi="宋体" w:eastAsia="宋体" w:cs="宋体"/>
                <w:szCs w:val="21"/>
              </w:rPr>
              <w:t>公司将持续推出新口味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，目前已推出一款“橙</w:t>
            </w:r>
            <w:r>
              <w:rPr>
                <w:rFonts w:hint="eastAsia" w:ascii="宋体" w:hAnsi="宋体" w:eastAsia="宋体" w:cs="宋体"/>
                <w:szCs w:val="21"/>
              </w:rPr>
              <w:t>漫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茉莉”新口味；3、品牌端：公司将会围绕客户，不断创新宣传形式，与消费者做沟通。</w:t>
            </w:r>
          </w:p>
          <w:p w14:paraId="16F68F2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兰芳园冻柠茶的后续规划？</w:t>
            </w:r>
          </w:p>
          <w:p w14:paraId="16F68F2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经过前期的试销，冻柠茶已经展现出一定的市场机会。2025年，公司冻柠茶的产品将围绕“正宗港式”的定位进行产品推广，并增加投入力度，采取聚焦策略，进一步聚焦在</w:t>
            </w:r>
            <w:r>
              <w:rPr>
                <w:rFonts w:hint="eastAsia" w:ascii="宋体" w:hAnsi="宋体" w:eastAsia="宋体" w:cs="宋体"/>
                <w:szCs w:val="21"/>
              </w:rPr>
              <w:t>广东、北京等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销售机会更大的城市，寻找成功模式。</w:t>
            </w:r>
          </w:p>
          <w:p w14:paraId="16F68F2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公司原叶现泡奶茶新品的销售情况？</w:t>
            </w:r>
          </w:p>
          <w:p w14:paraId="16F68F28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16F68F29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。同时，在礼品市场旺季，公司对“原叶现泡”系列进行了小范围探测，该产品填补了礼品市场在对应价格带的产品空白，获得了较为积极的反馈。此外，公司通过“快闪店+内容营销”的方式对原叶现泡轻乳茶进行推广，在获得消费者良好反馈的同时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在品牌端获得较高声量。</w:t>
            </w:r>
          </w:p>
          <w:p w14:paraId="16F68F2A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未来，公司还将对产品内容物与包装做进一步优化。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16F68F2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公司2024年第四季度和2025年第一季度奶茶业务承压的原因？</w:t>
            </w:r>
          </w:p>
          <w:p w14:paraId="16F68F2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1、受外部环境影响，春节礼品销售氛围较淡，公司奶茶业务的礼品装销售占比较大，因此受到一定的影响；2、2024年由于公司内部进行了策略调整，对销售端动作的执行落地造成一定影响；3、公司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优先考虑渠道的健康和销售体系的良性发展，努力维护价盘稳定和经销商的利益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因此对冲泡的旺季备货产生了一定的压力。</w:t>
            </w:r>
          </w:p>
          <w:p w14:paraId="16F68F2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当前，公司渠道库存数量和货龄新鲜度已经回归良性健康状态。</w:t>
            </w:r>
          </w:p>
          <w:p w14:paraId="16F68F2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公司线下快闪店的后续规划？</w:t>
            </w:r>
          </w:p>
          <w:p w14:paraId="16F68F2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答：公司推动品牌营销方式转变，以“围绕用户运营”为核心，积极拥抱内容营销、互联网营销新方法。</w:t>
            </w:r>
          </w:p>
          <w:p w14:paraId="16F68F3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公司通过线下快闪店活动，推广新品“原叶现泡轻乳茶”，同时获取消费者反馈，进一步改进、优化产品。快闪店作为品牌营销的方式，目前来看，在消费者沟通、新品推广、品牌年轻化等方面</w:t>
            </w:r>
            <w:r>
              <w:rPr>
                <w:rFonts w:hint="eastAsia" w:ascii="宋体" w:hAnsi="宋体" w:eastAsia="宋体" w:cs="宋体"/>
                <w:szCs w:val="21"/>
              </w:rPr>
              <w:t>取得了不错的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效果。</w:t>
            </w:r>
          </w:p>
          <w:p w14:paraId="16F68F3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未来，公司将通过各种创新形式，积极向消费者传递公司产品、品牌的变化，努力提升消费者对公司的品牌认知，为相关业务带来更多新的机会。</w:t>
            </w:r>
          </w:p>
          <w:p w14:paraId="16F68F3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奶茶业务后续的规划？</w:t>
            </w:r>
          </w:p>
          <w:p w14:paraId="16F68F3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对于奶茶业务，公司将秉持“稳中求进”的总基调，提升经销商和渠道端的信心，加强终端客户服务质量。今年，在产品方面，公司将会继续沿着健康化、年轻化的升级方向做更多的研究，以满足消费者的需求；同时，在品牌营销方面，公司将通过多种新的营销形式，围绕客户，加强与消费者的沟通，积极传递产品健康化、品牌年轻化的积极变化。</w:t>
            </w:r>
          </w:p>
          <w:p w14:paraId="16F68F3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公司在零食量贩渠道的情况？</w:t>
            </w:r>
          </w:p>
          <w:p w14:paraId="16F68F3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在现有的产品中，Meco果茶、兰芳园冻柠茶和奶茶类产品已经进入零食量贩渠道销售。为了更加贴合零食量贩渠道的产品特点，公司推出了零食量贩渠道定制化的产品。目前，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16F68F3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公司在餐饮渠道的后续规划？</w:t>
            </w:r>
          </w:p>
          <w:p w14:paraId="16F68F3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餐饮市场的开拓。目前，Meco杯装果茶及兰芳园冻柠茶产品与餐饮场景的适配度高，公司将根据餐饮渠道特点，推出定制化杯装即饮产品，同时开拓更多专职做餐饮的经销商，积极探索餐饮渠道的市场机会。</w:t>
            </w:r>
          </w:p>
          <w:p w14:paraId="16F68F38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公司今年成本端展望？</w:t>
            </w:r>
          </w:p>
          <w:p w14:paraId="16F68F3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16F68F3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即饮业务今年冰冻化的规划？</w:t>
            </w:r>
          </w:p>
          <w:p w14:paraId="16F68F3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答：公司会在即饮产品的销售旺季，持续增加冰冻化方面的投入。</w:t>
            </w:r>
            <w:r>
              <w:rPr>
                <w:rFonts w:hint="eastAsia" w:ascii="宋体" w:hAnsi="宋体" w:eastAsia="宋体" w:cs="宋体"/>
                <w:szCs w:val="21"/>
              </w:rPr>
              <w:t>今年，公司计划提升即饮业务冰冻化的质和量，积极尝试创新终端冰冻化陈列形式，提升校园等渠道冰冻化的精细度。</w:t>
            </w:r>
          </w:p>
          <w:p w14:paraId="16F68F3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公司即饮业务终端网点数量？</w:t>
            </w:r>
          </w:p>
          <w:p w14:paraId="16F68F3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答：目前，</w:t>
            </w:r>
            <w:r>
              <w:rPr>
                <w:rFonts w:hint="eastAsia" w:ascii="宋体" w:hAnsi="宋体" w:eastAsia="宋体" w:cs="宋体"/>
                <w:szCs w:val="21"/>
              </w:rPr>
              <w:t>即饮板块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的终端网点数量约30万家，公司在短期内暂时不会追求门店数量的大幅增加，而是希望对现有门店进行深耕。一方面，公司会根据</w:t>
            </w:r>
            <w:r>
              <w:rPr>
                <w:rFonts w:hint="eastAsia" w:ascii="宋体" w:hAnsi="宋体" w:eastAsia="宋体" w:cs="宋体"/>
                <w:szCs w:val="21"/>
              </w:rPr>
              <w:t>冲泡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16F68F3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公司费用投放规划？</w:t>
            </w:r>
          </w:p>
          <w:p w14:paraId="16F68F3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答：费用投放总体将以稳健为原则。即饮作为第二增长曲线并已表现出较好的增长态势，公司今年会大力进行投入。同时，也会做好费用投放的精准管控，提高费效比，兼顾利润。</w:t>
            </w:r>
          </w:p>
          <w:p w14:paraId="12D4BAAE">
            <w:pPr>
              <w:numPr>
                <w:ilvl w:val="0"/>
                <w:numId w:val="1"/>
              </w:numPr>
              <w:spacing w:line="300" w:lineRule="auto"/>
              <w:ind w:left="0" w:firstLine="0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公司组织架构是否有调整？</w:t>
            </w:r>
          </w:p>
          <w:p w14:paraId="16F68F40">
            <w:pPr>
              <w:numPr>
                <w:ilvl w:val="0"/>
                <w:numId w:val="0"/>
              </w:numPr>
              <w:spacing w:line="30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2024年，考虑到内外环境的变化，公司将冲泡、即饮两个独立的团队重新整合。下沉市场以冲泡团队为主力，即饮作为辅助；在即饮机会大的核心城市，设立即饮专职团队。目前人员调整已经基本到位，预计2025年不会有新的调整规划。</w:t>
            </w:r>
          </w:p>
          <w:p w14:paraId="16F68F4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公司后续是否有收并购计划？</w:t>
            </w:r>
          </w:p>
          <w:p w14:paraId="16F68F4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公司暂无明确的收并购项目。但针对收并购，公司始终保持开放的心态，期望寻找到与公司业务契合的标的，与公司现有的业务形成协同，达到相互赋能的效果。但考虑到并购存在的相关风险，公司对于具体并购标的选择等会非常慎重。</w:t>
            </w:r>
            <w:bookmarkStart w:id="0" w:name="_GoBack"/>
            <w:bookmarkEnd w:id="0"/>
          </w:p>
        </w:tc>
      </w:tr>
    </w:tbl>
    <w:p w14:paraId="16F68F48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75C5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0ED6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6A0A"/>
    <w:rsid w:val="00417C40"/>
    <w:rsid w:val="00417E27"/>
    <w:rsid w:val="00417F9B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4DEE"/>
    <w:rsid w:val="004F7F87"/>
    <w:rsid w:val="0050025D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138A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C705F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593F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94162"/>
    <w:rsid w:val="00B976F1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C6E"/>
    <w:rsid w:val="00F34FB4"/>
    <w:rsid w:val="00F406CD"/>
    <w:rsid w:val="00F41599"/>
    <w:rsid w:val="00F41893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11ACE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2818</Words>
  <Characters>2862</Characters>
  <Lines>3</Lines>
  <Paragraphs>6</Paragraphs>
  <TotalTime>1</TotalTime>
  <ScaleCrop>false</ScaleCrop>
  <LinksUpToDate>false</LinksUpToDate>
  <CharactersWithSpaces>2941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2025-05-09T08:12:29Z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46895E465D114067B80EF9D2DFADF311_13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