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52CD" w14:textId="77777777" w:rsidR="005100C9" w:rsidRPr="005100C9" w:rsidRDefault="005100C9" w:rsidP="005100C9">
      <w:pPr>
        <w:adjustRightInd w:val="0"/>
        <w:snapToGrid w:val="0"/>
        <w:spacing w:line="600" w:lineRule="exact"/>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A</w:t>
      </w:r>
      <w:r w:rsidRPr="005100C9">
        <w:rPr>
          <w:rFonts w:ascii="Times New Roman" w:eastAsia="宋体" w:hAnsi="Times New Roman" w:cs="Times New Roman"/>
          <w:sz w:val="24"/>
          <w:szCs w:val="24"/>
          <w14:ligatures w14:val="none"/>
        </w:rPr>
        <w:t>股代码：</w:t>
      </w:r>
      <w:r w:rsidRPr="005100C9">
        <w:rPr>
          <w:rFonts w:ascii="Times New Roman" w:eastAsia="宋体" w:hAnsi="Times New Roman" w:cs="Times New Roman"/>
          <w:sz w:val="24"/>
          <w:szCs w:val="24"/>
          <w14:ligatures w14:val="none"/>
        </w:rPr>
        <w:t xml:space="preserve">688235 </w:t>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t>A</w:t>
      </w:r>
      <w:r w:rsidRPr="005100C9">
        <w:rPr>
          <w:rFonts w:ascii="Times New Roman" w:eastAsia="宋体" w:hAnsi="Times New Roman" w:cs="Times New Roman"/>
          <w:sz w:val="24"/>
          <w:szCs w:val="24"/>
          <w14:ligatures w14:val="none"/>
        </w:rPr>
        <w:t>股简称：百济神州</w:t>
      </w:r>
    </w:p>
    <w:p w14:paraId="63643E57" w14:textId="77777777" w:rsidR="005100C9" w:rsidRPr="005100C9" w:rsidRDefault="005100C9" w:rsidP="005100C9">
      <w:pPr>
        <w:adjustRightInd w:val="0"/>
        <w:snapToGrid w:val="0"/>
        <w:spacing w:line="600" w:lineRule="exact"/>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港股代码：</w:t>
      </w:r>
      <w:r w:rsidRPr="005100C9">
        <w:rPr>
          <w:rFonts w:ascii="Times New Roman" w:eastAsia="宋体" w:hAnsi="Times New Roman" w:cs="Times New Roman"/>
          <w:sz w:val="24"/>
          <w:szCs w:val="24"/>
          <w14:ligatures w14:val="none"/>
        </w:rPr>
        <w:t xml:space="preserve">06160 </w:t>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ab/>
      </w:r>
      <w:r w:rsidRPr="005100C9">
        <w:rPr>
          <w:rFonts w:ascii="Times New Roman" w:eastAsia="宋体" w:hAnsi="Times New Roman" w:cs="Times New Roman"/>
          <w:sz w:val="24"/>
          <w:szCs w:val="24"/>
          <w14:ligatures w14:val="none"/>
        </w:rPr>
        <w:t>港股简称：百济神州</w:t>
      </w:r>
    </w:p>
    <w:p w14:paraId="17B86E78" w14:textId="77777777" w:rsidR="005100C9" w:rsidRPr="005100C9" w:rsidRDefault="005100C9" w:rsidP="005100C9">
      <w:pPr>
        <w:adjustRightInd w:val="0"/>
        <w:snapToGrid w:val="0"/>
        <w:spacing w:line="600" w:lineRule="exact"/>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美股代码：</w:t>
      </w:r>
      <w:r w:rsidRPr="005100C9">
        <w:rPr>
          <w:rFonts w:ascii="Times New Roman" w:eastAsia="宋体" w:hAnsi="Times New Roman" w:cs="Times New Roman" w:hint="eastAsia"/>
          <w:sz w:val="24"/>
          <w:szCs w:val="24"/>
          <w14:ligatures w14:val="none"/>
        </w:rPr>
        <w:t>ONC</w:t>
      </w:r>
    </w:p>
    <w:p w14:paraId="1972A36C" w14:textId="77777777" w:rsidR="005100C9" w:rsidRPr="005100C9" w:rsidRDefault="005100C9" w:rsidP="005100C9">
      <w:pPr>
        <w:adjustRightInd w:val="0"/>
        <w:snapToGrid w:val="0"/>
        <w:spacing w:beforeLines="50" w:before="156" w:line="600" w:lineRule="exact"/>
        <w:jc w:val="center"/>
        <w:rPr>
          <w:rFonts w:ascii="Times New Roman" w:eastAsia="宋体" w:hAnsi="Times New Roman" w:cs="Times New Roman"/>
          <w:b/>
          <w:sz w:val="36"/>
          <w:szCs w:val="36"/>
          <w14:ligatures w14:val="none"/>
        </w:rPr>
      </w:pPr>
      <w:r w:rsidRPr="005100C9">
        <w:rPr>
          <w:rFonts w:ascii="Times New Roman" w:eastAsia="宋体" w:hAnsi="Times New Roman" w:cs="Times New Roman"/>
          <w:b/>
          <w:sz w:val="36"/>
          <w:szCs w:val="36"/>
          <w14:ligatures w14:val="none"/>
        </w:rPr>
        <w:t>百济神州有限公司</w:t>
      </w:r>
    </w:p>
    <w:p w14:paraId="5DF4380E" w14:textId="77777777" w:rsidR="005100C9" w:rsidRPr="005100C9" w:rsidRDefault="005100C9" w:rsidP="005100C9">
      <w:pPr>
        <w:adjustRightInd w:val="0"/>
        <w:snapToGrid w:val="0"/>
        <w:spacing w:line="500" w:lineRule="exact"/>
        <w:jc w:val="center"/>
        <w:rPr>
          <w:rFonts w:ascii="Times New Roman" w:eastAsia="宋体" w:hAnsi="Times New Roman" w:cs="Times New Roman"/>
          <w:b/>
          <w:sz w:val="36"/>
          <w:szCs w:val="36"/>
          <w14:ligatures w14:val="none"/>
        </w:rPr>
      </w:pPr>
      <w:r w:rsidRPr="005100C9">
        <w:rPr>
          <w:rFonts w:ascii="Times New Roman" w:eastAsia="宋体" w:hAnsi="Times New Roman" w:cs="Times New Roman"/>
          <w:b/>
          <w:sz w:val="36"/>
          <w:szCs w:val="36"/>
          <w14:ligatures w14:val="none"/>
        </w:rPr>
        <w:t>投资者关系活动记录表</w:t>
      </w:r>
    </w:p>
    <w:p w14:paraId="7D175869" w14:textId="77777777" w:rsidR="005100C9" w:rsidRPr="005100C9" w:rsidRDefault="005100C9" w:rsidP="005100C9">
      <w:pPr>
        <w:adjustRightInd w:val="0"/>
        <w:snapToGrid w:val="0"/>
        <w:spacing w:line="500" w:lineRule="exact"/>
        <w:jc w:val="center"/>
        <w:rPr>
          <w:rFonts w:ascii="Times New Roman" w:eastAsia="宋体" w:hAnsi="Times New Roman" w:cs="Times New Roman"/>
          <w:sz w:val="24"/>
          <w:szCs w:val="36"/>
          <w14:ligatures w14:val="none"/>
        </w:rPr>
      </w:pPr>
      <w:r w:rsidRPr="005100C9">
        <w:rPr>
          <w:rFonts w:ascii="Times New Roman" w:eastAsia="宋体" w:hAnsi="Times New Roman" w:cs="Times New Roman"/>
          <w:sz w:val="24"/>
          <w:szCs w:val="36"/>
          <w14:ligatures w14:val="none"/>
        </w:rPr>
        <w:t>（</w:t>
      </w:r>
      <w:r w:rsidRPr="005100C9">
        <w:rPr>
          <w:rFonts w:ascii="Times New Roman" w:eastAsia="宋体" w:hAnsi="Times New Roman" w:cs="Times New Roman"/>
          <w:sz w:val="24"/>
          <w:szCs w:val="36"/>
          <w14:ligatures w14:val="none"/>
        </w:rPr>
        <w:t>202</w:t>
      </w:r>
      <w:r w:rsidRPr="005100C9">
        <w:rPr>
          <w:rFonts w:ascii="Times New Roman" w:eastAsia="宋体" w:hAnsi="Times New Roman" w:cs="Times New Roman" w:hint="eastAsia"/>
          <w:sz w:val="24"/>
          <w:szCs w:val="36"/>
          <w14:ligatures w14:val="none"/>
        </w:rPr>
        <w:t>5</w:t>
      </w:r>
      <w:r w:rsidRPr="005100C9">
        <w:rPr>
          <w:rFonts w:ascii="Times New Roman" w:eastAsia="宋体" w:hAnsi="Times New Roman" w:cs="Times New Roman"/>
          <w:sz w:val="24"/>
          <w:szCs w:val="36"/>
          <w14:ligatures w14:val="none"/>
        </w:rPr>
        <w:t>年</w:t>
      </w:r>
      <w:r w:rsidRPr="005100C9">
        <w:rPr>
          <w:rFonts w:ascii="Times New Roman" w:eastAsia="宋体" w:hAnsi="Times New Roman" w:cs="Times New Roman" w:hint="eastAsia"/>
          <w:sz w:val="24"/>
          <w:szCs w:val="36"/>
          <w14:ligatures w14:val="none"/>
        </w:rPr>
        <w:t>5</w:t>
      </w:r>
      <w:r w:rsidRPr="005100C9">
        <w:rPr>
          <w:rFonts w:ascii="Times New Roman" w:eastAsia="宋体" w:hAnsi="Times New Roman" w:cs="Times New Roman"/>
          <w:sz w:val="24"/>
          <w:szCs w:val="36"/>
          <w14:ligatures w14:val="none"/>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7044"/>
      </w:tblGrid>
      <w:tr w:rsidR="005100C9" w:rsidRPr="005100C9" w14:paraId="104A91D2" w14:textId="77777777" w:rsidTr="33AE0707">
        <w:trPr>
          <w:jc w:val="center"/>
        </w:trPr>
        <w:tc>
          <w:tcPr>
            <w:tcW w:w="1526" w:type="dxa"/>
          </w:tcPr>
          <w:p w14:paraId="03A7A07F"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投资者关系活动类别</w:t>
            </w:r>
          </w:p>
        </w:tc>
        <w:tc>
          <w:tcPr>
            <w:tcW w:w="7238" w:type="dxa"/>
          </w:tcPr>
          <w:p w14:paraId="50C4CE6D"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w:t>
            </w:r>
            <w:r w:rsidRPr="005100C9">
              <w:rPr>
                <w:rFonts w:ascii="Times New Roman" w:eastAsia="宋体" w:hAnsi="Times New Roman" w:cs="Times New Roman"/>
                <w:sz w:val="24"/>
                <w:szCs w:val="24"/>
                <w14:ligatures w14:val="none"/>
              </w:rPr>
              <w:t>特定对象调研</w:t>
            </w:r>
            <w:r w:rsidRPr="005100C9">
              <w:rPr>
                <w:rFonts w:ascii="Times New Roman" w:eastAsia="宋体" w:hAnsi="Times New Roman" w:cs="Times New Roman"/>
                <w:sz w:val="24"/>
                <w:szCs w:val="24"/>
                <w14:ligatures w14:val="none"/>
              </w:rPr>
              <w:t xml:space="preserve">             </w:t>
            </w:r>
            <w:r w:rsidRPr="005100C9">
              <w:rPr>
                <w:rFonts w:ascii="Times New Roman" w:eastAsia="宋体" w:hAnsi="Times New Roman" w:cs="Times New Roman"/>
                <w:sz w:val="24"/>
                <w:szCs w:val="24"/>
                <w14:ligatures w14:val="none"/>
              </w:rPr>
              <w:t>分析师会议</w:t>
            </w:r>
          </w:p>
          <w:p w14:paraId="292FFE78"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bookmarkStart w:id="0" w:name="OLE_LINK188"/>
            <w:bookmarkStart w:id="1" w:name="OLE_LINK189"/>
            <w:r w:rsidRPr="005100C9">
              <w:rPr>
                <w:rFonts w:ascii="Times New Roman" w:eastAsia="宋体" w:hAnsi="Times New Roman" w:cs="Times New Roman"/>
                <w:sz w:val="24"/>
                <w:szCs w:val="24"/>
                <w14:ligatures w14:val="none"/>
              </w:rPr>
              <w:t>□</w:t>
            </w:r>
            <w:bookmarkEnd w:id="0"/>
            <w:bookmarkEnd w:id="1"/>
            <w:r w:rsidRPr="005100C9">
              <w:rPr>
                <w:rFonts w:ascii="Times New Roman" w:eastAsia="宋体" w:hAnsi="Times New Roman" w:cs="Times New Roman"/>
                <w:sz w:val="24"/>
                <w:szCs w:val="24"/>
                <w14:ligatures w14:val="none"/>
              </w:rPr>
              <w:t>媒体采访</w:t>
            </w:r>
            <w:r w:rsidRPr="005100C9">
              <w:rPr>
                <w:rFonts w:ascii="Times New Roman" w:eastAsia="宋体" w:hAnsi="Times New Roman" w:cs="Times New Roman"/>
                <w:sz w:val="24"/>
                <w:szCs w:val="24"/>
                <w14:ligatures w14:val="none"/>
              </w:rPr>
              <w:t xml:space="preserve">                 √</w:t>
            </w:r>
            <w:r w:rsidRPr="005100C9">
              <w:rPr>
                <w:rFonts w:ascii="Times New Roman" w:eastAsia="宋体" w:hAnsi="Times New Roman" w:cs="Times New Roman"/>
                <w:sz w:val="24"/>
                <w:szCs w:val="24"/>
                <w14:ligatures w14:val="none"/>
              </w:rPr>
              <w:t>业绩说明会</w:t>
            </w:r>
          </w:p>
          <w:p w14:paraId="31421763"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w:t>
            </w:r>
            <w:r w:rsidRPr="005100C9">
              <w:rPr>
                <w:rFonts w:ascii="Times New Roman" w:eastAsia="宋体" w:hAnsi="Times New Roman" w:cs="Times New Roman"/>
                <w:sz w:val="24"/>
                <w:szCs w:val="24"/>
                <w14:ligatures w14:val="none"/>
              </w:rPr>
              <w:t>新闻发布会</w:t>
            </w:r>
            <w:r w:rsidRPr="005100C9">
              <w:rPr>
                <w:rFonts w:ascii="Times New Roman" w:eastAsia="宋体" w:hAnsi="Times New Roman" w:cs="Times New Roman"/>
                <w:sz w:val="24"/>
                <w:szCs w:val="24"/>
                <w14:ligatures w14:val="none"/>
              </w:rPr>
              <w:t xml:space="preserve">               □</w:t>
            </w:r>
            <w:r w:rsidRPr="005100C9">
              <w:rPr>
                <w:rFonts w:ascii="Times New Roman" w:eastAsia="宋体" w:hAnsi="Times New Roman" w:cs="Times New Roman"/>
                <w:sz w:val="24"/>
                <w:szCs w:val="24"/>
                <w14:ligatures w14:val="none"/>
              </w:rPr>
              <w:t>路演活动</w:t>
            </w:r>
          </w:p>
          <w:p w14:paraId="4F8809FB"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w:t>
            </w:r>
            <w:r w:rsidRPr="005100C9">
              <w:rPr>
                <w:rFonts w:ascii="Times New Roman" w:eastAsia="宋体" w:hAnsi="Times New Roman" w:cs="Times New Roman"/>
                <w:sz w:val="24"/>
                <w:szCs w:val="24"/>
                <w14:ligatures w14:val="none"/>
              </w:rPr>
              <w:t>现场参观</w:t>
            </w:r>
            <w:r w:rsidRPr="005100C9">
              <w:rPr>
                <w:rFonts w:ascii="Times New Roman" w:eastAsia="宋体" w:hAnsi="Times New Roman" w:cs="Times New Roman"/>
                <w:sz w:val="24"/>
                <w:szCs w:val="24"/>
                <w14:ligatures w14:val="none"/>
              </w:rPr>
              <w:t xml:space="preserve">                 □</w:t>
            </w:r>
            <w:r w:rsidRPr="005100C9">
              <w:rPr>
                <w:rFonts w:ascii="Times New Roman" w:eastAsia="宋体" w:hAnsi="Times New Roman" w:cs="Times New Roman"/>
                <w:sz w:val="24"/>
                <w:szCs w:val="24"/>
                <w14:ligatures w14:val="none"/>
              </w:rPr>
              <w:t>一对一沟通</w:t>
            </w:r>
          </w:p>
          <w:p w14:paraId="30F3B3EE"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w:t>
            </w:r>
            <w:r w:rsidRPr="005100C9">
              <w:rPr>
                <w:rFonts w:ascii="Times New Roman" w:eastAsia="宋体" w:hAnsi="Times New Roman" w:cs="Times New Roman"/>
                <w:sz w:val="24"/>
                <w:szCs w:val="24"/>
                <w14:ligatures w14:val="none"/>
              </w:rPr>
              <w:t>其他（电话会议）</w:t>
            </w:r>
          </w:p>
        </w:tc>
      </w:tr>
      <w:tr w:rsidR="005100C9" w:rsidRPr="005100C9" w14:paraId="740534A9" w14:textId="77777777" w:rsidTr="33AE0707">
        <w:trPr>
          <w:trHeight w:val="938"/>
          <w:jc w:val="center"/>
        </w:trPr>
        <w:tc>
          <w:tcPr>
            <w:tcW w:w="1526" w:type="dxa"/>
          </w:tcPr>
          <w:p w14:paraId="17C8EF65"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参与单位</w:t>
            </w:r>
          </w:p>
          <w:p w14:paraId="1294C1D2"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及人员</w:t>
            </w:r>
          </w:p>
        </w:tc>
        <w:tc>
          <w:tcPr>
            <w:tcW w:w="7238" w:type="dxa"/>
          </w:tcPr>
          <w:p w14:paraId="6FDC5DBE" w14:textId="6B26C391" w:rsidR="005100C9" w:rsidRPr="005100C9" w:rsidRDefault="00033BBC" w:rsidP="33AE0707">
            <w:pPr>
              <w:tabs>
                <w:tab w:val="left" w:pos="1014"/>
                <w:tab w:val="left" w:pos="4360"/>
                <w:tab w:val="left" w:pos="5704"/>
              </w:tabs>
              <w:adjustRightInd w:val="0"/>
              <w:spacing w:line="312" w:lineRule="auto"/>
              <w:contextualSpacing/>
              <w:rPr>
                <w:rFonts w:ascii="Times New Roman" w:eastAsia="宋体" w:hAnsi="Times New Roman" w:cs="Times New Roman"/>
                <w:sz w:val="22"/>
                <w14:ligatures w14:val="none"/>
              </w:rPr>
            </w:pPr>
            <w:r w:rsidRPr="33AE0707">
              <w:rPr>
                <w:rFonts w:ascii="Times New Roman" w:eastAsia="宋体" w:hAnsi="Times New Roman" w:cs="Times New Roman"/>
                <w:sz w:val="22"/>
              </w:rPr>
              <w:t>Artisan</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Ashler</w:t>
            </w:r>
            <w:proofErr w:type="spellEnd"/>
            <w:r w:rsidRPr="33AE0707">
              <w:rPr>
                <w:rFonts w:ascii="Times New Roman" w:eastAsia="宋体" w:hAnsi="Times New Roman" w:cs="Times New Roman"/>
                <w:sz w:val="22"/>
              </w:rPr>
              <w:t xml:space="preserve"> Capital</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Atmana</w:t>
            </w:r>
            <w:proofErr w:type="spellEnd"/>
            <w:r w:rsidRPr="33AE0707">
              <w:rPr>
                <w:rFonts w:ascii="Times New Roman" w:eastAsia="宋体" w:hAnsi="Times New Roman" w:cs="Times New Roman"/>
                <w:sz w:val="22"/>
              </w:rPr>
              <w:t xml:space="preserve"> Investments</w:t>
            </w:r>
            <w:r w:rsidRPr="33AE0707">
              <w:rPr>
                <w:rFonts w:ascii="Times New Roman" w:eastAsia="宋体" w:hAnsi="Times New Roman" w:cs="Times New Roman"/>
                <w:sz w:val="22"/>
              </w:rPr>
              <w:t>、</w:t>
            </w:r>
            <w:r w:rsidRPr="33AE0707">
              <w:rPr>
                <w:rFonts w:ascii="Times New Roman" w:eastAsia="宋体" w:hAnsi="Times New Roman" w:cs="Times New Roman"/>
                <w:sz w:val="22"/>
              </w:rPr>
              <w:t>Axiom</w:t>
            </w:r>
            <w:r w:rsidRPr="33AE0707">
              <w:rPr>
                <w:rFonts w:ascii="Times New Roman" w:eastAsia="宋体" w:hAnsi="Times New Roman" w:cs="Times New Roman"/>
                <w:sz w:val="22"/>
              </w:rPr>
              <w:t>、</w:t>
            </w:r>
            <w:r w:rsidRPr="33AE0707">
              <w:rPr>
                <w:rFonts w:ascii="Times New Roman" w:eastAsia="宋体" w:hAnsi="Times New Roman" w:cs="Times New Roman"/>
                <w:sz w:val="22"/>
              </w:rPr>
              <w:t>Baker Brothers</w:t>
            </w:r>
            <w:r w:rsidRPr="33AE0707">
              <w:rPr>
                <w:rFonts w:ascii="Times New Roman" w:eastAsia="宋体" w:hAnsi="Times New Roman" w:cs="Times New Roman"/>
                <w:sz w:val="22"/>
              </w:rPr>
              <w:t>、</w:t>
            </w:r>
            <w:r w:rsidRPr="33AE0707">
              <w:rPr>
                <w:rFonts w:ascii="Times New Roman" w:eastAsia="宋体" w:hAnsi="Times New Roman" w:cs="Times New Roman"/>
                <w:sz w:val="22"/>
              </w:rPr>
              <w:t>Balyasny Asset Management</w:t>
            </w:r>
            <w:r w:rsidRPr="33AE0707">
              <w:rPr>
                <w:rFonts w:ascii="Times New Roman" w:eastAsia="宋体" w:hAnsi="Times New Roman" w:cs="Times New Roman"/>
                <w:sz w:val="22"/>
              </w:rPr>
              <w:t>、</w:t>
            </w:r>
            <w:r w:rsidRPr="33AE0707">
              <w:rPr>
                <w:rFonts w:ascii="Times New Roman" w:eastAsia="宋体" w:hAnsi="Times New Roman" w:cs="Times New Roman"/>
                <w:sz w:val="22"/>
              </w:rPr>
              <w:t>Bank Of China Investment Management</w:t>
            </w:r>
            <w:r w:rsidRPr="33AE0707">
              <w:rPr>
                <w:rFonts w:ascii="Times New Roman" w:eastAsia="宋体" w:hAnsi="Times New Roman" w:cs="Times New Roman"/>
                <w:sz w:val="22"/>
              </w:rPr>
              <w:t>、</w:t>
            </w:r>
            <w:r w:rsidRPr="33AE0707">
              <w:rPr>
                <w:rFonts w:ascii="Times New Roman" w:eastAsia="宋体" w:hAnsi="Times New Roman" w:cs="Times New Roman"/>
                <w:sz w:val="22"/>
              </w:rPr>
              <w:t>Bernstein</w:t>
            </w:r>
            <w:r w:rsidRPr="33AE0707">
              <w:rPr>
                <w:rFonts w:ascii="Times New Roman" w:eastAsia="宋体" w:hAnsi="Times New Roman" w:cs="Times New Roman"/>
                <w:sz w:val="22"/>
              </w:rPr>
              <w:t>、</w:t>
            </w:r>
            <w:r w:rsidRPr="33AE0707">
              <w:rPr>
                <w:rFonts w:ascii="Times New Roman" w:eastAsia="宋体" w:hAnsi="Times New Roman" w:cs="Times New Roman"/>
                <w:sz w:val="22"/>
              </w:rPr>
              <w:t>Blackrock</w:t>
            </w:r>
            <w:r w:rsidRPr="33AE0707">
              <w:rPr>
                <w:rFonts w:ascii="Times New Roman" w:eastAsia="宋体" w:hAnsi="Times New Roman" w:cs="Times New Roman"/>
                <w:sz w:val="22"/>
              </w:rPr>
              <w:t>、</w:t>
            </w:r>
            <w:r w:rsidRPr="33AE0707">
              <w:rPr>
                <w:rFonts w:ascii="Times New Roman" w:eastAsia="宋体" w:hAnsi="Times New Roman" w:cs="Times New Roman"/>
                <w:sz w:val="22"/>
              </w:rPr>
              <w:t>BNP Paribas</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Boyan</w:t>
            </w:r>
            <w:proofErr w:type="spellEnd"/>
            <w:r w:rsidRPr="33AE0707">
              <w:rPr>
                <w:rFonts w:ascii="Times New Roman" w:eastAsia="宋体" w:hAnsi="Times New Roman" w:cs="Times New Roman"/>
                <w:sz w:val="22"/>
              </w:rPr>
              <w:t xml:space="preserve"> Fund</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Boyu</w:t>
            </w:r>
            <w:proofErr w:type="spellEnd"/>
            <w:r w:rsidRPr="33AE0707">
              <w:rPr>
                <w:rFonts w:ascii="Times New Roman" w:eastAsia="宋体" w:hAnsi="Times New Roman" w:cs="Times New Roman"/>
                <w:sz w:val="22"/>
              </w:rPr>
              <w:t xml:space="preserve"> Capital</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Byfunds</w:t>
            </w:r>
            <w:proofErr w:type="spellEnd"/>
            <w:r w:rsidRPr="33AE0707">
              <w:rPr>
                <w:rFonts w:ascii="Times New Roman" w:eastAsia="宋体" w:hAnsi="Times New Roman" w:cs="Times New Roman"/>
                <w:sz w:val="22"/>
              </w:rPr>
              <w:t>、</w:t>
            </w:r>
            <w:r w:rsidRPr="33AE0707">
              <w:rPr>
                <w:rFonts w:ascii="Times New Roman" w:eastAsia="宋体" w:hAnsi="Times New Roman" w:cs="Times New Roman"/>
                <w:sz w:val="22"/>
              </w:rPr>
              <w:t xml:space="preserve">Canadian National Hematology </w:t>
            </w:r>
            <w:r w:rsidRPr="33AE0707">
              <w:rPr>
                <w:rFonts w:ascii="Times New Roman" w:eastAsia="宋体" w:hAnsi="Times New Roman" w:cs="Times New Roman"/>
                <w:sz w:val="22"/>
              </w:rPr>
              <w:t>、</w:t>
            </w:r>
            <w:r w:rsidRPr="33AE0707">
              <w:rPr>
                <w:rFonts w:ascii="Times New Roman" w:eastAsia="宋体" w:hAnsi="Times New Roman" w:cs="Times New Roman"/>
                <w:sz w:val="22"/>
              </w:rPr>
              <w:t>Cantor</w:t>
            </w:r>
            <w:r w:rsidRPr="33AE0707">
              <w:rPr>
                <w:rFonts w:ascii="Times New Roman" w:eastAsia="宋体" w:hAnsi="Times New Roman" w:cs="Times New Roman"/>
                <w:sz w:val="22"/>
              </w:rPr>
              <w:t>、</w:t>
            </w:r>
            <w:r w:rsidRPr="33AE0707">
              <w:rPr>
                <w:rFonts w:ascii="Times New Roman" w:eastAsia="宋体" w:hAnsi="Times New Roman" w:cs="Times New Roman"/>
                <w:sz w:val="22"/>
              </w:rPr>
              <w:t>Capital Group</w:t>
            </w:r>
            <w:r w:rsidRPr="33AE0707">
              <w:rPr>
                <w:rFonts w:ascii="Times New Roman" w:eastAsia="宋体" w:hAnsi="Times New Roman" w:cs="Times New Roman"/>
                <w:sz w:val="22"/>
              </w:rPr>
              <w:t>、</w:t>
            </w:r>
            <w:r w:rsidRPr="33AE0707">
              <w:rPr>
                <w:rFonts w:ascii="Times New Roman" w:eastAsia="宋体" w:hAnsi="Times New Roman" w:cs="Times New Roman"/>
                <w:sz w:val="22"/>
              </w:rPr>
              <w:t>Capital International</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Casdin</w:t>
            </w:r>
            <w:proofErr w:type="spellEnd"/>
            <w:r w:rsidRPr="33AE0707">
              <w:rPr>
                <w:rFonts w:ascii="Times New Roman" w:eastAsia="宋体" w:hAnsi="Times New Roman" w:cs="Times New Roman"/>
                <w:sz w:val="22"/>
              </w:rPr>
              <w:t xml:space="preserve"> Capital</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Catalio</w:t>
            </w:r>
            <w:proofErr w:type="spellEnd"/>
            <w:r w:rsidRPr="33AE0707">
              <w:rPr>
                <w:rFonts w:ascii="Times New Roman" w:eastAsia="宋体" w:hAnsi="Times New Roman" w:cs="Times New Roman"/>
                <w:sz w:val="22"/>
              </w:rPr>
              <w:t xml:space="preserve"> Capital Management</w:t>
            </w:r>
            <w:r w:rsidRPr="33AE0707">
              <w:rPr>
                <w:rFonts w:ascii="Times New Roman" w:eastAsia="宋体" w:hAnsi="Times New Roman" w:cs="Times New Roman"/>
                <w:sz w:val="22"/>
              </w:rPr>
              <w:t>、</w:t>
            </w:r>
            <w:r w:rsidRPr="33AE0707">
              <w:rPr>
                <w:rFonts w:ascii="Times New Roman" w:eastAsia="宋体" w:hAnsi="Times New Roman" w:cs="Times New Roman"/>
                <w:sz w:val="22"/>
              </w:rPr>
              <w:t>Chaos Investment</w:t>
            </w:r>
            <w:r w:rsidRPr="33AE0707">
              <w:rPr>
                <w:rFonts w:ascii="Times New Roman" w:eastAsia="宋体" w:hAnsi="Times New Roman" w:cs="Times New Roman"/>
                <w:sz w:val="22"/>
              </w:rPr>
              <w:t>、</w:t>
            </w:r>
            <w:r w:rsidRPr="33AE0707">
              <w:rPr>
                <w:rFonts w:ascii="Times New Roman" w:eastAsia="宋体" w:hAnsi="Times New Roman" w:cs="Times New Roman"/>
                <w:sz w:val="22"/>
              </w:rPr>
              <w:t>Chi Square Capital, LP</w:t>
            </w:r>
            <w:r w:rsidRPr="33AE0707">
              <w:rPr>
                <w:rFonts w:ascii="Times New Roman" w:eastAsia="宋体" w:hAnsi="Times New Roman" w:cs="Times New Roman"/>
                <w:sz w:val="22"/>
              </w:rPr>
              <w:t>、</w:t>
            </w:r>
            <w:r w:rsidRPr="33AE0707">
              <w:rPr>
                <w:rFonts w:ascii="Times New Roman" w:eastAsia="宋体" w:hAnsi="Times New Roman" w:cs="Times New Roman"/>
                <w:sz w:val="22"/>
              </w:rPr>
              <w:t>China-Europe Rabbit Fund</w:t>
            </w:r>
            <w:r w:rsidRPr="33AE0707">
              <w:rPr>
                <w:rFonts w:ascii="Times New Roman" w:eastAsia="宋体" w:hAnsi="Times New Roman" w:cs="Times New Roman"/>
                <w:sz w:val="22"/>
              </w:rPr>
              <w:t>、</w:t>
            </w:r>
            <w:r w:rsidRPr="33AE0707">
              <w:rPr>
                <w:rFonts w:ascii="Times New Roman" w:eastAsia="宋体" w:hAnsi="Times New Roman" w:cs="Times New Roman"/>
                <w:sz w:val="22"/>
              </w:rPr>
              <w:t>Citigroup</w:t>
            </w:r>
            <w:r w:rsidRPr="33AE0707">
              <w:rPr>
                <w:rFonts w:ascii="Times New Roman" w:eastAsia="宋体" w:hAnsi="Times New Roman" w:cs="Times New Roman"/>
                <w:sz w:val="22"/>
              </w:rPr>
              <w:t>、</w:t>
            </w:r>
            <w:r w:rsidRPr="33AE0707">
              <w:rPr>
                <w:rFonts w:ascii="Times New Roman" w:eastAsia="宋体" w:hAnsi="Times New Roman" w:cs="Times New Roman"/>
                <w:sz w:val="22"/>
              </w:rPr>
              <w:t>Citizens</w:t>
            </w:r>
            <w:r w:rsidRPr="33AE0707">
              <w:rPr>
                <w:rFonts w:ascii="Times New Roman" w:eastAsia="宋体" w:hAnsi="Times New Roman" w:cs="Times New Roman"/>
                <w:sz w:val="22"/>
              </w:rPr>
              <w:t>、</w:t>
            </w:r>
            <w:r w:rsidRPr="33AE0707">
              <w:rPr>
                <w:rFonts w:ascii="Times New Roman" w:eastAsia="宋体" w:hAnsi="Times New Roman" w:cs="Times New Roman"/>
                <w:sz w:val="22"/>
              </w:rPr>
              <w:t>City Group</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Corbets</w:t>
            </w:r>
            <w:proofErr w:type="spellEnd"/>
            <w:r w:rsidRPr="33AE0707">
              <w:rPr>
                <w:rFonts w:ascii="Times New Roman" w:eastAsia="宋体" w:hAnsi="Times New Roman" w:cs="Times New Roman"/>
                <w:sz w:val="22"/>
              </w:rPr>
              <w:t xml:space="preserve"> Capital</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Danyi</w:t>
            </w:r>
            <w:proofErr w:type="spellEnd"/>
            <w:r w:rsidRPr="33AE0707">
              <w:rPr>
                <w:rFonts w:ascii="Times New Roman" w:eastAsia="宋体" w:hAnsi="Times New Roman" w:cs="Times New Roman"/>
                <w:sz w:val="22"/>
              </w:rPr>
              <w:t xml:space="preserve"> Invest</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Davern</w:t>
            </w:r>
            <w:proofErr w:type="spellEnd"/>
            <w:r w:rsidRPr="33AE0707">
              <w:rPr>
                <w:rFonts w:ascii="Times New Roman" w:eastAsia="宋体" w:hAnsi="Times New Roman" w:cs="Times New Roman"/>
                <w:sz w:val="22"/>
              </w:rPr>
              <w:t xml:space="preserve"> Capital</w:t>
            </w:r>
            <w:r w:rsidRPr="33AE0707">
              <w:rPr>
                <w:rFonts w:ascii="Times New Roman" w:eastAsia="宋体" w:hAnsi="Times New Roman" w:cs="Times New Roman"/>
                <w:sz w:val="22"/>
              </w:rPr>
              <w:t>、</w:t>
            </w:r>
            <w:r w:rsidRPr="33AE0707">
              <w:rPr>
                <w:rFonts w:ascii="Times New Roman" w:eastAsia="宋体" w:hAnsi="Times New Roman" w:cs="Times New Roman"/>
                <w:sz w:val="22"/>
              </w:rPr>
              <w:t>Deutsche Bank</w:t>
            </w:r>
            <w:r w:rsidRPr="33AE0707">
              <w:rPr>
                <w:rFonts w:ascii="Times New Roman" w:eastAsia="宋体" w:hAnsi="Times New Roman" w:cs="Times New Roman"/>
                <w:sz w:val="22"/>
              </w:rPr>
              <w:t>、</w:t>
            </w:r>
            <w:r w:rsidRPr="33AE0707">
              <w:rPr>
                <w:rFonts w:ascii="Times New Roman" w:eastAsia="宋体" w:hAnsi="Times New Roman" w:cs="Times New Roman"/>
                <w:sz w:val="22"/>
              </w:rPr>
              <w:t>China Communications</w:t>
            </w:r>
            <w:r w:rsidRPr="33AE0707">
              <w:rPr>
                <w:rFonts w:ascii="Times New Roman" w:eastAsia="宋体" w:hAnsi="Times New Roman" w:cs="Times New Roman"/>
                <w:sz w:val="22"/>
              </w:rPr>
              <w:t>、</w:t>
            </w:r>
            <w:r w:rsidRPr="33AE0707">
              <w:rPr>
                <w:rFonts w:ascii="Times New Roman" w:eastAsia="宋体" w:hAnsi="Times New Roman" w:cs="Times New Roman"/>
                <w:sz w:val="22"/>
              </w:rPr>
              <w:t>Everbright PGIM Fund Management</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Exoduspoint</w:t>
            </w:r>
            <w:proofErr w:type="spellEnd"/>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Fountaincap</w:t>
            </w:r>
            <w:proofErr w:type="spellEnd"/>
            <w:r w:rsidRPr="33AE0707">
              <w:rPr>
                <w:rFonts w:ascii="Times New Roman" w:eastAsia="宋体" w:hAnsi="Times New Roman" w:cs="Times New Roman"/>
                <w:sz w:val="22"/>
              </w:rPr>
              <w:t xml:space="preserve"> Research &amp; Investment</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Fullgoal</w:t>
            </w:r>
            <w:proofErr w:type="spellEnd"/>
            <w:r w:rsidRPr="33AE0707">
              <w:rPr>
                <w:rFonts w:ascii="Times New Roman" w:eastAsia="宋体" w:hAnsi="Times New Roman" w:cs="Times New Roman"/>
                <w:sz w:val="22"/>
              </w:rPr>
              <w:t xml:space="preserve"> Fund</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Goldennest</w:t>
            </w:r>
            <w:proofErr w:type="spellEnd"/>
            <w:r w:rsidRPr="33AE0707">
              <w:rPr>
                <w:rFonts w:ascii="Times New Roman" w:eastAsia="宋体" w:hAnsi="Times New Roman" w:cs="Times New Roman"/>
                <w:sz w:val="22"/>
              </w:rPr>
              <w:t xml:space="preserve"> Capital</w:t>
            </w:r>
            <w:r w:rsidRPr="33AE0707">
              <w:rPr>
                <w:rFonts w:ascii="Times New Roman" w:eastAsia="宋体" w:hAnsi="Times New Roman" w:cs="Times New Roman"/>
                <w:sz w:val="22"/>
              </w:rPr>
              <w:t>、</w:t>
            </w:r>
            <w:r w:rsidRPr="33AE0707">
              <w:rPr>
                <w:rFonts w:ascii="Times New Roman" w:eastAsia="宋体" w:hAnsi="Times New Roman" w:cs="Times New Roman"/>
                <w:sz w:val="22"/>
              </w:rPr>
              <w:t>Goldman Sachs</w:t>
            </w:r>
            <w:r w:rsidRPr="33AE0707">
              <w:rPr>
                <w:rFonts w:ascii="Times New Roman" w:eastAsia="宋体" w:hAnsi="Times New Roman" w:cs="Times New Roman"/>
                <w:sz w:val="22"/>
              </w:rPr>
              <w:t>、</w:t>
            </w:r>
            <w:r w:rsidRPr="33AE0707">
              <w:rPr>
                <w:rFonts w:ascii="Times New Roman" w:eastAsia="宋体" w:hAnsi="Times New Roman" w:cs="Times New Roman"/>
                <w:sz w:val="22"/>
              </w:rPr>
              <w:t>Great Wall Fund</w:t>
            </w:r>
            <w:r w:rsidRPr="33AE0707">
              <w:rPr>
                <w:rFonts w:ascii="Times New Roman" w:eastAsia="宋体" w:hAnsi="Times New Roman" w:cs="Times New Roman"/>
                <w:sz w:val="22"/>
              </w:rPr>
              <w:t>、</w:t>
            </w:r>
            <w:r w:rsidRPr="33AE0707">
              <w:rPr>
                <w:rFonts w:ascii="Times New Roman" w:eastAsia="宋体" w:hAnsi="Times New Roman" w:cs="Times New Roman"/>
                <w:sz w:val="22"/>
              </w:rPr>
              <w:t>Guggenheim Securities</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Guolian</w:t>
            </w:r>
            <w:proofErr w:type="spellEnd"/>
            <w:r w:rsidRPr="33AE0707">
              <w:rPr>
                <w:rFonts w:ascii="Times New Roman" w:eastAsia="宋体" w:hAnsi="Times New Roman" w:cs="Times New Roman"/>
                <w:sz w:val="22"/>
              </w:rPr>
              <w:t xml:space="preserve"> Fund</w:t>
            </w:r>
            <w:r w:rsidRPr="33AE0707">
              <w:rPr>
                <w:rFonts w:ascii="Times New Roman" w:eastAsia="宋体" w:hAnsi="Times New Roman" w:cs="Times New Roman"/>
                <w:sz w:val="22"/>
              </w:rPr>
              <w:t>、</w:t>
            </w:r>
            <w:r w:rsidRPr="33AE0707">
              <w:rPr>
                <w:rFonts w:ascii="Times New Roman" w:eastAsia="宋体" w:hAnsi="Times New Roman" w:cs="Times New Roman"/>
                <w:sz w:val="22"/>
              </w:rPr>
              <w:t>HCHP</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Healthinvest</w:t>
            </w:r>
            <w:proofErr w:type="spellEnd"/>
            <w:r w:rsidRPr="33AE0707">
              <w:rPr>
                <w:rFonts w:ascii="Times New Roman" w:eastAsia="宋体" w:hAnsi="Times New Roman" w:cs="Times New Roman"/>
                <w:sz w:val="22"/>
              </w:rPr>
              <w:t>、</w:t>
            </w:r>
            <w:r w:rsidRPr="33AE0707">
              <w:rPr>
                <w:rFonts w:ascii="Times New Roman" w:eastAsia="宋体" w:hAnsi="Times New Roman" w:cs="Times New Roman"/>
                <w:sz w:val="22"/>
              </w:rPr>
              <w:t>Hillhouse</w:t>
            </w:r>
            <w:r w:rsidRPr="33AE0707">
              <w:rPr>
                <w:rFonts w:ascii="Times New Roman" w:eastAsia="宋体" w:hAnsi="Times New Roman" w:cs="Times New Roman"/>
                <w:sz w:val="22"/>
              </w:rPr>
              <w:t>、</w:t>
            </w:r>
            <w:r w:rsidRPr="33AE0707">
              <w:rPr>
                <w:rFonts w:ascii="Times New Roman" w:eastAsia="宋体" w:hAnsi="Times New Roman" w:cs="Times New Roman"/>
                <w:sz w:val="22"/>
              </w:rPr>
              <w:t>Hopkins</w:t>
            </w:r>
            <w:r w:rsidRPr="33AE0707">
              <w:rPr>
                <w:rFonts w:ascii="Times New Roman" w:eastAsia="宋体" w:hAnsi="Times New Roman" w:cs="Times New Roman"/>
                <w:sz w:val="22"/>
              </w:rPr>
              <w:t>、</w:t>
            </w:r>
            <w:r w:rsidRPr="33AE0707">
              <w:rPr>
                <w:rFonts w:ascii="Times New Roman" w:eastAsia="宋体" w:hAnsi="Times New Roman" w:cs="Times New Roman"/>
                <w:sz w:val="22"/>
              </w:rPr>
              <w:t>HSBC</w:t>
            </w:r>
            <w:r w:rsidRPr="33AE0707">
              <w:rPr>
                <w:rFonts w:ascii="Times New Roman" w:eastAsia="宋体" w:hAnsi="Times New Roman" w:cs="Times New Roman"/>
                <w:sz w:val="22"/>
              </w:rPr>
              <w:t>、</w:t>
            </w:r>
            <w:r w:rsidRPr="33AE0707">
              <w:rPr>
                <w:rFonts w:ascii="Times New Roman" w:eastAsia="宋体" w:hAnsi="Times New Roman" w:cs="Times New Roman"/>
                <w:sz w:val="22"/>
              </w:rPr>
              <w:t>Huabao FUND</w:t>
            </w:r>
            <w:r w:rsidRPr="33AE0707">
              <w:rPr>
                <w:rFonts w:ascii="Times New Roman" w:eastAsia="宋体" w:hAnsi="Times New Roman" w:cs="Times New Roman"/>
                <w:sz w:val="22"/>
              </w:rPr>
              <w:t>、</w:t>
            </w:r>
            <w:r w:rsidRPr="33AE0707">
              <w:rPr>
                <w:rFonts w:ascii="Times New Roman" w:eastAsia="宋体" w:hAnsi="Times New Roman" w:cs="Times New Roman"/>
                <w:sz w:val="22"/>
              </w:rPr>
              <w:t>Individual Investor</w:t>
            </w:r>
            <w:r w:rsidRPr="33AE0707">
              <w:rPr>
                <w:rFonts w:ascii="Times New Roman" w:eastAsia="宋体" w:hAnsi="Times New Roman" w:cs="Times New Roman"/>
                <w:sz w:val="22"/>
              </w:rPr>
              <w:t>、</w:t>
            </w:r>
            <w:r w:rsidRPr="33AE0707">
              <w:rPr>
                <w:rFonts w:ascii="Times New Roman" w:eastAsia="宋体" w:hAnsi="Times New Roman" w:cs="Times New Roman"/>
                <w:sz w:val="22"/>
              </w:rPr>
              <w:t>Infinity Capital Markets</w:t>
            </w:r>
            <w:r w:rsidRPr="33AE0707">
              <w:rPr>
                <w:rFonts w:ascii="Times New Roman" w:eastAsia="宋体" w:hAnsi="Times New Roman" w:cs="Times New Roman"/>
                <w:sz w:val="22"/>
              </w:rPr>
              <w:t>、</w:t>
            </w:r>
            <w:r w:rsidRPr="33AE0707">
              <w:rPr>
                <w:rFonts w:ascii="Times New Roman" w:eastAsia="宋体" w:hAnsi="Times New Roman" w:cs="Times New Roman"/>
                <w:sz w:val="22"/>
              </w:rPr>
              <w:t>Invesco Great Wall Fund Management Co., Ltd</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Invus</w:t>
            </w:r>
            <w:proofErr w:type="spellEnd"/>
            <w:r w:rsidRPr="33AE0707">
              <w:rPr>
                <w:rFonts w:ascii="Times New Roman" w:eastAsia="宋体" w:hAnsi="Times New Roman" w:cs="Times New Roman"/>
                <w:sz w:val="22"/>
              </w:rPr>
              <w:t>、</w:t>
            </w:r>
            <w:r w:rsidRPr="33AE0707">
              <w:rPr>
                <w:rFonts w:ascii="Times New Roman" w:eastAsia="宋体" w:hAnsi="Times New Roman" w:cs="Times New Roman"/>
                <w:sz w:val="22"/>
              </w:rPr>
              <w:t>Iron Triangle Partners</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Iteos</w:t>
            </w:r>
            <w:proofErr w:type="spellEnd"/>
            <w:r w:rsidRPr="33AE0707">
              <w:rPr>
                <w:rFonts w:ascii="Times New Roman" w:eastAsia="宋体" w:hAnsi="Times New Roman" w:cs="Times New Roman"/>
                <w:sz w:val="22"/>
              </w:rPr>
              <w:t xml:space="preserve"> Therapeutics</w:t>
            </w:r>
            <w:r w:rsidRPr="33AE0707">
              <w:rPr>
                <w:rFonts w:ascii="Times New Roman" w:eastAsia="宋体" w:hAnsi="Times New Roman" w:cs="Times New Roman"/>
                <w:sz w:val="22"/>
              </w:rPr>
              <w:t>、</w:t>
            </w:r>
            <w:r w:rsidRPr="33AE0707">
              <w:rPr>
                <w:rFonts w:ascii="Times New Roman" w:eastAsia="宋体" w:hAnsi="Times New Roman" w:cs="Times New Roman"/>
                <w:sz w:val="22"/>
              </w:rPr>
              <w:t>J.P. Morgan Chase</w:t>
            </w:r>
            <w:r w:rsidRPr="33AE0707">
              <w:rPr>
                <w:rFonts w:ascii="Times New Roman" w:eastAsia="宋体" w:hAnsi="Times New Roman" w:cs="Times New Roman"/>
                <w:sz w:val="22"/>
              </w:rPr>
              <w:t>、</w:t>
            </w:r>
            <w:r w:rsidRPr="33AE0707">
              <w:rPr>
                <w:rFonts w:ascii="Times New Roman" w:eastAsia="宋体" w:hAnsi="Times New Roman" w:cs="Times New Roman"/>
                <w:sz w:val="22"/>
              </w:rPr>
              <w:t>Jain Global</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Janchor</w:t>
            </w:r>
            <w:proofErr w:type="spellEnd"/>
            <w:r w:rsidRPr="33AE0707">
              <w:rPr>
                <w:rFonts w:ascii="Times New Roman" w:eastAsia="宋体" w:hAnsi="Times New Roman" w:cs="Times New Roman"/>
                <w:sz w:val="22"/>
              </w:rPr>
              <w:t xml:space="preserve"> Partners Limited</w:t>
            </w:r>
            <w:r w:rsidRPr="33AE0707">
              <w:rPr>
                <w:rFonts w:ascii="Times New Roman" w:eastAsia="宋体" w:hAnsi="Times New Roman" w:cs="Times New Roman"/>
                <w:sz w:val="22"/>
              </w:rPr>
              <w:t>、</w:t>
            </w:r>
            <w:r w:rsidRPr="33AE0707">
              <w:rPr>
                <w:rFonts w:ascii="Times New Roman" w:eastAsia="宋体" w:hAnsi="Times New Roman" w:cs="Times New Roman"/>
                <w:sz w:val="22"/>
              </w:rPr>
              <w:t>JP Morgan AMC</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Kynam</w:t>
            </w:r>
            <w:proofErr w:type="spellEnd"/>
            <w:r w:rsidRPr="33AE0707">
              <w:rPr>
                <w:rFonts w:ascii="Times New Roman" w:eastAsia="宋体" w:hAnsi="Times New Roman" w:cs="Times New Roman"/>
                <w:sz w:val="22"/>
              </w:rPr>
              <w:t xml:space="preserve"> Capital</w:t>
            </w:r>
            <w:r w:rsidRPr="33AE0707">
              <w:rPr>
                <w:rFonts w:ascii="Times New Roman" w:eastAsia="宋体" w:hAnsi="Times New Roman" w:cs="Times New Roman"/>
                <w:sz w:val="22"/>
              </w:rPr>
              <w:t>、</w:t>
            </w:r>
            <w:r w:rsidRPr="33AE0707">
              <w:rPr>
                <w:rFonts w:ascii="Times New Roman" w:eastAsia="宋体" w:hAnsi="Times New Roman" w:cs="Times New Roman"/>
                <w:sz w:val="22"/>
              </w:rPr>
              <w:t>Leerink Partners</w:t>
            </w:r>
            <w:r w:rsidRPr="33AE0707">
              <w:rPr>
                <w:rFonts w:ascii="Times New Roman" w:eastAsia="宋体" w:hAnsi="Times New Roman" w:cs="Times New Roman"/>
                <w:sz w:val="22"/>
              </w:rPr>
              <w:t>、</w:t>
            </w:r>
            <w:r w:rsidRPr="33AE0707">
              <w:rPr>
                <w:rFonts w:ascii="Times New Roman" w:eastAsia="宋体" w:hAnsi="Times New Roman" w:cs="Times New Roman"/>
                <w:sz w:val="22"/>
              </w:rPr>
              <w:t>Longjing Asset</w:t>
            </w:r>
            <w:r w:rsidRPr="33AE0707">
              <w:rPr>
                <w:rFonts w:ascii="Times New Roman" w:eastAsia="宋体" w:hAnsi="Times New Roman" w:cs="Times New Roman"/>
                <w:sz w:val="22"/>
              </w:rPr>
              <w:t>、</w:t>
            </w:r>
            <w:r w:rsidRPr="33AE0707">
              <w:rPr>
                <w:rFonts w:ascii="Times New Roman" w:eastAsia="宋体" w:hAnsi="Times New Roman" w:cs="Times New Roman"/>
                <w:sz w:val="22"/>
              </w:rPr>
              <w:t>Matrix</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Medsphere</w:t>
            </w:r>
            <w:proofErr w:type="spellEnd"/>
            <w:r w:rsidRPr="33AE0707">
              <w:rPr>
                <w:rFonts w:ascii="Times New Roman" w:eastAsia="宋体" w:hAnsi="Times New Roman" w:cs="Times New Roman"/>
                <w:sz w:val="22"/>
              </w:rPr>
              <w:t>、</w:t>
            </w:r>
            <w:r w:rsidRPr="33AE0707">
              <w:rPr>
                <w:rFonts w:ascii="Times New Roman" w:eastAsia="宋体" w:hAnsi="Times New Roman" w:cs="Times New Roman"/>
                <w:sz w:val="22"/>
              </w:rPr>
              <w:t>Millennium</w:t>
            </w:r>
            <w:r w:rsidRPr="33AE0707">
              <w:rPr>
                <w:rFonts w:ascii="Times New Roman" w:eastAsia="宋体" w:hAnsi="Times New Roman" w:cs="Times New Roman"/>
                <w:sz w:val="22"/>
              </w:rPr>
              <w:t>、</w:t>
            </w:r>
            <w:r w:rsidRPr="33AE0707">
              <w:rPr>
                <w:rFonts w:ascii="Times New Roman" w:eastAsia="宋体" w:hAnsi="Times New Roman" w:cs="Times New Roman"/>
                <w:sz w:val="22"/>
              </w:rPr>
              <w:t>Morgan Stanley</w:t>
            </w:r>
            <w:r w:rsidRPr="33AE0707">
              <w:rPr>
                <w:rFonts w:ascii="Times New Roman" w:eastAsia="宋体" w:hAnsi="Times New Roman" w:cs="Times New Roman"/>
                <w:sz w:val="22"/>
              </w:rPr>
              <w:t>、</w:t>
            </w:r>
            <w:r w:rsidRPr="33AE0707">
              <w:rPr>
                <w:rFonts w:ascii="Times New Roman" w:eastAsia="宋体" w:hAnsi="Times New Roman" w:cs="Times New Roman"/>
                <w:sz w:val="22"/>
              </w:rPr>
              <w:t>New Silk Road</w:t>
            </w:r>
            <w:r w:rsidRPr="33AE0707">
              <w:rPr>
                <w:rFonts w:ascii="Times New Roman" w:eastAsia="宋体" w:hAnsi="Times New Roman" w:cs="Times New Roman"/>
                <w:sz w:val="22"/>
              </w:rPr>
              <w:t>、</w:t>
            </w:r>
            <w:r w:rsidRPr="33AE0707">
              <w:rPr>
                <w:rFonts w:ascii="Times New Roman" w:eastAsia="宋体" w:hAnsi="Times New Roman" w:cs="Times New Roman"/>
                <w:sz w:val="22"/>
              </w:rPr>
              <w:t xml:space="preserve">Oriental Securities </w:t>
            </w:r>
            <w:proofErr w:type="spellStart"/>
            <w:r w:rsidRPr="33AE0707">
              <w:rPr>
                <w:rFonts w:ascii="Times New Roman" w:eastAsia="宋体" w:hAnsi="Times New Roman" w:cs="Times New Roman"/>
                <w:sz w:val="22"/>
              </w:rPr>
              <w:t>Assect</w:t>
            </w:r>
            <w:proofErr w:type="spellEnd"/>
            <w:r w:rsidRPr="33AE0707">
              <w:rPr>
                <w:rFonts w:ascii="Times New Roman" w:eastAsia="宋体" w:hAnsi="Times New Roman" w:cs="Times New Roman"/>
                <w:sz w:val="22"/>
              </w:rPr>
              <w:t xml:space="preserve"> Management</w:t>
            </w:r>
            <w:r w:rsidRPr="33AE0707">
              <w:rPr>
                <w:rFonts w:ascii="Times New Roman" w:eastAsia="宋体" w:hAnsi="Times New Roman" w:cs="Times New Roman"/>
                <w:sz w:val="22"/>
              </w:rPr>
              <w:t>、</w:t>
            </w:r>
            <w:r w:rsidRPr="33AE0707">
              <w:rPr>
                <w:rFonts w:ascii="Times New Roman" w:eastAsia="宋体" w:hAnsi="Times New Roman" w:cs="Times New Roman"/>
                <w:sz w:val="22"/>
              </w:rPr>
              <w:t xml:space="preserve">Paradigm </w:t>
            </w:r>
            <w:proofErr w:type="spellStart"/>
            <w:r w:rsidRPr="33AE0707">
              <w:rPr>
                <w:rFonts w:ascii="Times New Roman" w:eastAsia="宋体" w:hAnsi="Times New Roman" w:cs="Times New Roman"/>
                <w:sz w:val="22"/>
              </w:rPr>
              <w:t>Biocapital</w:t>
            </w:r>
            <w:proofErr w:type="spellEnd"/>
            <w:r w:rsidRPr="33AE0707">
              <w:rPr>
                <w:rFonts w:ascii="Times New Roman" w:eastAsia="宋体" w:hAnsi="Times New Roman" w:cs="Times New Roman"/>
                <w:sz w:val="22"/>
              </w:rPr>
              <w:t>、</w:t>
            </w:r>
            <w:r w:rsidRPr="33AE0707">
              <w:rPr>
                <w:rFonts w:ascii="Times New Roman" w:eastAsia="宋体" w:hAnsi="Times New Roman" w:cs="Times New Roman"/>
                <w:sz w:val="22"/>
              </w:rPr>
              <w:t>Perseverance Asset Management</w:t>
            </w:r>
            <w:r w:rsidRPr="33AE0707">
              <w:rPr>
                <w:rFonts w:ascii="Times New Roman" w:eastAsia="宋体" w:hAnsi="Times New Roman" w:cs="Times New Roman"/>
                <w:sz w:val="22"/>
              </w:rPr>
              <w:t>、</w:t>
            </w:r>
            <w:r w:rsidRPr="33AE0707">
              <w:rPr>
                <w:rFonts w:ascii="Times New Roman" w:eastAsia="宋体" w:hAnsi="Times New Roman" w:cs="Times New Roman"/>
                <w:sz w:val="22"/>
              </w:rPr>
              <w:t>PICC AM</w:t>
            </w:r>
            <w:r w:rsidRPr="33AE0707">
              <w:rPr>
                <w:rFonts w:ascii="Times New Roman" w:eastAsia="宋体" w:hAnsi="Times New Roman" w:cs="Times New Roman"/>
                <w:sz w:val="22"/>
              </w:rPr>
              <w:t>、</w:t>
            </w:r>
            <w:r w:rsidRPr="33AE0707">
              <w:rPr>
                <w:rFonts w:ascii="Times New Roman" w:eastAsia="宋体" w:hAnsi="Times New Roman" w:cs="Times New Roman"/>
                <w:sz w:val="22"/>
              </w:rPr>
              <w:t>Point72</w:t>
            </w:r>
            <w:r w:rsidRPr="33AE0707">
              <w:rPr>
                <w:rFonts w:ascii="Times New Roman" w:eastAsia="宋体" w:hAnsi="Times New Roman" w:cs="Times New Roman"/>
                <w:sz w:val="22"/>
              </w:rPr>
              <w:t>、</w:t>
            </w:r>
            <w:r w:rsidRPr="33AE0707">
              <w:rPr>
                <w:rFonts w:ascii="Times New Roman" w:eastAsia="宋体" w:hAnsi="Times New Roman" w:cs="Times New Roman"/>
                <w:sz w:val="22"/>
              </w:rPr>
              <w:t>Polymer Capital</w:t>
            </w:r>
            <w:r w:rsidRPr="33AE0707">
              <w:rPr>
                <w:rFonts w:ascii="Times New Roman" w:eastAsia="宋体" w:hAnsi="Times New Roman" w:cs="Times New Roman"/>
                <w:sz w:val="22"/>
              </w:rPr>
              <w:t>、</w:t>
            </w:r>
            <w:r w:rsidRPr="33AE0707">
              <w:rPr>
                <w:rFonts w:ascii="Times New Roman" w:eastAsia="宋体" w:hAnsi="Times New Roman" w:cs="Times New Roman"/>
                <w:sz w:val="22"/>
              </w:rPr>
              <w:t>Prescient Healthcare</w:t>
            </w:r>
            <w:r w:rsidRPr="33AE0707">
              <w:rPr>
                <w:rFonts w:ascii="Times New Roman" w:eastAsia="宋体" w:hAnsi="Times New Roman" w:cs="Times New Roman"/>
                <w:sz w:val="22"/>
              </w:rPr>
              <w:t>、</w:t>
            </w:r>
            <w:r w:rsidRPr="33AE0707">
              <w:rPr>
                <w:rFonts w:ascii="Times New Roman" w:eastAsia="宋体" w:hAnsi="Times New Roman" w:cs="Times New Roman"/>
                <w:sz w:val="22"/>
              </w:rPr>
              <w:t>Prescient HG</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Purekind</w:t>
            </w:r>
            <w:proofErr w:type="spellEnd"/>
            <w:r w:rsidRPr="33AE0707">
              <w:rPr>
                <w:rFonts w:ascii="Times New Roman" w:eastAsia="宋体" w:hAnsi="Times New Roman" w:cs="Times New Roman"/>
                <w:sz w:val="22"/>
              </w:rPr>
              <w:t xml:space="preserve"> Fund</w:t>
            </w:r>
            <w:r w:rsidRPr="33AE0707">
              <w:rPr>
                <w:rFonts w:ascii="Times New Roman" w:eastAsia="宋体" w:hAnsi="Times New Roman" w:cs="Times New Roman"/>
                <w:sz w:val="22"/>
              </w:rPr>
              <w:t>、</w:t>
            </w:r>
            <w:r w:rsidRPr="33AE0707">
              <w:rPr>
                <w:rFonts w:ascii="Times New Roman" w:eastAsia="宋体" w:hAnsi="Times New Roman" w:cs="Times New Roman"/>
                <w:sz w:val="22"/>
              </w:rPr>
              <w:t>Raymond James</w:t>
            </w:r>
            <w:r w:rsidRPr="33AE0707">
              <w:rPr>
                <w:rFonts w:ascii="Times New Roman" w:eastAsia="宋体" w:hAnsi="Times New Roman" w:cs="Times New Roman"/>
                <w:sz w:val="22"/>
              </w:rPr>
              <w:t>、</w:t>
            </w:r>
            <w:r w:rsidRPr="33AE0707">
              <w:rPr>
                <w:rFonts w:ascii="Times New Roman" w:eastAsia="宋体" w:hAnsi="Times New Roman" w:cs="Times New Roman"/>
                <w:sz w:val="22"/>
              </w:rPr>
              <w:t>RBC Capital Markets</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Redmile</w:t>
            </w:r>
            <w:proofErr w:type="spellEnd"/>
            <w:r w:rsidRPr="33AE0707">
              <w:rPr>
                <w:rFonts w:ascii="Times New Roman" w:eastAsia="宋体" w:hAnsi="Times New Roman" w:cs="Times New Roman"/>
                <w:sz w:val="22"/>
              </w:rPr>
              <w:t xml:space="preserve"> Group</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Redwheel</w:t>
            </w:r>
            <w:proofErr w:type="spellEnd"/>
            <w:r w:rsidRPr="33AE0707">
              <w:rPr>
                <w:rFonts w:ascii="Times New Roman" w:eastAsia="宋体" w:hAnsi="Times New Roman" w:cs="Times New Roman"/>
                <w:sz w:val="22"/>
              </w:rPr>
              <w:t xml:space="preserve"> Capital</w:t>
            </w:r>
            <w:r w:rsidRPr="33AE0707">
              <w:rPr>
                <w:rFonts w:ascii="Times New Roman" w:eastAsia="宋体" w:hAnsi="Times New Roman" w:cs="Times New Roman"/>
                <w:sz w:val="22"/>
              </w:rPr>
              <w:t>、</w:t>
            </w:r>
            <w:r w:rsidRPr="33AE0707">
              <w:rPr>
                <w:rFonts w:ascii="Times New Roman" w:eastAsia="宋体" w:hAnsi="Times New Roman" w:cs="Times New Roman"/>
                <w:sz w:val="22"/>
              </w:rPr>
              <w:t>Rising AMC</w:t>
            </w:r>
            <w:r w:rsidRPr="33AE0707">
              <w:rPr>
                <w:rFonts w:ascii="Times New Roman" w:eastAsia="宋体" w:hAnsi="Times New Roman" w:cs="Times New Roman"/>
                <w:sz w:val="22"/>
              </w:rPr>
              <w:t>、</w:t>
            </w:r>
            <w:r w:rsidRPr="33AE0707">
              <w:rPr>
                <w:rFonts w:ascii="Times New Roman" w:eastAsia="宋体" w:hAnsi="Times New Roman" w:cs="Times New Roman"/>
                <w:sz w:val="22"/>
              </w:rPr>
              <w:t>Shanghai Excellent Capital</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Songqing</w:t>
            </w:r>
            <w:proofErr w:type="spellEnd"/>
            <w:r w:rsidRPr="33AE0707">
              <w:rPr>
                <w:rFonts w:ascii="Times New Roman" w:eastAsia="宋体" w:hAnsi="Times New Roman" w:cs="Times New Roman"/>
                <w:sz w:val="22"/>
              </w:rPr>
              <w:t xml:space="preserve"> Capital</w:t>
            </w:r>
            <w:r w:rsidRPr="33AE0707">
              <w:rPr>
                <w:rFonts w:ascii="Times New Roman" w:eastAsia="宋体" w:hAnsi="Times New Roman" w:cs="Times New Roman"/>
                <w:sz w:val="22"/>
              </w:rPr>
              <w:t>、</w:t>
            </w:r>
            <w:r w:rsidRPr="33AE0707">
              <w:rPr>
                <w:rFonts w:ascii="Times New Roman" w:eastAsia="宋体" w:hAnsi="Times New Roman" w:cs="Times New Roman"/>
                <w:sz w:val="22"/>
              </w:rPr>
              <w:t>Springhill Fund</w:t>
            </w:r>
            <w:r w:rsidRPr="33AE0707">
              <w:rPr>
                <w:rFonts w:ascii="Times New Roman" w:eastAsia="宋体" w:hAnsi="Times New Roman" w:cs="Times New Roman"/>
                <w:sz w:val="22"/>
              </w:rPr>
              <w:t>、</w:t>
            </w:r>
            <w:r w:rsidRPr="33AE0707">
              <w:rPr>
                <w:rFonts w:ascii="Times New Roman" w:eastAsia="宋体" w:hAnsi="Times New Roman" w:cs="Times New Roman"/>
                <w:sz w:val="22"/>
              </w:rPr>
              <w:t>T Rowe</w:t>
            </w:r>
            <w:r w:rsidRPr="33AE0707">
              <w:rPr>
                <w:rFonts w:ascii="Times New Roman" w:eastAsia="宋体" w:hAnsi="Times New Roman" w:cs="Times New Roman"/>
                <w:sz w:val="22"/>
              </w:rPr>
              <w:t>、</w:t>
            </w:r>
            <w:r w:rsidRPr="33AE0707">
              <w:rPr>
                <w:rFonts w:ascii="Times New Roman" w:eastAsia="宋体" w:hAnsi="Times New Roman" w:cs="Times New Roman"/>
                <w:sz w:val="22"/>
              </w:rPr>
              <w:t>TD Cowen</w:t>
            </w:r>
            <w:r w:rsidRPr="33AE0707">
              <w:rPr>
                <w:rFonts w:ascii="Times New Roman" w:eastAsia="宋体" w:hAnsi="Times New Roman" w:cs="Times New Roman"/>
                <w:sz w:val="22"/>
              </w:rPr>
              <w:t>、</w:t>
            </w:r>
            <w:r w:rsidRPr="33AE0707">
              <w:rPr>
                <w:rFonts w:ascii="Times New Roman" w:eastAsia="宋体" w:hAnsi="Times New Roman" w:cs="Times New Roman"/>
                <w:sz w:val="22"/>
              </w:rPr>
              <w:t>TD Securities</w:t>
            </w:r>
            <w:r w:rsidRPr="33AE0707">
              <w:rPr>
                <w:rFonts w:ascii="Times New Roman" w:eastAsia="宋体" w:hAnsi="Times New Roman" w:cs="Times New Roman"/>
                <w:sz w:val="22"/>
              </w:rPr>
              <w:t>、</w:t>
            </w:r>
            <w:r w:rsidRPr="33AE0707">
              <w:rPr>
                <w:rFonts w:ascii="Times New Roman" w:eastAsia="宋体" w:hAnsi="Times New Roman" w:cs="Times New Roman"/>
                <w:sz w:val="22"/>
              </w:rPr>
              <w:t>Temasek</w:t>
            </w:r>
            <w:r w:rsidRPr="33AE0707">
              <w:rPr>
                <w:rFonts w:ascii="Times New Roman" w:eastAsia="宋体" w:hAnsi="Times New Roman" w:cs="Times New Roman"/>
                <w:sz w:val="22"/>
              </w:rPr>
              <w:t>、</w:t>
            </w:r>
            <w:r w:rsidRPr="33AE0707">
              <w:rPr>
                <w:rFonts w:ascii="Times New Roman" w:eastAsia="宋体" w:hAnsi="Times New Roman" w:cs="Times New Roman"/>
                <w:sz w:val="22"/>
              </w:rPr>
              <w:t>Tenacity Investment Management</w:t>
            </w:r>
            <w:r w:rsidRPr="33AE0707">
              <w:rPr>
                <w:rFonts w:ascii="Times New Roman" w:eastAsia="宋体" w:hAnsi="Times New Roman" w:cs="Times New Roman"/>
                <w:sz w:val="22"/>
              </w:rPr>
              <w:t>、</w:t>
            </w:r>
            <w:r w:rsidRPr="33AE0707">
              <w:rPr>
                <w:rFonts w:ascii="Times New Roman" w:eastAsia="宋体" w:hAnsi="Times New Roman" w:cs="Times New Roman"/>
                <w:sz w:val="22"/>
              </w:rPr>
              <w:t>The Great Wall Fund Management Co, Ltd.</w:t>
            </w:r>
            <w:r w:rsidRPr="33AE0707">
              <w:rPr>
                <w:rFonts w:ascii="Times New Roman" w:eastAsia="宋体" w:hAnsi="Times New Roman" w:cs="Times New Roman"/>
                <w:sz w:val="22"/>
              </w:rPr>
              <w:t>、</w:t>
            </w:r>
            <w:r w:rsidRPr="33AE0707">
              <w:rPr>
                <w:rFonts w:ascii="Times New Roman" w:eastAsia="宋体" w:hAnsi="Times New Roman" w:cs="Times New Roman"/>
                <w:sz w:val="22"/>
              </w:rPr>
              <w:t>Vision Capital</w:t>
            </w:r>
            <w:r w:rsidRPr="33AE0707">
              <w:rPr>
                <w:rFonts w:ascii="Times New Roman" w:eastAsia="宋体" w:hAnsi="Times New Roman" w:cs="Times New Roman"/>
                <w:sz w:val="22"/>
              </w:rPr>
              <w:t>、</w:t>
            </w:r>
            <w:proofErr w:type="spellStart"/>
            <w:r w:rsidRPr="33AE0707">
              <w:rPr>
                <w:rFonts w:ascii="Times New Roman" w:eastAsia="宋体" w:hAnsi="Times New Roman" w:cs="Times New Roman"/>
                <w:sz w:val="22"/>
              </w:rPr>
              <w:t>Visione</w:t>
            </w:r>
            <w:proofErr w:type="spellEnd"/>
            <w:r w:rsidRPr="33AE0707">
              <w:rPr>
                <w:rFonts w:ascii="Times New Roman" w:eastAsia="宋体" w:hAnsi="Times New Roman" w:cs="Times New Roman"/>
                <w:sz w:val="22"/>
              </w:rPr>
              <w:t xml:space="preserve"> Asset</w:t>
            </w:r>
            <w:r w:rsidRPr="33AE0707">
              <w:rPr>
                <w:rFonts w:ascii="Times New Roman" w:eastAsia="宋体" w:hAnsi="Times New Roman" w:cs="Times New Roman"/>
                <w:sz w:val="22"/>
              </w:rPr>
              <w:t>、</w:t>
            </w:r>
            <w:r w:rsidRPr="33AE0707">
              <w:rPr>
                <w:rFonts w:ascii="Times New Roman" w:eastAsia="宋体" w:hAnsi="Times New Roman" w:cs="Times New Roman"/>
                <w:sz w:val="22"/>
              </w:rPr>
              <w:t>White Oak Capital</w:t>
            </w:r>
            <w:r w:rsidRPr="33AE0707">
              <w:rPr>
                <w:rFonts w:ascii="Times New Roman" w:eastAsia="宋体" w:hAnsi="Times New Roman" w:cs="Times New Roman"/>
                <w:sz w:val="22"/>
              </w:rPr>
              <w:t>、</w:t>
            </w:r>
            <w:r w:rsidRPr="33AE0707">
              <w:rPr>
                <w:rFonts w:ascii="Times New Roman" w:eastAsia="宋体" w:hAnsi="Times New Roman" w:cs="Times New Roman"/>
                <w:sz w:val="22"/>
              </w:rPr>
              <w:t>Woodline</w:t>
            </w:r>
            <w:r w:rsidRPr="33AE0707">
              <w:rPr>
                <w:rFonts w:ascii="Times New Roman" w:eastAsia="宋体" w:hAnsi="Times New Roman" w:cs="Times New Roman"/>
                <w:sz w:val="22"/>
              </w:rPr>
              <w:t>、</w:t>
            </w:r>
            <w:r w:rsidRPr="33AE0707">
              <w:rPr>
                <w:rFonts w:ascii="Times New Roman" w:eastAsia="宋体" w:hAnsi="Times New Roman" w:cs="Times New Roman"/>
                <w:sz w:val="22"/>
              </w:rPr>
              <w:t xml:space="preserve">Xiamen </w:t>
            </w:r>
            <w:proofErr w:type="spellStart"/>
            <w:r w:rsidRPr="33AE0707">
              <w:rPr>
                <w:rFonts w:ascii="Times New Roman" w:eastAsia="宋体" w:hAnsi="Times New Roman" w:cs="Times New Roman"/>
                <w:sz w:val="22"/>
              </w:rPr>
              <w:t>Shouzhengchuqi</w:t>
            </w:r>
            <w:proofErr w:type="spellEnd"/>
            <w:r w:rsidRPr="33AE0707">
              <w:rPr>
                <w:rFonts w:ascii="Times New Roman" w:eastAsia="宋体" w:hAnsi="Times New Roman" w:cs="Times New Roman"/>
                <w:sz w:val="22"/>
              </w:rPr>
              <w:t xml:space="preserve"> Investment Ltd.</w:t>
            </w:r>
            <w:r w:rsidRPr="33AE0707">
              <w:rPr>
                <w:rFonts w:ascii="Times New Roman" w:eastAsia="宋体" w:hAnsi="Times New Roman" w:cs="Times New Roman"/>
                <w:sz w:val="22"/>
              </w:rPr>
              <w:t>、</w:t>
            </w:r>
            <w:r w:rsidRPr="33AE0707">
              <w:rPr>
                <w:rFonts w:ascii="Times New Roman" w:eastAsia="宋体" w:hAnsi="Times New Roman" w:cs="Times New Roman"/>
                <w:sz w:val="22"/>
              </w:rPr>
              <w:t>Yong Rong Asset</w:t>
            </w:r>
            <w:r w:rsidRPr="33AE0707">
              <w:rPr>
                <w:rFonts w:ascii="Times New Roman" w:eastAsia="宋体" w:hAnsi="Times New Roman" w:cs="Times New Roman"/>
                <w:sz w:val="22"/>
              </w:rPr>
              <w:t>、共青城意志力私募基金管理有限公司、弘耀科创、汇添富基金、惠升医药、上海乾瞻资产管理有限公司、尚德投资、外贸信托、万家基金、招商基金、中融汇信期货有限公司、中信保诚基金等。</w:t>
            </w:r>
          </w:p>
        </w:tc>
      </w:tr>
      <w:tr w:rsidR="005100C9" w:rsidRPr="005100C9" w14:paraId="0B6DD5B0" w14:textId="77777777" w:rsidTr="33AE0707">
        <w:trPr>
          <w:trHeight w:val="544"/>
          <w:jc w:val="center"/>
        </w:trPr>
        <w:tc>
          <w:tcPr>
            <w:tcW w:w="1526" w:type="dxa"/>
          </w:tcPr>
          <w:p w14:paraId="06C2344E"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lastRenderedPageBreak/>
              <w:t>时间</w:t>
            </w:r>
          </w:p>
        </w:tc>
        <w:tc>
          <w:tcPr>
            <w:tcW w:w="7238" w:type="dxa"/>
            <w:vAlign w:val="center"/>
          </w:tcPr>
          <w:p w14:paraId="635D4004" w14:textId="77777777" w:rsidR="005100C9" w:rsidRPr="005100C9" w:rsidRDefault="005100C9" w:rsidP="005100C9">
            <w:pPr>
              <w:tabs>
                <w:tab w:val="left" w:pos="1014"/>
                <w:tab w:val="left" w:pos="4360"/>
                <w:tab w:val="left" w:pos="5704"/>
              </w:tabs>
              <w:adjustRightInd w:val="0"/>
              <w:spacing w:line="312" w:lineRule="auto"/>
              <w:contextualSpacing/>
              <w:rPr>
                <w:rFonts w:ascii="Times New Roman" w:eastAsia="宋体" w:hAnsi="Times New Roman" w:cs="Times New Roman"/>
                <w:sz w:val="22"/>
                <w14:ligatures w14:val="none"/>
              </w:rPr>
            </w:pPr>
            <w:r w:rsidRPr="005100C9">
              <w:rPr>
                <w:rFonts w:ascii="Times New Roman" w:eastAsia="宋体" w:hAnsi="Times New Roman" w:cs="Times New Roman"/>
                <w:sz w:val="22"/>
                <w14:ligatures w14:val="none"/>
              </w:rPr>
              <w:t>202</w:t>
            </w:r>
            <w:r w:rsidRPr="005100C9">
              <w:rPr>
                <w:rFonts w:ascii="Times New Roman" w:eastAsia="宋体" w:hAnsi="Times New Roman" w:cs="Times New Roman" w:hint="eastAsia"/>
                <w:sz w:val="22"/>
                <w14:ligatures w14:val="none"/>
              </w:rPr>
              <w:t>5</w:t>
            </w:r>
            <w:r w:rsidRPr="005100C9">
              <w:rPr>
                <w:rFonts w:ascii="Times New Roman" w:eastAsia="宋体" w:hAnsi="Times New Roman" w:cs="Times New Roman"/>
                <w:sz w:val="22"/>
                <w14:ligatures w14:val="none"/>
              </w:rPr>
              <w:t>年</w:t>
            </w:r>
            <w:r w:rsidRPr="005100C9">
              <w:rPr>
                <w:rFonts w:ascii="Times New Roman" w:eastAsia="宋体" w:hAnsi="Times New Roman" w:cs="Times New Roman" w:hint="eastAsia"/>
                <w:sz w:val="22"/>
                <w14:ligatures w14:val="none"/>
              </w:rPr>
              <w:t>5</w:t>
            </w:r>
            <w:r w:rsidRPr="005100C9">
              <w:rPr>
                <w:rFonts w:ascii="Times New Roman" w:eastAsia="宋体" w:hAnsi="Times New Roman" w:cs="Times New Roman"/>
                <w:sz w:val="22"/>
                <w14:ligatures w14:val="none"/>
              </w:rPr>
              <w:t>月</w:t>
            </w:r>
            <w:r w:rsidRPr="005100C9">
              <w:rPr>
                <w:rFonts w:ascii="Times New Roman" w:eastAsia="宋体" w:hAnsi="Times New Roman" w:cs="Times New Roman" w:hint="eastAsia"/>
                <w:sz w:val="22"/>
                <w14:ligatures w14:val="none"/>
              </w:rPr>
              <w:t>7</w:t>
            </w:r>
            <w:r w:rsidRPr="005100C9">
              <w:rPr>
                <w:rFonts w:ascii="Times New Roman" w:eastAsia="宋体" w:hAnsi="Times New Roman" w:cs="Times New Roman"/>
                <w:sz w:val="22"/>
                <w14:ligatures w14:val="none"/>
              </w:rPr>
              <w:t>日</w:t>
            </w:r>
          </w:p>
        </w:tc>
      </w:tr>
      <w:tr w:rsidR="005100C9" w:rsidRPr="005100C9" w14:paraId="78092122" w14:textId="77777777" w:rsidTr="33AE0707">
        <w:trPr>
          <w:jc w:val="center"/>
        </w:trPr>
        <w:tc>
          <w:tcPr>
            <w:tcW w:w="1526" w:type="dxa"/>
          </w:tcPr>
          <w:p w14:paraId="0FAB7A90"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地点</w:t>
            </w:r>
          </w:p>
        </w:tc>
        <w:tc>
          <w:tcPr>
            <w:tcW w:w="7238" w:type="dxa"/>
          </w:tcPr>
          <w:p w14:paraId="40898D93" w14:textId="77777777" w:rsidR="005100C9" w:rsidRPr="005100C9" w:rsidRDefault="005100C9" w:rsidP="005100C9">
            <w:pPr>
              <w:tabs>
                <w:tab w:val="left" w:pos="1014"/>
                <w:tab w:val="left" w:pos="4360"/>
                <w:tab w:val="left" w:pos="5704"/>
              </w:tabs>
              <w:adjustRightInd w:val="0"/>
              <w:spacing w:line="360" w:lineRule="auto"/>
              <w:contextualSpacing/>
              <w:rPr>
                <w:rFonts w:ascii="Times New Roman" w:eastAsia="宋体" w:hAnsi="Times New Roman" w:cs="Times New Roman"/>
                <w:sz w:val="22"/>
                <w14:ligatures w14:val="none"/>
              </w:rPr>
            </w:pPr>
            <w:r w:rsidRPr="005100C9">
              <w:rPr>
                <w:rFonts w:ascii="Times New Roman" w:eastAsia="宋体" w:hAnsi="Times New Roman" w:cs="Times New Roman"/>
                <w:sz w:val="22"/>
                <w14:ligatures w14:val="none"/>
              </w:rPr>
              <w:t>电话会议</w:t>
            </w:r>
          </w:p>
        </w:tc>
      </w:tr>
      <w:tr w:rsidR="005100C9" w:rsidRPr="005100C9" w14:paraId="1CF5B540" w14:textId="77777777" w:rsidTr="33AE0707">
        <w:trPr>
          <w:jc w:val="center"/>
        </w:trPr>
        <w:tc>
          <w:tcPr>
            <w:tcW w:w="1526" w:type="dxa"/>
          </w:tcPr>
          <w:p w14:paraId="1149024D"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接待人员</w:t>
            </w:r>
          </w:p>
        </w:tc>
        <w:tc>
          <w:tcPr>
            <w:tcW w:w="7238" w:type="dxa"/>
          </w:tcPr>
          <w:p w14:paraId="38E9FBA5" w14:textId="77777777" w:rsidR="005100C9" w:rsidRPr="005100C9" w:rsidRDefault="005100C9" w:rsidP="005100C9">
            <w:pPr>
              <w:tabs>
                <w:tab w:val="left" w:pos="1014"/>
                <w:tab w:val="left" w:pos="4360"/>
                <w:tab w:val="left" w:pos="5704"/>
              </w:tabs>
              <w:adjustRightInd w:val="0"/>
              <w:spacing w:line="360" w:lineRule="auto"/>
              <w:contextualSpacing/>
              <w:rPr>
                <w:rFonts w:ascii="Times New Roman" w:eastAsia="宋体" w:hAnsi="Times New Roman" w:cs="Times New Roman"/>
                <w:sz w:val="22"/>
                <w14:ligatures w14:val="none"/>
              </w:rPr>
            </w:pPr>
            <w:r w:rsidRPr="005100C9">
              <w:rPr>
                <w:rFonts w:ascii="Times New Roman" w:eastAsia="宋体" w:hAnsi="Times New Roman" w:cs="Times New Roman" w:hint="eastAsia"/>
                <w:sz w:val="22"/>
                <w14:ligatures w14:val="none"/>
              </w:rPr>
              <w:t>公司联合创始人、董事长兼首席执行官：</w:t>
            </w:r>
            <w:proofErr w:type="gramStart"/>
            <w:r w:rsidRPr="005100C9">
              <w:rPr>
                <w:rFonts w:ascii="Times New Roman" w:eastAsia="宋体" w:hAnsi="Times New Roman" w:cs="Times New Roman" w:hint="eastAsia"/>
                <w:sz w:val="22"/>
                <w14:ligatures w14:val="none"/>
              </w:rPr>
              <w:t>欧雷强</w:t>
            </w:r>
            <w:proofErr w:type="gramEnd"/>
          </w:p>
          <w:p w14:paraId="25E49E9F" w14:textId="27C17313" w:rsidR="00FB1185" w:rsidRDefault="00940717" w:rsidP="005100C9">
            <w:pPr>
              <w:tabs>
                <w:tab w:val="left" w:pos="1014"/>
                <w:tab w:val="left" w:pos="4360"/>
                <w:tab w:val="left" w:pos="5704"/>
              </w:tabs>
              <w:adjustRightInd w:val="0"/>
              <w:spacing w:line="360" w:lineRule="auto"/>
              <w:contextualSpacing/>
              <w:rPr>
                <w:rFonts w:ascii="Times New Roman" w:eastAsia="宋体" w:hAnsi="Times New Roman" w:cs="Times New Roman"/>
                <w:sz w:val="22"/>
                <w14:ligatures w14:val="none"/>
              </w:rPr>
            </w:pPr>
            <w:r w:rsidRPr="00940717">
              <w:rPr>
                <w:rFonts w:ascii="Times New Roman" w:eastAsia="宋体" w:hAnsi="Times New Roman" w:cs="Times New Roman" w:hint="eastAsia"/>
                <w:sz w:val="22"/>
                <w14:ligatures w14:val="none"/>
              </w:rPr>
              <w:t>总裁兼首席运营官</w:t>
            </w:r>
            <w:r>
              <w:rPr>
                <w:rFonts w:ascii="Times New Roman" w:eastAsia="宋体" w:hAnsi="Times New Roman" w:cs="Times New Roman" w:hint="eastAsia"/>
                <w:sz w:val="22"/>
                <w14:ligatures w14:val="none"/>
              </w:rPr>
              <w:t>：</w:t>
            </w:r>
            <w:r w:rsidR="004F6426" w:rsidRPr="004F6426">
              <w:rPr>
                <w:rFonts w:ascii="Times New Roman" w:eastAsia="宋体" w:hAnsi="Times New Roman" w:cs="Times New Roman" w:hint="eastAsia"/>
                <w:sz w:val="22"/>
                <w14:ligatures w14:val="none"/>
              </w:rPr>
              <w:t>吴晓滨</w:t>
            </w:r>
          </w:p>
          <w:p w14:paraId="0367C136" w14:textId="4F9F1B3C" w:rsidR="005100C9" w:rsidRPr="005100C9" w:rsidRDefault="005100C9" w:rsidP="005100C9">
            <w:pPr>
              <w:tabs>
                <w:tab w:val="left" w:pos="1014"/>
                <w:tab w:val="left" w:pos="4360"/>
                <w:tab w:val="left" w:pos="5704"/>
              </w:tabs>
              <w:adjustRightInd w:val="0"/>
              <w:spacing w:line="360" w:lineRule="auto"/>
              <w:contextualSpacing/>
              <w:rPr>
                <w:rFonts w:ascii="Times New Roman" w:eastAsia="宋体" w:hAnsi="Times New Roman" w:cs="Times New Roman"/>
                <w:sz w:val="22"/>
                <w14:ligatures w14:val="none"/>
              </w:rPr>
            </w:pPr>
            <w:r w:rsidRPr="005100C9">
              <w:rPr>
                <w:rFonts w:ascii="Times New Roman" w:eastAsia="宋体" w:hAnsi="Times New Roman" w:cs="Times New Roman" w:hint="eastAsia"/>
                <w:sz w:val="22"/>
                <w14:ligatures w14:val="none"/>
              </w:rPr>
              <w:t>高级副总裁、全球研发负责人：汪来</w:t>
            </w:r>
          </w:p>
          <w:p w14:paraId="3E6BE70B" w14:textId="77777777" w:rsidR="005100C9" w:rsidRPr="005100C9" w:rsidRDefault="005100C9" w:rsidP="005100C9">
            <w:pPr>
              <w:tabs>
                <w:tab w:val="left" w:pos="1014"/>
                <w:tab w:val="left" w:pos="4360"/>
                <w:tab w:val="left" w:pos="5704"/>
              </w:tabs>
              <w:adjustRightInd w:val="0"/>
              <w:spacing w:line="360" w:lineRule="auto"/>
              <w:contextualSpacing/>
              <w:rPr>
                <w:rFonts w:ascii="Times New Roman" w:eastAsia="宋体" w:hAnsi="Times New Roman" w:cs="Times New Roman"/>
                <w:sz w:val="22"/>
                <w14:ligatures w14:val="none"/>
              </w:rPr>
            </w:pPr>
            <w:r w:rsidRPr="005100C9">
              <w:rPr>
                <w:rFonts w:ascii="Times New Roman" w:eastAsia="宋体" w:hAnsi="Times New Roman" w:cs="Times New Roman" w:hint="eastAsia"/>
                <w:sz w:val="22"/>
                <w14:ligatures w14:val="none"/>
              </w:rPr>
              <w:t>公司北美地区总经理：</w:t>
            </w:r>
            <w:r w:rsidRPr="005100C9">
              <w:rPr>
                <w:rFonts w:ascii="Times New Roman" w:eastAsia="宋体" w:hAnsi="Times New Roman" w:cs="Times New Roman" w:hint="eastAsia"/>
                <w:sz w:val="22"/>
                <w14:ligatures w14:val="none"/>
              </w:rPr>
              <w:t xml:space="preserve">Matt </w:t>
            </w:r>
            <w:proofErr w:type="spellStart"/>
            <w:r w:rsidRPr="005100C9">
              <w:rPr>
                <w:rFonts w:ascii="Times New Roman" w:eastAsia="宋体" w:hAnsi="Times New Roman" w:cs="Times New Roman" w:hint="eastAsia"/>
                <w:sz w:val="22"/>
                <w14:ligatures w14:val="none"/>
              </w:rPr>
              <w:t>Shaulis</w:t>
            </w:r>
            <w:proofErr w:type="spellEnd"/>
          </w:p>
          <w:p w14:paraId="4C8B7433" w14:textId="77777777" w:rsidR="005100C9" w:rsidRPr="005100C9" w:rsidRDefault="005100C9" w:rsidP="005100C9">
            <w:pPr>
              <w:tabs>
                <w:tab w:val="left" w:pos="1014"/>
                <w:tab w:val="left" w:pos="4360"/>
                <w:tab w:val="left" w:pos="5704"/>
              </w:tabs>
              <w:adjustRightInd w:val="0"/>
              <w:spacing w:line="360" w:lineRule="auto"/>
              <w:contextualSpacing/>
              <w:rPr>
                <w:rFonts w:ascii="Times New Roman" w:eastAsia="宋体" w:hAnsi="Times New Roman" w:cs="Times New Roman"/>
                <w:sz w:val="22"/>
                <w14:ligatures w14:val="none"/>
              </w:rPr>
            </w:pPr>
            <w:r w:rsidRPr="005100C9">
              <w:rPr>
                <w:rFonts w:ascii="Times New Roman" w:eastAsia="宋体" w:hAnsi="Times New Roman" w:cs="Times New Roman" w:hint="eastAsia"/>
                <w:sz w:val="22"/>
                <w14:ligatures w14:val="none"/>
              </w:rPr>
              <w:t>公司首席财务官：</w:t>
            </w:r>
            <w:r w:rsidRPr="005100C9">
              <w:rPr>
                <w:rFonts w:ascii="Times New Roman" w:eastAsia="宋体" w:hAnsi="Times New Roman" w:cs="Times New Roman" w:hint="eastAsia"/>
                <w:sz w:val="22"/>
                <w14:ligatures w14:val="none"/>
              </w:rPr>
              <w:t>Aaron Rosenberg</w:t>
            </w:r>
          </w:p>
        </w:tc>
      </w:tr>
      <w:tr w:rsidR="005100C9" w:rsidRPr="005100C9" w14:paraId="7386E02C" w14:textId="77777777" w:rsidTr="33AE0707">
        <w:trPr>
          <w:jc w:val="center"/>
        </w:trPr>
        <w:tc>
          <w:tcPr>
            <w:tcW w:w="1526" w:type="dxa"/>
          </w:tcPr>
          <w:p w14:paraId="1937213C" w14:textId="77777777" w:rsidR="005100C9" w:rsidRPr="005100C9" w:rsidRDefault="005100C9" w:rsidP="005100C9">
            <w:pPr>
              <w:adjustRightInd w:val="0"/>
              <w:spacing w:line="360" w:lineRule="auto"/>
              <w:contextualSpacing/>
              <w:jc w:val="left"/>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投资者关系活动主要内容介绍</w:t>
            </w:r>
          </w:p>
        </w:tc>
        <w:tc>
          <w:tcPr>
            <w:tcW w:w="7238" w:type="dxa"/>
          </w:tcPr>
          <w:p w14:paraId="405AD427" w14:textId="77777777" w:rsidR="005953BB" w:rsidRPr="00F200EA" w:rsidRDefault="005953BB" w:rsidP="005953BB">
            <w:pPr>
              <w:spacing w:line="360" w:lineRule="auto"/>
              <w:rPr>
                <w:rFonts w:ascii="宋体" w:eastAsia="宋体" w:hAnsi="宋体" w:cs="Times New Roman" w:hint="eastAsia"/>
                <w:b/>
                <w:sz w:val="22"/>
              </w:rPr>
            </w:pPr>
            <w:r w:rsidRPr="00934290">
              <w:rPr>
                <w:rFonts w:ascii="宋体" w:eastAsia="宋体" w:hAnsi="宋体" w:cs="Times New Roman" w:hint="eastAsia"/>
                <w:b/>
                <w:sz w:val="22"/>
              </w:rPr>
              <w:t>公司联合创始人、董事长兼首席执行官</w:t>
            </w:r>
            <w:proofErr w:type="gramStart"/>
            <w:r w:rsidRPr="00934290">
              <w:rPr>
                <w:rFonts w:ascii="宋体" w:eastAsia="宋体" w:hAnsi="宋体" w:cs="Times New Roman" w:hint="eastAsia"/>
                <w:b/>
                <w:sz w:val="22"/>
              </w:rPr>
              <w:t>欧雷强</w:t>
            </w:r>
            <w:proofErr w:type="gramEnd"/>
            <w:r>
              <w:rPr>
                <w:rFonts w:ascii="宋体" w:eastAsia="宋体" w:hAnsi="宋体" w:cs="Times New Roman" w:hint="eastAsia"/>
                <w:b/>
                <w:sz w:val="22"/>
              </w:rPr>
              <w:t>介绍</w:t>
            </w:r>
            <w:r w:rsidRPr="00934290">
              <w:rPr>
                <w:rFonts w:ascii="宋体" w:eastAsia="宋体" w:hAnsi="宋体" w:cs="Times New Roman" w:hint="eastAsia"/>
                <w:b/>
                <w:sz w:val="22"/>
              </w:rPr>
              <w:t>业务</w:t>
            </w:r>
            <w:r>
              <w:rPr>
                <w:rFonts w:ascii="宋体" w:eastAsia="宋体" w:hAnsi="宋体" w:cs="Times New Roman" w:hint="eastAsia"/>
                <w:b/>
                <w:sz w:val="22"/>
              </w:rPr>
              <w:t>进展</w:t>
            </w:r>
            <w:r w:rsidRPr="00934290">
              <w:rPr>
                <w:rFonts w:ascii="宋体" w:eastAsia="宋体" w:hAnsi="宋体" w:cs="Times New Roman" w:hint="eastAsia"/>
                <w:b/>
                <w:sz w:val="22"/>
              </w:rPr>
              <w:t>：</w:t>
            </w:r>
          </w:p>
          <w:p w14:paraId="7789A5D2" w14:textId="4D87C162"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公司第一季度执行为2025年奠定坚实基础，推进三个优先事项：巩固和深化公司的血液肿瘤特许经营领导地位，推进公司内部</w:t>
            </w:r>
            <w:r w:rsidR="000447E8">
              <w:rPr>
                <w:rFonts w:ascii="宋体" w:eastAsia="宋体" w:hAnsi="宋体" w:cs="Times New Roman" w:hint="eastAsia"/>
                <w:sz w:val="22"/>
              </w:rPr>
              <w:t>研发</w:t>
            </w:r>
            <w:r w:rsidRPr="000410D6">
              <w:rPr>
                <w:rFonts w:ascii="宋体" w:eastAsia="宋体" w:hAnsi="宋体" w:cs="Times New Roman" w:hint="eastAsia"/>
                <w:sz w:val="22"/>
              </w:rPr>
              <w:t>的丰富管线，</w:t>
            </w:r>
            <w:r>
              <w:rPr>
                <w:rFonts w:ascii="宋体" w:eastAsia="宋体" w:hAnsi="宋体" w:cs="Times New Roman" w:hint="eastAsia"/>
                <w:sz w:val="22"/>
              </w:rPr>
              <w:t>驱动</w:t>
            </w:r>
            <w:r w:rsidRPr="000410D6">
              <w:rPr>
                <w:rFonts w:ascii="宋体" w:eastAsia="宋体" w:hAnsi="宋体" w:cs="Times New Roman" w:hint="eastAsia"/>
                <w:sz w:val="22"/>
              </w:rPr>
              <w:t>卓越的财务表现。</w:t>
            </w:r>
            <w:r>
              <w:rPr>
                <w:rFonts w:ascii="宋体" w:eastAsia="宋体" w:hAnsi="宋体" w:cs="Times New Roman" w:hint="eastAsia"/>
                <w:sz w:val="22"/>
              </w:rPr>
              <w:t>(1)</w:t>
            </w:r>
            <w:r w:rsidRPr="000410D6">
              <w:rPr>
                <w:rFonts w:ascii="宋体" w:eastAsia="宋体" w:hAnsi="宋体" w:cs="Times New Roman"/>
                <w:sz w:val="22"/>
              </w:rPr>
              <w:t>百济神州是唯一一家拥有</w:t>
            </w:r>
            <w:r w:rsidRPr="000410D6">
              <w:rPr>
                <w:rFonts w:ascii="宋体" w:eastAsia="宋体" w:hAnsi="宋体" w:cs="Times New Roman" w:hint="eastAsia"/>
                <w:sz w:val="22"/>
              </w:rPr>
              <w:t>自主研发</w:t>
            </w:r>
            <w:r w:rsidRPr="000410D6">
              <w:rPr>
                <w:rFonts w:ascii="宋体" w:eastAsia="宋体" w:hAnsi="宋体" w:cs="Times New Roman"/>
                <w:sz w:val="22"/>
              </w:rPr>
              <w:t>并</w:t>
            </w:r>
            <w:r w:rsidRPr="000410D6">
              <w:rPr>
                <w:rFonts w:ascii="宋体" w:eastAsia="宋体" w:hAnsi="宋体" w:cs="Times New Roman" w:hint="eastAsia"/>
                <w:sz w:val="22"/>
              </w:rPr>
              <w:t>全资</w:t>
            </w:r>
            <w:r w:rsidRPr="000410D6">
              <w:rPr>
                <w:rFonts w:ascii="宋体" w:eastAsia="宋体" w:hAnsi="宋体" w:cs="Times New Roman"/>
                <w:sz w:val="22"/>
              </w:rPr>
              <w:t>拥有涵盖CLL中的所有三个基础机制的潜在</w:t>
            </w:r>
            <w:proofErr w:type="gramStart"/>
            <w:r w:rsidRPr="000410D6">
              <w:rPr>
                <w:rFonts w:ascii="宋体" w:eastAsia="宋体" w:hAnsi="宋体" w:cs="Times New Roman"/>
                <w:sz w:val="22"/>
              </w:rPr>
              <w:t>最佳分</w:t>
            </w:r>
            <w:proofErr w:type="gramEnd"/>
            <w:r w:rsidRPr="000410D6">
              <w:rPr>
                <w:rFonts w:ascii="宋体" w:eastAsia="宋体" w:hAnsi="宋体" w:cs="Times New Roman"/>
                <w:sz w:val="22"/>
              </w:rPr>
              <w:t>子组合的公司。</w:t>
            </w:r>
            <w:r w:rsidRPr="00BA74AB">
              <w:rPr>
                <w:rFonts w:ascii="宋体" w:eastAsia="宋体" w:hAnsi="宋体" w:cs="Arial"/>
                <w:sz w:val="22"/>
              </w:rPr>
              <w:t>百悦泽</w:t>
            </w:r>
            <w:r w:rsidRPr="00BA74AB">
              <w:rPr>
                <w:rFonts w:ascii="宋体" w:eastAsia="宋体" w:hAnsi="宋体" w:cs="Arial"/>
                <w:sz w:val="22"/>
                <w:vertAlign w:val="superscript"/>
              </w:rPr>
              <w:t>®</w:t>
            </w:r>
            <w:r w:rsidRPr="000410D6">
              <w:rPr>
                <w:rFonts w:ascii="宋体" w:eastAsia="宋体" w:hAnsi="宋体" w:cs="Times New Roman" w:hint="eastAsia"/>
                <w:sz w:val="22"/>
              </w:rPr>
              <w:t>强劲的商业化表现继续巩固和深化公司在血液肿瘤的领导地位。2025第一季度美国</w:t>
            </w:r>
            <w:r w:rsidRPr="00BA74AB">
              <w:rPr>
                <w:rFonts w:ascii="宋体" w:eastAsia="宋体" w:hAnsi="宋体" w:cs="Arial"/>
                <w:sz w:val="22"/>
              </w:rPr>
              <w:t>百悦泽</w:t>
            </w:r>
            <w:r w:rsidRPr="00BA74AB">
              <w:rPr>
                <w:rFonts w:ascii="宋体" w:eastAsia="宋体" w:hAnsi="宋体" w:cs="Arial"/>
                <w:sz w:val="22"/>
                <w:vertAlign w:val="superscript"/>
              </w:rPr>
              <w:t>®</w:t>
            </w:r>
            <w:r w:rsidRPr="000410D6">
              <w:rPr>
                <w:rFonts w:ascii="宋体" w:eastAsia="宋体" w:hAnsi="宋体" w:cs="Times New Roman" w:hint="eastAsia"/>
                <w:sz w:val="22"/>
              </w:rPr>
              <w:t>销售额达到5.63亿美元，比去年同期增长60%，</w:t>
            </w:r>
            <w:r w:rsidRPr="00BA74AB">
              <w:rPr>
                <w:rFonts w:ascii="宋体" w:eastAsia="宋体" w:hAnsi="宋体" w:cs="Arial"/>
                <w:sz w:val="22"/>
              </w:rPr>
              <w:t>百悦泽</w:t>
            </w:r>
            <w:r w:rsidRPr="00BA74AB">
              <w:rPr>
                <w:rFonts w:ascii="宋体" w:eastAsia="宋体" w:hAnsi="宋体" w:cs="Arial"/>
                <w:sz w:val="22"/>
                <w:vertAlign w:val="superscript"/>
              </w:rPr>
              <w:t>®</w:t>
            </w:r>
            <w:r w:rsidRPr="000410D6">
              <w:rPr>
                <w:rFonts w:ascii="宋体" w:eastAsia="宋体" w:hAnsi="宋体" w:cs="Times New Roman" w:hint="eastAsia"/>
                <w:sz w:val="22"/>
              </w:rPr>
              <w:t>在不断增长的美国BTK抑制剂市场中成为收入领导者。潜在同类最佳</w:t>
            </w:r>
            <w:r w:rsidRPr="000410D6">
              <w:rPr>
                <w:rFonts w:ascii="宋体" w:eastAsia="宋体" w:hAnsi="宋体" w:cs="Times New Roman"/>
                <w:sz w:val="22"/>
              </w:rPr>
              <w:t>BCL2抑制剂</w:t>
            </w:r>
            <w:r w:rsidRPr="000410D6">
              <w:rPr>
                <w:rFonts w:ascii="宋体" w:eastAsia="宋体" w:hAnsi="宋体" w:cs="Times New Roman" w:hint="eastAsia"/>
                <w:sz w:val="22"/>
              </w:rPr>
              <w:t>索托克拉</w:t>
            </w:r>
            <w:r w:rsidRPr="000410D6">
              <w:rPr>
                <w:rFonts w:ascii="宋体" w:eastAsia="宋体" w:hAnsi="宋体" w:cs="Times New Roman"/>
                <w:sz w:val="22"/>
              </w:rPr>
              <w:t>继续快速推进</w:t>
            </w:r>
            <w:r w:rsidRPr="000410D6">
              <w:rPr>
                <w:rFonts w:ascii="宋体" w:eastAsia="宋体" w:hAnsi="宋体" w:cs="Times New Roman" w:hint="eastAsia"/>
                <w:sz w:val="22"/>
              </w:rPr>
              <w:t>后期</w:t>
            </w:r>
            <w:r w:rsidRPr="000410D6">
              <w:rPr>
                <w:rFonts w:ascii="宋体" w:eastAsia="宋体" w:hAnsi="宋体" w:cs="Times New Roman"/>
                <w:sz w:val="22"/>
              </w:rPr>
              <w:t>临床开发。</w:t>
            </w:r>
            <w:r w:rsidRPr="000410D6">
              <w:rPr>
                <w:rFonts w:ascii="宋体" w:eastAsia="宋体" w:hAnsi="宋体" w:cs="Times New Roman" w:hint="eastAsia"/>
                <w:sz w:val="22"/>
              </w:rPr>
              <w:t>公司已在中国提交了索托克拉的首个注册申请，并计划在今年下半年提交首个全球申请。公司潜在同类首创和同类最佳BTK-CDAC</w:t>
            </w:r>
            <w:r>
              <w:rPr>
                <w:rFonts w:ascii="宋体" w:eastAsia="宋体" w:hAnsi="宋体" w:cs="Times New Roman" w:hint="eastAsia"/>
                <w:sz w:val="22"/>
              </w:rPr>
              <w:t>已</w:t>
            </w:r>
            <w:r w:rsidRPr="00942E51">
              <w:rPr>
                <w:rFonts w:ascii="宋体" w:eastAsia="宋体" w:hAnsi="宋体" w:cs="Times New Roman"/>
                <w:sz w:val="22"/>
              </w:rPr>
              <w:t>启动针对R/R CLL患者的3期临床试验（对比医生选择方案）</w:t>
            </w:r>
            <w:r>
              <w:rPr>
                <w:rFonts w:ascii="宋体" w:eastAsia="宋体" w:hAnsi="宋体" w:cs="Times New Roman" w:hint="eastAsia"/>
                <w:sz w:val="22"/>
              </w:rPr>
              <w:t>，</w:t>
            </w:r>
            <w:r w:rsidRPr="00727D07">
              <w:rPr>
                <w:rFonts w:ascii="宋体" w:eastAsia="宋体" w:hAnsi="宋体" w:cs="Times New Roman"/>
                <w:sz w:val="22"/>
              </w:rPr>
              <w:t>预计将于2025年下半年开展</w:t>
            </w:r>
            <w:proofErr w:type="gramStart"/>
            <w:r w:rsidRPr="00727D07">
              <w:rPr>
                <w:rFonts w:ascii="宋体" w:eastAsia="宋体" w:hAnsi="宋体" w:cs="Times New Roman"/>
                <w:sz w:val="22"/>
              </w:rPr>
              <w:t>与匹妥布替尼</w:t>
            </w:r>
            <w:proofErr w:type="gramEnd"/>
            <w:r w:rsidRPr="00727D07">
              <w:rPr>
                <w:rFonts w:ascii="宋体" w:eastAsia="宋体" w:hAnsi="宋体" w:cs="Times New Roman"/>
                <w:sz w:val="22"/>
              </w:rPr>
              <w:t>的3期头对头试验</w:t>
            </w:r>
            <w:r w:rsidR="003E7A3D">
              <w:rPr>
                <w:rFonts w:ascii="宋体" w:eastAsia="宋体" w:hAnsi="宋体" w:cs="Times New Roman" w:hint="eastAsia"/>
                <w:sz w:val="22"/>
              </w:rPr>
              <w:t>。</w:t>
            </w:r>
            <w:r w:rsidR="00D314D1">
              <w:rPr>
                <w:rFonts w:ascii="宋体" w:eastAsia="宋体" w:hAnsi="宋体" w:cs="Times New Roman" w:hint="eastAsia"/>
                <w:sz w:val="22"/>
              </w:rPr>
              <w:t>目前</w:t>
            </w:r>
            <w:r w:rsidR="00D314D1" w:rsidRPr="000410D6">
              <w:rPr>
                <w:rFonts w:ascii="宋体" w:eastAsia="宋体" w:hAnsi="宋体" w:cs="Times New Roman" w:hint="eastAsia"/>
                <w:sz w:val="22"/>
              </w:rPr>
              <w:t>BTK-CDAC</w:t>
            </w:r>
            <w:r w:rsidR="00D314D1">
              <w:rPr>
                <w:rFonts w:ascii="宋体" w:eastAsia="宋体" w:hAnsi="宋体" w:cs="Times New Roman" w:hint="eastAsia"/>
                <w:sz w:val="22"/>
              </w:rPr>
              <w:t>项目</w:t>
            </w:r>
            <w:r w:rsidRPr="000410D6">
              <w:rPr>
                <w:rFonts w:ascii="宋体" w:eastAsia="宋体" w:hAnsi="宋体" w:cs="Times New Roman" w:hint="eastAsia"/>
                <w:sz w:val="22"/>
              </w:rPr>
              <w:t>已入组超600名患者。</w:t>
            </w:r>
            <w:r>
              <w:rPr>
                <w:rFonts w:ascii="宋体" w:eastAsia="宋体" w:hAnsi="宋体" w:cs="Times New Roman" w:hint="eastAsia"/>
                <w:sz w:val="22"/>
              </w:rPr>
              <w:t>(2)</w:t>
            </w:r>
            <w:r w:rsidRPr="000410D6">
              <w:rPr>
                <w:rFonts w:ascii="宋体" w:eastAsia="宋体" w:hAnsi="宋体" w:cs="Times New Roman"/>
                <w:sz w:val="22"/>
              </w:rPr>
              <w:t>实体肿瘤产品组合</w:t>
            </w:r>
            <w:r w:rsidRPr="000410D6">
              <w:rPr>
                <w:rFonts w:ascii="宋体" w:eastAsia="宋体" w:hAnsi="宋体" w:cs="Times New Roman" w:hint="eastAsia"/>
                <w:sz w:val="22"/>
              </w:rPr>
              <w:t>，在今年第一季度：公司的CDK4抑制剂继续快速推进，已入组超过300名患者，其中仅在过去两个月就入组了超过100例患者。公司的B7-H4项目已完成七个单药治疗队列，已经观察到早期临床疗效信号。公司的Claudin 6 x CD3双抗入组了首批患者，用于</w:t>
            </w:r>
            <w:r w:rsidRPr="000410D6">
              <w:rPr>
                <w:rFonts w:ascii="宋体" w:eastAsia="宋体" w:hAnsi="宋体" w:cs="Times New Roman" w:hint="eastAsia"/>
                <w:sz w:val="22"/>
              </w:rPr>
              <w:lastRenderedPageBreak/>
              <w:t>治疗妇科和其他实体瘤，以及启动公司的第二代BCL2用于治疗转移性乳腺癌的患者入组。公司的PRMT5抑制剂也在第一季度进入临床，标志着公司针对肺癌的靶</w:t>
            </w:r>
            <w:proofErr w:type="gramStart"/>
            <w:r w:rsidRPr="000410D6">
              <w:rPr>
                <w:rFonts w:ascii="宋体" w:eastAsia="宋体" w:hAnsi="宋体" w:cs="Times New Roman" w:hint="eastAsia"/>
                <w:sz w:val="22"/>
              </w:rPr>
              <w:t>向治疗</w:t>
            </w:r>
            <w:proofErr w:type="gramEnd"/>
            <w:r w:rsidRPr="000410D6">
              <w:rPr>
                <w:rFonts w:ascii="宋体" w:eastAsia="宋体" w:hAnsi="宋体" w:cs="Times New Roman" w:hint="eastAsia"/>
                <w:sz w:val="22"/>
              </w:rPr>
              <w:t>组合的另一个里程碑。2025年预计</w:t>
            </w:r>
            <w:r w:rsidR="00555CDB">
              <w:rPr>
                <w:rFonts w:ascii="宋体" w:eastAsia="宋体" w:hAnsi="宋体" w:cs="Times New Roman" w:hint="eastAsia"/>
                <w:sz w:val="22"/>
              </w:rPr>
              <w:t>有</w:t>
            </w:r>
            <w:r w:rsidRPr="000410D6">
              <w:rPr>
                <w:rFonts w:ascii="宋体" w:eastAsia="宋体" w:hAnsi="宋体" w:cs="Times New Roman" w:hint="eastAsia"/>
                <w:sz w:val="22"/>
              </w:rPr>
              <w:t>超过10个概念验证</w:t>
            </w:r>
            <w:r w:rsidR="00555CDB">
              <w:rPr>
                <w:rFonts w:ascii="宋体" w:eastAsia="宋体" w:hAnsi="宋体" w:cs="Times New Roman" w:hint="eastAsia"/>
                <w:sz w:val="22"/>
              </w:rPr>
              <w:t>数据读出</w:t>
            </w:r>
            <w:r w:rsidRPr="000410D6">
              <w:rPr>
                <w:rFonts w:ascii="宋体" w:eastAsia="宋体" w:hAnsi="宋体" w:cs="Times New Roman" w:hint="eastAsia"/>
                <w:sz w:val="22"/>
              </w:rPr>
              <w:t>。公司的内部临床开发团队超过3,700人，继续展示时间、成本和质量优势，将显著提高每笔研发投入的投资回报率。</w:t>
            </w:r>
            <w:r>
              <w:rPr>
                <w:rFonts w:ascii="宋体" w:eastAsia="宋体" w:hAnsi="宋体" w:cs="Times New Roman" w:hint="eastAsia"/>
                <w:sz w:val="22"/>
              </w:rPr>
              <w:t>(3)</w:t>
            </w:r>
            <w:r w:rsidRPr="000410D6">
              <w:rPr>
                <w:rFonts w:ascii="宋体" w:eastAsia="宋体" w:hAnsi="宋体" w:cs="Times New Roman" w:hint="eastAsia"/>
                <w:sz w:val="22"/>
              </w:rPr>
              <w:t>公司</w:t>
            </w:r>
            <w:r w:rsidRPr="000410D6">
              <w:rPr>
                <w:rFonts w:ascii="宋体" w:eastAsia="宋体" w:hAnsi="宋体" w:cs="Times New Roman"/>
                <w:sz w:val="22"/>
              </w:rPr>
              <w:t>在第一季度实现了一个重要里程碑——首次实现GAAP盈利。这些强劲的季度</w:t>
            </w:r>
            <w:r w:rsidRPr="000410D6">
              <w:rPr>
                <w:rFonts w:ascii="宋体" w:eastAsia="宋体" w:hAnsi="宋体" w:cs="Times New Roman" w:hint="eastAsia"/>
                <w:sz w:val="22"/>
              </w:rPr>
              <w:t>业绩表现</w:t>
            </w:r>
            <w:r w:rsidRPr="000410D6">
              <w:rPr>
                <w:rFonts w:ascii="宋体" w:eastAsia="宋体" w:hAnsi="宋体" w:cs="Times New Roman"/>
                <w:sz w:val="22"/>
              </w:rPr>
              <w:t>使</w:t>
            </w:r>
            <w:r w:rsidRPr="000410D6">
              <w:rPr>
                <w:rFonts w:ascii="宋体" w:eastAsia="宋体" w:hAnsi="宋体" w:cs="Times New Roman" w:hint="eastAsia"/>
                <w:sz w:val="22"/>
              </w:rPr>
              <w:t>公司为</w:t>
            </w:r>
            <w:r w:rsidRPr="000410D6">
              <w:rPr>
                <w:rFonts w:ascii="宋体" w:eastAsia="宋体" w:hAnsi="宋体" w:cs="Times New Roman"/>
                <w:sz w:val="22"/>
              </w:rPr>
              <w:t>实现全年财务</w:t>
            </w:r>
            <w:r w:rsidRPr="000410D6">
              <w:rPr>
                <w:rFonts w:ascii="宋体" w:eastAsia="宋体" w:hAnsi="宋体" w:cs="Times New Roman" w:hint="eastAsia"/>
                <w:sz w:val="22"/>
              </w:rPr>
              <w:t>指引打下</w:t>
            </w:r>
            <w:r w:rsidRPr="000410D6">
              <w:rPr>
                <w:rFonts w:ascii="宋体" w:eastAsia="宋体" w:hAnsi="宋体" w:cs="Times New Roman"/>
                <w:sz w:val="22"/>
              </w:rPr>
              <w:t>稳固基础。</w:t>
            </w:r>
          </w:p>
          <w:p w14:paraId="76AB5854" w14:textId="255F4E01"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行业继续在日益充满挑战和复杂的全球环境中发展。百济</w:t>
            </w:r>
            <w:r>
              <w:rPr>
                <w:rFonts w:ascii="宋体" w:eastAsia="宋体" w:hAnsi="宋体" w:cs="Times New Roman" w:hint="eastAsia"/>
                <w:sz w:val="22"/>
              </w:rPr>
              <w:t>神州</w:t>
            </w:r>
            <w:r w:rsidRPr="000410D6">
              <w:rPr>
                <w:rFonts w:ascii="宋体" w:eastAsia="宋体" w:hAnsi="宋体" w:cs="Times New Roman" w:hint="eastAsia"/>
                <w:sz w:val="22"/>
              </w:rPr>
              <w:t>的独特模式使公司能够在今天的挑战中茁壮成长。在过去的15年里，公司从零开始建立了一个技术驱动、具有时间和成本优势的组织，现在已经实现了垂直整合。可以在一个具有定价压力的新环境下继续向前发展。在今天的宏观环境中，全球制造的布局和区域弹性供应</w:t>
            </w:r>
            <w:proofErr w:type="gramStart"/>
            <w:r w:rsidRPr="000410D6">
              <w:rPr>
                <w:rFonts w:ascii="宋体" w:eastAsia="宋体" w:hAnsi="宋体" w:cs="Times New Roman" w:hint="eastAsia"/>
                <w:sz w:val="22"/>
              </w:rPr>
              <w:t>链对于</w:t>
            </w:r>
            <w:proofErr w:type="gramEnd"/>
            <w:r w:rsidRPr="000410D6">
              <w:rPr>
                <w:rFonts w:ascii="宋体" w:eastAsia="宋体" w:hAnsi="宋体" w:cs="Times New Roman" w:hint="eastAsia"/>
                <w:sz w:val="22"/>
              </w:rPr>
              <w:t>确保产品可用性和运营连续性至关重要。这一直是公司在美国、欧洲、中国和其他关键市场运营的基本原则。公司通过行动实现了这一愿景，包括在新泽西州</w:t>
            </w:r>
            <w:r w:rsidRPr="003D33EC">
              <w:rPr>
                <w:rFonts w:ascii="宋体" w:eastAsia="宋体" w:hAnsi="宋体" w:cs="Times New Roman"/>
                <w:sz w:val="22"/>
              </w:rPr>
              <w:t>霍普韦尔</w:t>
            </w:r>
            <w:r w:rsidRPr="000410D6">
              <w:rPr>
                <w:rFonts w:ascii="宋体" w:eastAsia="宋体" w:hAnsi="宋体" w:cs="Times New Roman" w:hint="eastAsia"/>
                <w:sz w:val="22"/>
              </w:rPr>
              <w:t>投资8亿美元的生产基地，该基地已于2024年落成。虽然贸易政策和关税的环境将继续演变，但公司对区域制造的提前布局减轻潜在风险并保持可靠供应。最后，很高兴宣布股东已批准公司</w:t>
            </w:r>
            <w:r>
              <w:rPr>
                <w:rFonts w:ascii="宋体" w:eastAsia="宋体" w:hAnsi="宋体" w:cs="Times New Roman" w:hint="eastAsia"/>
                <w:sz w:val="22"/>
              </w:rPr>
              <w:t>注册地</w:t>
            </w:r>
            <w:r w:rsidRPr="000410D6">
              <w:rPr>
                <w:rFonts w:ascii="宋体" w:eastAsia="宋体" w:hAnsi="宋体" w:cs="Times New Roman" w:hint="eastAsia"/>
                <w:sz w:val="22"/>
              </w:rPr>
              <w:t>从开曼群岛</w:t>
            </w:r>
            <w:r>
              <w:rPr>
                <w:rFonts w:ascii="宋体" w:eastAsia="宋体" w:hAnsi="宋体" w:cs="Times New Roman" w:hint="eastAsia"/>
                <w:sz w:val="22"/>
              </w:rPr>
              <w:t>迁至</w:t>
            </w:r>
            <w:r w:rsidRPr="000410D6">
              <w:rPr>
                <w:rFonts w:ascii="宋体" w:eastAsia="宋体" w:hAnsi="宋体" w:cs="Times New Roman" w:hint="eastAsia"/>
                <w:sz w:val="22"/>
              </w:rPr>
              <w:t>瑞士，以及公司的英文名称将更改为</w:t>
            </w:r>
            <w:proofErr w:type="spellStart"/>
            <w:r w:rsidRPr="000410D6">
              <w:rPr>
                <w:rFonts w:ascii="宋体" w:eastAsia="宋体" w:hAnsi="宋体" w:cs="Times New Roman" w:hint="eastAsia"/>
                <w:sz w:val="22"/>
              </w:rPr>
              <w:t>BeOne</w:t>
            </w:r>
            <w:proofErr w:type="spellEnd"/>
            <w:r w:rsidRPr="000410D6">
              <w:rPr>
                <w:rFonts w:ascii="宋体" w:eastAsia="宋体" w:hAnsi="宋体" w:cs="Times New Roman" w:hint="eastAsia"/>
                <w:sz w:val="22"/>
              </w:rPr>
              <w:t xml:space="preserve"> Medicines——这反映了公司</w:t>
            </w:r>
            <w:r w:rsidR="00E527E3">
              <w:rPr>
                <w:rFonts w:ascii="宋体" w:eastAsia="宋体" w:hAnsi="宋体" w:cs="Times New Roman" w:hint="eastAsia"/>
                <w:sz w:val="22"/>
              </w:rPr>
              <w:t>在</w:t>
            </w:r>
            <w:r w:rsidRPr="000410D6">
              <w:rPr>
                <w:rFonts w:ascii="宋体" w:eastAsia="宋体" w:hAnsi="宋体" w:cs="Times New Roman" w:hint="eastAsia"/>
                <w:sz w:val="22"/>
              </w:rPr>
              <w:t>发展成为全球多元化的肿瘤领导者</w:t>
            </w:r>
            <w:r w:rsidR="001D03B7">
              <w:rPr>
                <w:rFonts w:ascii="宋体" w:eastAsia="宋体" w:hAnsi="宋体" w:cs="Times New Roman" w:hint="eastAsia"/>
                <w:sz w:val="22"/>
              </w:rPr>
              <w:t>的道路上更进一步</w:t>
            </w:r>
            <w:r w:rsidRPr="000410D6">
              <w:rPr>
                <w:rFonts w:ascii="宋体" w:eastAsia="宋体" w:hAnsi="宋体" w:cs="Times New Roman" w:hint="eastAsia"/>
                <w:sz w:val="22"/>
              </w:rPr>
              <w:t>。</w:t>
            </w:r>
          </w:p>
          <w:p w14:paraId="26689636" w14:textId="77777777" w:rsidR="005953BB" w:rsidRDefault="005953BB" w:rsidP="005953BB">
            <w:pPr>
              <w:widowControl/>
              <w:spacing w:after="160" w:line="259" w:lineRule="auto"/>
              <w:contextualSpacing/>
              <w:jc w:val="left"/>
              <w:rPr>
                <w:rFonts w:eastAsiaTheme="minorHAnsi" w:hint="eastAsia"/>
              </w:rPr>
            </w:pPr>
            <w:r w:rsidRPr="00934290">
              <w:rPr>
                <w:rFonts w:ascii="宋体" w:eastAsia="宋体" w:hAnsi="宋体" w:cs="Times New Roman" w:hint="eastAsia"/>
                <w:b/>
                <w:sz w:val="22"/>
              </w:rPr>
              <w:t>公司</w:t>
            </w:r>
            <w:r>
              <w:rPr>
                <w:rFonts w:ascii="宋体" w:eastAsia="宋体" w:hAnsi="宋体" w:cs="Times New Roman" w:hint="eastAsia"/>
                <w:b/>
                <w:sz w:val="22"/>
              </w:rPr>
              <w:t>总裁</w:t>
            </w:r>
            <w:r w:rsidRPr="00934290">
              <w:rPr>
                <w:rFonts w:ascii="宋体" w:eastAsia="宋体" w:hAnsi="宋体" w:cs="Times New Roman" w:hint="eastAsia"/>
                <w:b/>
                <w:sz w:val="22"/>
              </w:rPr>
              <w:t>兼首席</w:t>
            </w:r>
            <w:r>
              <w:rPr>
                <w:rFonts w:ascii="宋体" w:eastAsia="宋体" w:hAnsi="宋体" w:cs="Times New Roman" w:hint="eastAsia"/>
                <w:b/>
                <w:sz w:val="22"/>
              </w:rPr>
              <w:t>运营</w:t>
            </w:r>
            <w:r w:rsidRPr="00934290">
              <w:rPr>
                <w:rFonts w:ascii="宋体" w:eastAsia="宋体" w:hAnsi="宋体" w:cs="Times New Roman" w:hint="eastAsia"/>
                <w:b/>
                <w:sz w:val="22"/>
              </w:rPr>
              <w:t>官</w:t>
            </w:r>
            <w:r>
              <w:rPr>
                <w:rFonts w:ascii="宋体" w:eastAsia="宋体" w:hAnsi="宋体" w:cs="Times New Roman" w:hint="eastAsia"/>
                <w:b/>
                <w:sz w:val="22"/>
              </w:rPr>
              <w:t>吴晓滨博士介绍全球商业化进展</w:t>
            </w:r>
            <w:r w:rsidRPr="00934290">
              <w:rPr>
                <w:rFonts w:ascii="宋体" w:eastAsia="宋体" w:hAnsi="宋体" w:cs="Times New Roman" w:hint="eastAsia"/>
                <w:b/>
                <w:sz w:val="22"/>
              </w:rPr>
              <w:t>：</w:t>
            </w:r>
          </w:p>
          <w:p w14:paraId="15576DA9" w14:textId="54404F02"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sz w:val="22"/>
              </w:rPr>
              <w:t>百悦泽</w:t>
            </w:r>
            <w:r w:rsidRPr="00BA74AB">
              <w:rPr>
                <w:rFonts w:ascii="宋体" w:eastAsia="宋体" w:hAnsi="宋体" w:cs="Arial"/>
                <w:sz w:val="22"/>
                <w:vertAlign w:val="superscript"/>
              </w:rPr>
              <w:t>®</w:t>
            </w:r>
            <w:proofErr w:type="gramStart"/>
            <w:r w:rsidRPr="000410D6">
              <w:rPr>
                <w:rFonts w:ascii="宋体" w:eastAsia="宋体" w:hAnsi="宋体" w:cs="Times New Roman"/>
                <w:sz w:val="22"/>
              </w:rPr>
              <w:t>和百泽安</w:t>
            </w:r>
            <w:proofErr w:type="gramEnd"/>
            <w:r w:rsidRPr="00BA74AB">
              <w:rPr>
                <w:rFonts w:ascii="宋体" w:eastAsia="宋体" w:hAnsi="宋体" w:cs="Arial"/>
                <w:sz w:val="22"/>
                <w:vertAlign w:val="superscript"/>
              </w:rPr>
              <w:t>®</w:t>
            </w:r>
            <w:r w:rsidRPr="000410D6">
              <w:rPr>
                <w:rFonts w:ascii="宋体" w:eastAsia="宋体" w:hAnsi="宋体" w:cs="Times New Roman" w:hint="eastAsia"/>
                <w:sz w:val="22"/>
              </w:rPr>
              <w:t>已</w:t>
            </w:r>
            <w:r w:rsidRPr="000410D6">
              <w:rPr>
                <w:rFonts w:ascii="宋体" w:eastAsia="宋体" w:hAnsi="宋体" w:cs="Times New Roman"/>
                <w:sz w:val="22"/>
              </w:rPr>
              <w:t>在全球80多个市场获得批准或已递交上市申请</w:t>
            </w:r>
            <w:r w:rsidRPr="000410D6">
              <w:rPr>
                <w:rFonts w:ascii="宋体" w:eastAsia="宋体" w:hAnsi="宋体" w:cs="Times New Roman" w:hint="eastAsia"/>
                <w:sz w:val="22"/>
              </w:rPr>
              <w:t>。公司</w:t>
            </w:r>
            <w:r w:rsidRPr="000410D6">
              <w:rPr>
                <w:rFonts w:ascii="宋体" w:eastAsia="宋体" w:hAnsi="宋体" w:cs="Times New Roman"/>
                <w:sz w:val="22"/>
              </w:rPr>
              <w:t>的全球开发战略和</w:t>
            </w:r>
            <w:r>
              <w:rPr>
                <w:rFonts w:ascii="宋体" w:eastAsia="宋体" w:hAnsi="宋体" w:cs="Times New Roman" w:hint="eastAsia"/>
                <w:sz w:val="22"/>
              </w:rPr>
              <w:t>临床</w:t>
            </w:r>
            <w:r w:rsidRPr="000410D6">
              <w:rPr>
                <w:rFonts w:ascii="宋体" w:eastAsia="宋体" w:hAnsi="宋体" w:cs="Times New Roman"/>
                <w:sz w:val="22"/>
              </w:rPr>
              <w:t>试验设计使百悦泽</w:t>
            </w:r>
            <w:r w:rsidRPr="00BA74AB">
              <w:rPr>
                <w:rFonts w:ascii="宋体" w:eastAsia="宋体" w:hAnsi="宋体" w:cs="Arial"/>
                <w:sz w:val="22"/>
                <w:vertAlign w:val="superscript"/>
              </w:rPr>
              <w:t>®</w:t>
            </w:r>
            <w:proofErr w:type="gramStart"/>
            <w:r w:rsidRPr="000410D6">
              <w:rPr>
                <w:rFonts w:ascii="宋体" w:eastAsia="宋体" w:hAnsi="宋体" w:cs="Times New Roman"/>
                <w:sz w:val="22"/>
              </w:rPr>
              <w:t>和百泽安</w:t>
            </w:r>
            <w:proofErr w:type="gramEnd"/>
            <w:r w:rsidRPr="00BA74AB">
              <w:rPr>
                <w:rFonts w:ascii="宋体" w:eastAsia="宋体" w:hAnsi="宋体" w:cs="Arial"/>
                <w:sz w:val="22"/>
                <w:vertAlign w:val="superscript"/>
              </w:rPr>
              <w:t>®</w:t>
            </w:r>
            <w:r w:rsidRPr="000410D6">
              <w:rPr>
                <w:rFonts w:ascii="宋体" w:eastAsia="宋体" w:hAnsi="宋体" w:cs="Times New Roman"/>
                <w:sz w:val="22"/>
              </w:rPr>
              <w:t>获得了广泛的</w:t>
            </w:r>
            <w:r>
              <w:rPr>
                <w:rFonts w:ascii="宋体" w:eastAsia="宋体" w:hAnsi="宋体" w:cs="Times New Roman" w:hint="eastAsia"/>
                <w:sz w:val="22"/>
              </w:rPr>
              <w:t>获批适应症</w:t>
            </w:r>
            <w:r w:rsidRPr="000410D6">
              <w:rPr>
                <w:rFonts w:ascii="宋体" w:eastAsia="宋体" w:hAnsi="宋体" w:cs="Times New Roman"/>
                <w:sz w:val="22"/>
              </w:rPr>
              <w:t>和</w:t>
            </w:r>
            <w:r>
              <w:rPr>
                <w:rFonts w:ascii="宋体" w:eastAsia="宋体" w:hAnsi="宋体" w:cs="Times New Roman" w:hint="eastAsia"/>
                <w:sz w:val="22"/>
              </w:rPr>
              <w:t>商业化</w:t>
            </w:r>
            <w:r w:rsidRPr="000410D6">
              <w:rPr>
                <w:rFonts w:ascii="宋体" w:eastAsia="宋体" w:hAnsi="宋体" w:cs="Times New Roman"/>
                <w:sz w:val="22"/>
              </w:rPr>
              <w:t>覆盖。</w:t>
            </w:r>
            <w:r w:rsidRPr="000410D6">
              <w:rPr>
                <w:rFonts w:ascii="宋体" w:eastAsia="宋体" w:hAnsi="宋体" w:cs="Times New Roman" w:hint="eastAsia"/>
                <w:sz w:val="22"/>
              </w:rPr>
              <w:t>公司</w:t>
            </w:r>
            <w:r w:rsidRPr="000410D6">
              <w:rPr>
                <w:rFonts w:ascii="宋体" w:eastAsia="宋体" w:hAnsi="宋体" w:cs="Times New Roman"/>
                <w:sz w:val="22"/>
              </w:rPr>
              <w:t>在短时间内实现了显著的全球覆盖，现在已治疗了超过170万癌症患者。</w:t>
            </w:r>
          </w:p>
          <w:p w14:paraId="5616B047" w14:textId="02D7F587"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多样化的收入结构和其他市场的显著增长也为公司发展带来更多的机会。</w:t>
            </w:r>
            <w:r>
              <w:rPr>
                <w:rFonts w:ascii="宋体" w:eastAsia="宋体" w:hAnsi="宋体" w:cs="Times New Roman" w:hint="eastAsia"/>
                <w:sz w:val="22"/>
              </w:rPr>
              <w:t>(1)</w:t>
            </w:r>
            <w:r w:rsidRPr="000410D6">
              <w:rPr>
                <w:rFonts w:ascii="宋体" w:eastAsia="宋体" w:hAnsi="宋体" w:cs="Times New Roman" w:hint="eastAsia"/>
                <w:sz w:val="22"/>
              </w:rPr>
              <w:t>在第一季度，全球销售额为11亿美元，比2024年第一季度增长49%。</w:t>
            </w:r>
            <w:r>
              <w:rPr>
                <w:rFonts w:ascii="宋体" w:eastAsia="宋体" w:hAnsi="宋体" w:cs="Times New Roman" w:hint="eastAsia"/>
                <w:sz w:val="22"/>
              </w:rPr>
              <w:t>(2)</w:t>
            </w:r>
            <w:r w:rsidRPr="000410D6">
              <w:rPr>
                <w:rFonts w:ascii="宋体" w:eastAsia="宋体" w:hAnsi="宋体" w:cs="Times New Roman" w:hint="eastAsia"/>
                <w:sz w:val="22"/>
              </w:rPr>
              <w:t>美国</w:t>
            </w:r>
            <w:r>
              <w:rPr>
                <w:rFonts w:ascii="宋体" w:eastAsia="宋体" w:hAnsi="宋体" w:cs="Times New Roman" w:hint="eastAsia"/>
                <w:sz w:val="22"/>
              </w:rPr>
              <w:t>是公司</w:t>
            </w:r>
            <w:r w:rsidRPr="00C326AE">
              <w:rPr>
                <w:rFonts w:ascii="宋体" w:eastAsia="宋体" w:hAnsi="宋体" w:cs="Times New Roman" w:hint="eastAsia"/>
                <w:sz w:val="22"/>
              </w:rPr>
              <w:t>最大的市场，</w:t>
            </w:r>
            <w:r w:rsidRPr="000410D6">
              <w:rPr>
                <w:rFonts w:ascii="宋体" w:eastAsia="宋体" w:hAnsi="宋体" w:cs="Times New Roman" w:hint="eastAsia"/>
                <w:sz w:val="22"/>
              </w:rPr>
              <w:t>第一季度增长60%</w:t>
            </w:r>
            <w:r>
              <w:rPr>
                <w:rFonts w:ascii="宋体" w:eastAsia="宋体" w:hAnsi="宋体" w:cs="Times New Roman" w:hint="eastAsia"/>
                <w:sz w:val="22"/>
              </w:rPr>
              <w:t>，</w:t>
            </w:r>
            <w:r w:rsidRPr="004301DB">
              <w:rPr>
                <w:rFonts w:ascii="宋体" w:eastAsia="宋体" w:hAnsi="宋体" w:cs="Times New Roman" w:hint="eastAsia"/>
                <w:sz w:val="22"/>
              </w:rPr>
              <w:t>主要</w:t>
            </w:r>
            <w:r w:rsidRPr="00B65898">
              <w:rPr>
                <w:rFonts w:ascii="宋体" w:eastAsia="宋体" w:hAnsi="宋体" w:cs="Times New Roman"/>
                <w:sz w:val="22"/>
              </w:rPr>
              <w:t>得益于</w:t>
            </w:r>
            <w:r>
              <w:rPr>
                <w:rFonts w:ascii="宋体" w:eastAsia="宋体" w:hAnsi="宋体" w:cs="Times New Roman" w:hint="eastAsia"/>
                <w:sz w:val="22"/>
              </w:rPr>
              <w:t>百悦泽</w:t>
            </w:r>
            <w:r w:rsidRPr="00BA74AB">
              <w:rPr>
                <w:rFonts w:ascii="宋体" w:eastAsia="宋体" w:hAnsi="宋体" w:cs="Arial"/>
                <w:sz w:val="22"/>
                <w:vertAlign w:val="superscript"/>
              </w:rPr>
              <w:t>®</w:t>
            </w:r>
            <w:r w:rsidRPr="004301DB">
              <w:rPr>
                <w:rFonts w:ascii="宋体" w:eastAsia="宋体" w:hAnsi="宋体" w:cs="Times New Roman" w:hint="eastAsia"/>
                <w:sz w:val="22"/>
              </w:rPr>
              <w:t>需求的增长</w:t>
            </w:r>
            <w:r w:rsidRPr="000410D6">
              <w:rPr>
                <w:rFonts w:ascii="宋体" w:eastAsia="宋体" w:hAnsi="宋体" w:cs="Times New Roman" w:hint="eastAsia"/>
                <w:sz w:val="22"/>
              </w:rPr>
              <w:t>。</w:t>
            </w:r>
            <w:proofErr w:type="gramStart"/>
            <w:r>
              <w:rPr>
                <w:rFonts w:ascii="宋体" w:eastAsia="宋体" w:hAnsi="宋体" w:cs="Times New Roman" w:hint="eastAsia"/>
                <w:sz w:val="22"/>
              </w:rPr>
              <w:t>百泽安</w:t>
            </w:r>
            <w:proofErr w:type="gramEnd"/>
            <w:r w:rsidRPr="00BA74AB">
              <w:rPr>
                <w:rFonts w:ascii="宋体" w:eastAsia="宋体" w:hAnsi="宋体" w:cs="Arial"/>
                <w:sz w:val="22"/>
                <w:vertAlign w:val="superscript"/>
              </w:rPr>
              <w:t>®</w:t>
            </w:r>
            <w:r>
              <w:rPr>
                <w:rFonts w:ascii="宋体" w:eastAsia="宋体" w:hAnsi="宋体" w:cs="Times New Roman" w:hint="eastAsia"/>
                <w:sz w:val="22"/>
              </w:rPr>
              <w:t>已在美国获</w:t>
            </w:r>
            <w:proofErr w:type="gramStart"/>
            <w:r>
              <w:rPr>
                <w:rFonts w:ascii="宋体" w:eastAsia="宋体" w:hAnsi="宋体" w:cs="Times New Roman" w:hint="eastAsia"/>
                <w:sz w:val="22"/>
              </w:rPr>
              <w:t>批用于</w:t>
            </w:r>
            <w:proofErr w:type="gramEnd"/>
            <w:r>
              <w:rPr>
                <w:rFonts w:ascii="宋体" w:eastAsia="宋体" w:hAnsi="宋体" w:cs="Times New Roman" w:hint="eastAsia"/>
                <w:sz w:val="22"/>
              </w:rPr>
              <w:t>一线食管</w:t>
            </w:r>
            <w:r w:rsidRPr="009629D2">
              <w:rPr>
                <w:rFonts w:ascii="宋体" w:eastAsia="宋体" w:hAnsi="宋体" w:cs="Times New Roman" w:hint="eastAsia"/>
                <w:sz w:val="22"/>
              </w:rPr>
              <w:t>鳞状细胞癌（ESCC）</w:t>
            </w:r>
            <w:r>
              <w:rPr>
                <w:rFonts w:ascii="宋体" w:eastAsia="宋体" w:hAnsi="宋体" w:cs="Times New Roman" w:hint="eastAsia"/>
                <w:sz w:val="22"/>
              </w:rPr>
              <w:t>。(3)</w:t>
            </w:r>
            <w:r w:rsidRPr="000410D6">
              <w:rPr>
                <w:rFonts w:ascii="宋体" w:eastAsia="宋体" w:hAnsi="宋体" w:cs="Times New Roman" w:hint="eastAsia"/>
                <w:sz w:val="22"/>
              </w:rPr>
              <w:t>欧洲市场在第一季度增长了75%。公司继续推进百悦泽</w:t>
            </w:r>
            <w:r w:rsidRPr="00BA74AB">
              <w:rPr>
                <w:rFonts w:ascii="宋体" w:eastAsia="宋体" w:hAnsi="宋体" w:cs="Arial"/>
                <w:sz w:val="22"/>
                <w:vertAlign w:val="superscript"/>
              </w:rPr>
              <w:t>®</w:t>
            </w:r>
            <w:proofErr w:type="gramStart"/>
            <w:r w:rsidRPr="000410D6">
              <w:rPr>
                <w:rFonts w:ascii="宋体" w:eastAsia="宋体" w:hAnsi="宋体" w:cs="Times New Roman" w:hint="eastAsia"/>
                <w:sz w:val="22"/>
              </w:rPr>
              <w:t>和百泽安</w:t>
            </w:r>
            <w:proofErr w:type="gramEnd"/>
            <w:r w:rsidRPr="00BA74AB">
              <w:rPr>
                <w:rFonts w:ascii="宋体" w:eastAsia="宋体" w:hAnsi="宋体" w:cs="Arial"/>
                <w:sz w:val="22"/>
                <w:vertAlign w:val="superscript"/>
              </w:rPr>
              <w:t>®</w:t>
            </w:r>
            <w:r w:rsidRPr="000410D6">
              <w:rPr>
                <w:rFonts w:ascii="宋体" w:eastAsia="宋体" w:hAnsi="宋体" w:cs="Times New Roman" w:hint="eastAsia"/>
                <w:sz w:val="22"/>
              </w:rPr>
              <w:t>商业化。</w:t>
            </w:r>
            <w:proofErr w:type="gramStart"/>
            <w:r w:rsidRPr="000410D6">
              <w:rPr>
                <w:rFonts w:ascii="宋体" w:eastAsia="宋体" w:hAnsi="宋体" w:cs="Times New Roman" w:hint="eastAsia"/>
                <w:sz w:val="22"/>
              </w:rPr>
              <w:t>百泽安</w:t>
            </w:r>
            <w:proofErr w:type="gramEnd"/>
            <w:r w:rsidRPr="00BA74AB">
              <w:rPr>
                <w:rFonts w:ascii="宋体" w:eastAsia="宋体" w:hAnsi="宋体" w:cs="Arial"/>
                <w:sz w:val="22"/>
                <w:vertAlign w:val="superscript"/>
              </w:rPr>
              <w:t>®</w:t>
            </w:r>
            <w:r w:rsidRPr="000410D6">
              <w:rPr>
                <w:rFonts w:ascii="宋体" w:eastAsia="宋体" w:hAnsi="宋体" w:cs="Times New Roman" w:hint="eastAsia"/>
                <w:sz w:val="22"/>
              </w:rPr>
              <w:t>在西班牙获得了报销准入，并在本周早些时候获得了欧盟批准用于一线广泛</w:t>
            </w:r>
            <w:r>
              <w:rPr>
                <w:rFonts w:ascii="宋体" w:eastAsia="宋体" w:hAnsi="宋体" w:cs="Times New Roman" w:hint="eastAsia"/>
                <w:sz w:val="22"/>
              </w:rPr>
              <w:t>期</w:t>
            </w:r>
            <w:r w:rsidRPr="000410D6">
              <w:rPr>
                <w:rFonts w:ascii="宋体" w:eastAsia="宋体" w:hAnsi="宋体" w:cs="Times New Roman" w:hint="eastAsia"/>
                <w:sz w:val="22"/>
              </w:rPr>
              <w:t>小细胞肺癌。公司对2025年该地区的增长前景感到鼓舞。</w:t>
            </w:r>
            <w:r>
              <w:rPr>
                <w:rFonts w:ascii="宋体" w:eastAsia="宋体" w:hAnsi="宋体" w:cs="Times New Roman" w:hint="eastAsia"/>
                <w:sz w:val="22"/>
              </w:rPr>
              <w:t>(4)</w:t>
            </w:r>
            <w:r w:rsidRPr="000410D6">
              <w:rPr>
                <w:rFonts w:ascii="宋体" w:eastAsia="宋体" w:hAnsi="宋体" w:cs="Times New Roman" w:hint="eastAsia"/>
                <w:sz w:val="22"/>
              </w:rPr>
              <w:t>中国销售额比去年同期增长了26%，百悦泽</w:t>
            </w:r>
            <w:r w:rsidRPr="00BA74AB">
              <w:rPr>
                <w:rFonts w:ascii="宋体" w:eastAsia="宋体" w:hAnsi="宋体" w:cs="Arial"/>
                <w:sz w:val="22"/>
                <w:vertAlign w:val="superscript"/>
              </w:rPr>
              <w:t>®</w:t>
            </w:r>
            <w:proofErr w:type="gramStart"/>
            <w:r w:rsidRPr="000410D6">
              <w:rPr>
                <w:rFonts w:ascii="宋体" w:eastAsia="宋体" w:hAnsi="宋体" w:cs="Times New Roman" w:hint="eastAsia"/>
                <w:sz w:val="22"/>
              </w:rPr>
              <w:t>和百泽安</w:t>
            </w:r>
            <w:proofErr w:type="gramEnd"/>
            <w:r w:rsidRPr="00BA74AB">
              <w:rPr>
                <w:rFonts w:ascii="宋体" w:eastAsia="宋体" w:hAnsi="宋体" w:cs="Arial"/>
                <w:sz w:val="22"/>
                <w:vertAlign w:val="superscript"/>
              </w:rPr>
              <w:t>®</w:t>
            </w:r>
            <w:r w:rsidRPr="000410D6">
              <w:rPr>
                <w:rFonts w:ascii="宋体" w:eastAsia="宋体" w:hAnsi="宋体" w:cs="Times New Roman" w:hint="eastAsia"/>
                <w:sz w:val="22"/>
              </w:rPr>
              <w:t>继续保持了市场领导地位。另外安进的合作产品在第一季度也继续保持强劲增长势头。</w:t>
            </w:r>
            <w:r>
              <w:rPr>
                <w:rFonts w:ascii="宋体" w:eastAsia="宋体" w:hAnsi="宋体" w:cs="Times New Roman" w:hint="eastAsia"/>
                <w:sz w:val="22"/>
              </w:rPr>
              <w:t>(5)</w:t>
            </w:r>
            <w:r w:rsidRPr="000410D6">
              <w:rPr>
                <w:rFonts w:ascii="宋体" w:eastAsia="宋体" w:hAnsi="宋体" w:cs="Times New Roman" w:hint="eastAsia"/>
                <w:sz w:val="22"/>
              </w:rPr>
              <w:t>其他地区的销售额在第一季度总计3</w:t>
            </w:r>
            <w:r>
              <w:rPr>
                <w:rFonts w:ascii="宋体" w:eastAsia="宋体" w:hAnsi="宋体" w:cs="Times New Roman" w:hint="eastAsia"/>
                <w:sz w:val="22"/>
              </w:rPr>
              <w:t>,</w:t>
            </w:r>
            <w:r w:rsidRPr="000410D6">
              <w:rPr>
                <w:rFonts w:ascii="宋体" w:eastAsia="宋体" w:hAnsi="宋体" w:cs="Times New Roman" w:hint="eastAsia"/>
                <w:sz w:val="22"/>
              </w:rPr>
              <w:t>200万美元，比去年同期增长了146%。这主要是由于在亚太地区、拉丁美洲和中东北非地区的商业化扩展和上市，包括在韩国、日本、墨西哥和巴西的显著进展。虽然公司在世界其他地区的商业化仍处于早期阶段，但公司预计它们将成为未来收入增长的又一动力。</w:t>
            </w:r>
          </w:p>
          <w:p w14:paraId="7EFF6A58" w14:textId="0FEF9F7C" w:rsidR="005953BB" w:rsidRDefault="005953BB" w:rsidP="005953BB">
            <w:pPr>
              <w:spacing w:line="360" w:lineRule="auto"/>
              <w:rPr>
                <w:rFonts w:ascii="宋体" w:eastAsia="宋体" w:hAnsi="宋体" w:cs="Times New Roman" w:hint="eastAsia"/>
                <w:b/>
                <w:sz w:val="22"/>
              </w:rPr>
            </w:pPr>
            <w:r w:rsidRPr="00934290">
              <w:rPr>
                <w:rFonts w:ascii="宋体" w:eastAsia="宋体" w:hAnsi="宋体" w:cs="Times New Roman" w:hint="eastAsia"/>
                <w:b/>
                <w:sz w:val="22"/>
              </w:rPr>
              <w:t xml:space="preserve">公司北美地区总经理Matt </w:t>
            </w:r>
            <w:proofErr w:type="spellStart"/>
            <w:r w:rsidRPr="00934290">
              <w:rPr>
                <w:rFonts w:ascii="宋体" w:eastAsia="宋体" w:hAnsi="宋体" w:cs="Times New Roman" w:hint="eastAsia"/>
                <w:b/>
                <w:sz w:val="22"/>
              </w:rPr>
              <w:t>Shaulis</w:t>
            </w:r>
            <w:proofErr w:type="spellEnd"/>
            <w:r w:rsidRPr="00934290">
              <w:rPr>
                <w:rFonts w:ascii="宋体" w:eastAsia="宋体" w:hAnsi="宋体" w:cs="Times New Roman" w:hint="eastAsia"/>
                <w:b/>
                <w:sz w:val="22"/>
              </w:rPr>
              <w:t>介绍美国商业化进展</w:t>
            </w:r>
            <w:r>
              <w:rPr>
                <w:rFonts w:ascii="宋体" w:eastAsia="宋体" w:hAnsi="宋体" w:cs="Times New Roman" w:hint="eastAsia"/>
                <w:b/>
                <w:sz w:val="22"/>
              </w:rPr>
              <w:t>：</w:t>
            </w:r>
          </w:p>
          <w:p w14:paraId="1A3D4C06" w14:textId="31F2F690"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百悦泽</w:t>
            </w:r>
            <w:r w:rsidRPr="00BA74AB">
              <w:rPr>
                <w:rFonts w:ascii="宋体" w:eastAsia="宋体" w:hAnsi="宋体" w:cs="Arial"/>
                <w:sz w:val="22"/>
                <w:vertAlign w:val="superscript"/>
              </w:rPr>
              <w:t>®</w:t>
            </w:r>
            <w:r w:rsidRPr="000410D6">
              <w:rPr>
                <w:rFonts w:ascii="宋体" w:eastAsia="宋体" w:hAnsi="宋体" w:cs="Times New Roman"/>
                <w:sz w:val="22"/>
              </w:rPr>
              <w:t>在不断增长的美国</w:t>
            </w:r>
            <w:r w:rsidRPr="000410D6">
              <w:rPr>
                <w:rFonts w:ascii="宋体" w:eastAsia="宋体" w:hAnsi="宋体" w:cs="Times New Roman" w:hint="eastAsia"/>
                <w:sz w:val="22"/>
              </w:rPr>
              <w:t>BTK抑制剂</w:t>
            </w:r>
            <w:r w:rsidRPr="000410D6">
              <w:rPr>
                <w:rFonts w:ascii="宋体" w:eastAsia="宋体" w:hAnsi="宋体" w:cs="Times New Roman"/>
                <w:sz w:val="22"/>
              </w:rPr>
              <w:t>市场中成为收入领导者</w:t>
            </w:r>
            <w:r w:rsidRPr="000410D6">
              <w:rPr>
                <w:rFonts w:ascii="宋体" w:eastAsia="宋体" w:hAnsi="宋体" w:cs="Times New Roman" w:hint="eastAsia"/>
                <w:sz w:val="22"/>
              </w:rPr>
              <w:t>和增长最快的品牌</w:t>
            </w:r>
            <w:r w:rsidRPr="000410D6">
              <w:rPr>
                <w:rFonts w:ascii="宋体" w:eastAsia="宋体" w:hAnsi="宋体" w:cs="Times New Roman"/>
                <w:sz w:val="22"/>
              </w:rPr>
              <w:t>。这是一个重要的里程碑。</w:t>
            </w:r>
          </w:p>
          <w:p w14:paraId="3C9A2F5D" w14:textId="50E9C6D5"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尽管第一季度的收入反映了所有BTK抑制剂类别产品在季节性方面的趋势，百悦泽</w:t>
            </w:r>
            <w:r w:rsidRPr="00BA74AB">
              <w:rPr>
                <w:rFonts w:ascii="宋体" w:eastAsia="宋体" w:hAnsi="宋体" w:cs="Arial"/>
                <w:sz w:val="22"/>
                <w:vertAlign w:val="superscript"/>
              </w:rPr>
              <w:t>®</w:t>
            </w:r>
            <w:r w:rsidRPr="000410D6">
              <w:rPr>
                <w:rFonts w:ascii="宋体" w:eastAsia="宋体" w:hAnsi="宋体" w:cs="Times New Roman" w:hint="eastAsia"/>
                <w:sz w:val="22"/>
              </w:rPr>
              <w:t>第一季度在美收入和收入增长主要由强劲的基础需求驱动。与2024年第一季度相比，需求同比增长54%，与去年第四季度相比，环比增长了6%。</w:t>
            </w:r>
          </w:p>
          <w:p w14:paraId="0217CA92" w14:textId="7660EA32"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这种需求增长的稳定趋势反映了在获取新患方面的领导地位。公司在所有</w:t>
            </w:r>
            <w:proofErr w:type="gramStart"/>
            <w:r w:rsidRPr="000410D6">
              <w:rPr>
                <w:rFonts w:ascii="宋体" w:eastAsia="宋体" w:hAnsi="宋体" w:cs="Times New Roman" w:hint="eastAsia"/>
                <w:sz w:val="22"/>
              </w:rPr>
              <w:t>治疗线</w:t>
            </w:r>
            <w:proofErr w:type="gramEnd"/>
            <w:r w:rsidRPr="000410D6">
              <w:rPr>
                <w:rFonts w:ascii="宋体" w:eastAsia="宋体" w:hAnsi="宋体" w:cs="Times New Roman" w:hint="eastAsia"/>
                <w:sz w:val="22"/>
              </w:rPr>
              <w:t>和</w:t>
            </w:r>
            <w:r>
              <w:rPr>
                <w:rFonts w:ascii="宋体" w:eastAsia="宋体" w:hAnsi="宋体" w:cs="Times New Roman" w:hint="eastAsia"/>
                <w:sz w:val="22"/>
              </w:rPr>
              <w:t>已获批</w:t>
            </w:r>
            <w:r w:rsidRPr="000410D6">
              <w:rPr>
                <w:rFonts w:ascii="宋体" w:eastAsia="宋体" w:hAnsi="宋体" w:cs="Times New Roman" w:hint="eastAsia"/>
                <w:sz w:val="22"/>
              </w:rPr>
              <w:t>适应症中领先，包括一线和复发/难治性CLL。这种势头，加上现有患者不断累积的基础，继续加</w:t>
            </w:r>
            <w:r w:rsidR="0049601B">
              <w:rPr>
                <w:rFonts w:ascii="宋体" w:eastAsia="宋体" w:hAnsi="宋体" w:cs="Times New Roman" w:hint="eastAsia"/>
                <w:sz w:val="22"/>
              </w:rPr>
              <w:t>强</w:t>
            </w:r>
            <w:r w:rsidRPr="000410D6">
              <w:rPr>
                <w:rFonts w:ascii="宋体" w:eastAsia="宋体" w:hAnsi="宋体" w:cs="Times New Roman" w:hint="eastAsia"/>
                <w:sz w:val="22"/>
              </w:rPr>
              <w:t>百悦泽</w:t>
            </w:r>
            <w:r w:rsidRPr="00BA74AB">
              <w:rPr>
                <w:rFonts w:ascii="宋体" w:eastAsia="宋体" w:hAnsi="宋体" w:cs="Arial"/>
                <w:sz w:val="22"/>
                <w:vertAlign w:val="superscript"/>
              </w:rPr>
              <w:t>®</w:t>
            </w:r>
            <w:r w:rsidRPr="000410D6">
              <w:rPr>
                <w:rFonts w:ascii="宋体" w:eastAsia="宋体" w:hAnsi="宋体" w:cs="Times New Roman" w:hint="eastAsia"/>
                <w:sz w:val="22"/>
              </w:rPr>
              <w:t>持续增长的</w:t>
            </w:r>
            <w:r w:rsidR="0049601B">
              <w:rPr>
                <w:rFonts w:ascii="宋体" w:eastAsia="宋体" w:hAnsi="宋体" w:cs="Times New Roman" w:hint="eastAsia"/>
                <w:sz w:val="22"/>
              </w:rPr>
              <w:t>趋势</w:t>
            </w:r>
            <w:r w:rsidRPr="000410D6">
              <w:rPr>
                <w:rFonts w:ascii="宋体" w:eastAsia="宋体" w:hAnsi="宋体" w:cs="Times New Roman" w:hint="eastAsia"/>
                <w:sz w:val="22"/>
              </w:rPr>
              <w:t>。公司对业务基本</w:t>
            </w:r>
            <w:proofErr w:type="gramStart"/>
            <w:r w:rsidRPr="000410D6">
              <w:rPr>
                <w:rFonts w:ascii="宋体" w:eastAsia="宋体" w:hAnsi="宋体" w:cs="Times New Roman" w:hint="eastAsia"/>
                <w:sz w:val="22"/>
              </w:rPr>
              <w:t>面充满</w:t>
            </w:r>
            <w:proofErr w:type="gramEnd"/>
            <w:r w:rsidRPr="000410D6">
              <w:rPr>
                <w:rFonts w:ascii="宋体" w:eastAsia="宋体" w:hAnsi="宋体" w:cs="Times New Roman" w:hint="eastAsia"/>
                <w:sz w:val="22"/>
              </w:rPr>
              <w:t>信心，并为第二季度和2025年的强劲表现做好了准备。</w:t>
            </w:r>
          </w:p>
          <w:p w14:paraId="65C2F6F6" w14:textId="5CAE793C"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百悦泽</w:t>
            </w:r>
            <w:r w:rsidRPr="00BA74AB">
              <w:rPr>
                <w:rFonts w:ascii="宋体" w:eastAsia="宋体" w:hAnsi="宋体" w:cs="Arial"/>
                <w:sz w:val="22"/>
                <w:vertAlign w:val="superscript"/>
              </w:rPr>
              <w:t>®</w:t>
            </w:r>
            <w:r w:rsidRPr="000410D6">
              <w:rPr>
                <w:rFonts w:ascii="宋体" w:eastAsia="宋体" w:hAnsi="宋体" w:cs="Times New Roman"/>
                <w:sz w:val="22"/>
              </w:rPr>
              <w:t>有望成为适合</w:t>
            </w:r>
            <w:r w:rsidRPr="000410D6">
              <w:rPr>
                <w:rFonts w:ascii="宋体" w:eastAsia="宋体" w:hAnsi="宋体" w:cs="Times New Roman" w:hint="eastAsia"/>
                <w:sz w:val="22"/>
              </w:rPr>
              <w:t>所有患者类型的最佳BTK</w:t>
            </w:r>
            <w:r w:rsidRPr="000410D6">
              <w:rPr>
                <w:rFonts w:ascii="宋体" w:eastAsia="宋体" w:hAnsi="宋体" w:cs="Times New Roman"/>
                <w:sz w:val="22"/>
              </w:rPr>
              <w:t>抑制</w:t>
            </w:r>
            <w:r w:rsidRPr="000410D6">
              <w:rPr>
                <w:rFonts w:ascii="宋体" w:eastAsia="宋体" w:hAnsi="宋体" w:cs="Times New Roman" w:hint="eastAsia"/>
                <w:sz w:val="22"/>
              </w:rPr>
              <w:t>。</w:t>
            </w:r>
            <w:r w:rsidRPr="000410D6">
              <w:rPr>
                <w:rFonts w:ascii="宋体" w:eastAsia="宋体" w:hAnsi="宋体" w:cs="Times New Roman"/>
                <w:sz w:val="22"/>
              </w:rPr>
              <w:t>百悦泽</w:t>
            </w:r>
            <w:r w:rsidRPr="00BA74AB">
              <w:rPr>
                <w:rFonts w:ascii="宋体" w:eastAsia="宋体" w:hAnsi="宋体" w:cs="Arial"/>
                <w:sz w:val="22"/>
                <w:vertAlign w:val="superscript"/>
              </w:rPr>
              <w:t>®</w:t>
            </w:r>
            <w:r w:rsidRPr="000410D6">
              <w:rPr>
                <w:rFonts w:ascii="宋体" w:eastAsia="宋体" w:hAnsi="宋体" w:cs="Times New Roman"/>
                <w:sz w:val="22"/>
              </w:rPr>
              <w:t>在各项风险因素中均显示出良好的数据</w:t>
            </w:r>
            <w:r w:rsidRPr="000410D6">
              <w:rPr>
                <w:rFonts w:ascii="宋体" w:eastAsia="宋体" w:hAnsi="宋体" w:cs="Times New Roman" w:hint="eastAsia"/>
                <w:sz w:val="22"/>
              </w:rPr>
              <w:t>。</w:t>
            </w:r>
            <w:r w:rsidRPr="000410D6">
              <w:rPr>
                <w:rFonts w:ascii="宋体" w:eastAsia="宋体" w:hAnsi="宋体" w:cs="Times New Roman"/>
                <w:sz w:val="22"/>
              </w:rPr>
              <w:t>无论携带何种风险状态，百悦泽</w:t>
            </w:r>
            <w:r w:rsidRPr="00BA74AB">
              <w:rPr>
                <w:rFonts w:ascii="宋体" w:eastAsia="宋体" w:hAnsi="宋体" w:cs="Arial"/>
                <w:sz w:val="22"/>
                <w:vertAlign w:val="superscript"/>
              </w:rPr>
              <w:t>®</w:t>
            </w:r>
            <w:r w:rsidRPr="000410D6">
              <w:rPr>
                <w:rFonts w:ascii="宋体" w:eastAsia="宋体" w:hAnsi="宋体" w:cs="Times New Roman"/>
                <w:sz w:val="22"/>
              </w:rPr>
              <w:t>都能带来强有力的疗效和一致的安全性</w:t>
            </w:r>
            <w:r w:rsidRPr="000410D6">
              <w:rPr>
                <w:rFonts w:ascii="宋体" w:eastAsia="宋体" w:hAnsi="宋体" w:cs="Times New Roman" w:hint="eastAsia"/>
                <w:sz w:val="22"/>
              </w:rPr>
              <w:t>。</w:t>
            </w:r>
            <w:r w:rsidRPr="000410D6">
              <w:rPr>
                <w:rFonts w:ascii="宋体" w:eastAsia="宋体" w:hAnsi="宋体" w:cs="Times New Roman"/>
                <w:sz w:val="22"/>
              </w:rPr>
              <w:t>以维奈克拉为基础的固定疗程方案和化学免疫治疗方案在高风险患者中都存在PFS较短的问题</w:t>
            </w:r>
            <w:r w:rsidRPr="000410D6">
              <w:rPr>
                <w:rFonts w:ascii="宋体" w:eastAsia="宋体" w:hAnsi="宋体" w:cs="Times New Roman" w:hint="eastAsia"/>
                <w:sz w:val="22"/>
              </w:rPr>
              <w:t>，公司看到百悦泽</w:t>
            </w:r>
            <w:r w:rsidRPr="00BA74AB">
              <w:rPr>
                <w:rFonts w:ascii="宋体" w:eastAsia="宋体" w:hAnsi="宋体" w:cs="Arial"/>
                <w:sz w:val="22"/>
                <w:vertAlign w:val="superscript"/>
              </w:rPr>
              <w:t>®</w:t>
            </w:r>
            <w:r w:rsidRPr="000410D6">
              <w:rPr>
                <w:rFonts w:ascii="宋体" w:eastAsia="宋体" w:hAnsi="宋体" w:cs="Times New Roman" w:hint="eastAsia"/>
                <w:sz w:val="22"/>
              </w:rPr>
              <w:t>单药治疗继续从这些治疗方案中</w:t>
            </w:r>
            <w:r>
              <w:rPr>
                <w:rFonts w:ascii="宋体" w:eastAsia="宋体" w:hAnsi="宋体" w:cs="Times New Roman" w:hint="eastAsia"/>
                <w:sz w:val="22"/>
              </w:rPr>
              <w:t>获取</w:t>
            </w:r>
            <w:r w:rsidRPr="000410D6">
              <w:rPr>
                <w:rFonts w:ascii="宋体" w:eastAsia="宋体" w:hAnsi="宋体" w:cs="Times New Roman" w:hint="eastAsia"/>
                <w:sz w:val="22"/>
              </w:rPr>
              <w:t>市场份额的额外机会。除了扩展BTK抑制剂单药治疗，公司相信百悦泽</w:t>
            </w:r>
            <w:r w:rsidRPr="00BA74AB">
              <w:rPr>
                <w:rFonts w:ascii="宋体" w:eastAsia="宋体" w:hAnsi="宋体" w:cs="Arial"/>
                <w:sz w:val="22"/>
                <w:vertAlign w:val="superscript"/>
              </w:rPr>
              <w:t>®</w:t>
            </w:r>
            <w:r w:rsidRPr="000410D6">
              <w:rPr>
                <w:rFonts w:ascii="宋体" w:eastAsia="宋体" w:hAnsi="宋体" w:cs="Times New Roman" w:hint="eastAsia"/>
                <w:sz w:val="22"/>
              </w:rPr>
              <w:t>加上索托克拉有机会</w:t>
            </w:r>
            <w:r>
              <w:rPr>
                <w:rFonts w:ascii="宋体" w:eastAsia="宋体" w:hAnsi="宋体" w:cs="Times New Roman" w:hint="eastAsia"/>
                <w:sz w:val="22"/>
              </w:rPr>
              <w:t>提供</w:t>
            </w:r>
            <w:r w:rsidRPr="000410D6">
              <w:rPr>
                <w:rFonts w:ascii="宋体" w:eastAsia="宋体" w:hAnsi="宋体" w:cs="Times New Roman" w:hint="eastAsia"/>
                <w:sz w:val="22"/>
              </w:rPr>
              <w:t>固定疗程</w:t>
            </w:r>
            <w:r>
              <w:rPr>
                <w:rFonts w:ascii="宋体" w:eastAsia="宋体" w:hAnsi="宋体" w:cs="Times New Roman" w:hint="eastAsia"/>
                <w:sz w:val="22"/>
              </w:rPr>
              <w:t>方案</w:t>
            </w:r>
            <w:r w:rsidRPr="000410D6">
              <w:rPr>
                <w:rFonts w:ascii="宋体" w:eastAsia="宋体" w:hAnsi="宋体" w:cs="Times New Roman" w:hint="eastAsia"/>
                <w:sz w:val="22"/>
              </w:rPr>
              <w:t>，并扩大其在治疗范式中的作用。</w:t>
            </w:r>
          </w:p>
          <w:p w14:paraId="038936DB" w14:textId="77777777" w:rsidR="005953BB" w:rsidRPr="000D65A7" w:rsidRDefault="005953BB" w:rsidP="005953BB">
            <w:pPr>
              <w:spacing w:line="360" w:lineRule="auto"/>
              <w:rPr>
                <w:rFonts w:ascii="宋体" w:eastAsia="宋体" w:hAnsi="宋体" w:cs="Times New Roman" w:hint="eastAsia"/>
                <w:b/>
                <w:sz w:val="22"/>
              </w:rPr>
            </w:pPr>
            <w:r w:rsidRPr="00934290">
              <w:rPr>
                <w:rFonts w:ascii="宋体" w:eastAsia="宋体" w:hAnsi="宋体" w:cs="Times New Roman" w:hint="eastAsia"/>
                <w:b/>
                <w:sz w:val="22"/>
              </w:rPr>
              <w:t>公司高级副总裁、全球研发负责人汪来</w:t>
            </w:r>
            <w:r>
              <w:rPr>
                <w:rFonts w:ascii="宋体" w:eastAsia="宋体" w:hAnsi="宋体" w:cs="Times New Roman" w:hint="eastAsia"/>
                <w:b/>
                <w:sz w:val="22"/>
              </w:rPr>
              <w:t>博士</w:t>
            </w:r>
            <w:r w:rsidRPr="00934290">
              <w:rPr>
                <w:rFonts w:ascii="宋体" w:eastAsia="宋体" w:hAnsi="宋体" w:cs="Times New Roman" w:hint="eastAsia"/>
                <w:b/>
                <w:sz w:val="22"/>
              </w:rPr>
              <w:t>介绍公司研发及管线进展：</w:t>
            </w:r>
          </w:p>
          <w:p w14:paraId="420A20DD" w14:textId="01D075AA"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通过三大核心产品在CLL领域中迅速发展和巩固领导地位，从一线到后线进行了广泛的布局，包括连续和固定</w:t>
            </w:r>
            <w:r>
              <w:rPr>
                <w:rFonts w:ascii="宋体" w:eastAsia="宋体" w:hAnsi="宋体" w:cs="Times New Roman" w:hint="eastAsia"/>
                <w:sz w:val="22"/>
              </w:rPr>
              <w:t>疗程</w:t>
            </w:r>
            <w:r w:rsidRPr="000410D6">
              <w:rPr>
                <w:rFonts w:ascii="宋体" w:eastAsia="宋体" w:hAnsi="宋体" w:cs="Times New Roman" w:hint="eastAsia"/>
                <w:sz w:val="22"/>
              </w:rPr>
              <w:t>的治疗。公司相信，要提高护理标准，必须回答潜在药物是否优于现有最佳治疗选择的基本问题，而临床试验也需要相应的设计。</w:t>
            </w:r>
            <w:r>
              <w:rPr>
                <w:rFonts w:ascii="宋体" w:eastAsia="宋体" w:hAnsi="宋体" w:cs="Times New Roman" w:hint="eastAsia"/>
                <w:sz w:val="22"/>
              </w:rPr>
              <w:t>(1)</w:t>
            </w:r>
            <w:r w:rsidRPr="000410D6">
              <w:rPr>
                <w:rFonts w:ascii="宋体" w:eastAsia="宋体" w:hAnsi="宋体" w:cs="Times New Roman" w:hint="eastAsia"/>
                <w:sz w:val="22"/>
              </w:rPr>
              <w:t>百悦泽</w:t>
            </w:r>
            <w:r w:rsidRPr="00BA74AB">
              <w:rPr>
                <w:rFonts w:ascii="宋体" w:eastAsia="宋体" w:hAnsi="宋体" w:cs="Arial"/>
                <w:sz w:val="22"/>
                <w:vertAlign w:val="superscript"/>
              </w:rPr>
              <w:t>®</w:t>
            </w:r>
            <w:r w:rsidRPr="000410D6">
              <w:rPr>
                <w:rFonts w:ascii="宋体" w:eastAsia="宋体" w:hAnsi="宋体" w:cs="Times New Roman" w:hint="eastAsia"/>
                <w:sz w:val="22"/>
              </w:rPr>
              <w:t>从一开始就设计为在所有疾病相关的组织中提供24/7的BTK抑制，并解决伊</w:t>
            </w:r>
            <w:proofErr w:type="gramStart"/>
            <w:r w:rsidRPr="000410D6">
              <w:rPr>
                <w:rFonts w:ascii="宋体" w:eastAsia="宋体" w:hAnsi="宋体" w:cs="Times New Roman" w:hint="eastAsia"/>
                <w:sz w:val="22"/>
              </w:rPr>
              <w:t>布替尼</w:t>
            </w:r>
            <w:proofErr w:type="gramEnd"/>
            <w:r w:rsidRPr="000410D6">
              <w:rPr>
                <w:rFonts w:ascii="宋体" w:eastAsia="宋体" w:hAnsi="宋体" w:cs="Times New Roman" w:hint="eastAsia"/>
                <w:sz w:val="22"/>
              </w:rPr>
              <w:t>的疗效挑战。这让百悦泽</w:t>
            </w:r>
            <w:r w:rsidRPr="00BA74AB">
              <w:rPr>
                <w:rFonts w:ascii="宋体" w:eastAsia="宋体" w:hAnsi="宋体" w:cs="Arial"/>
                <w:sz w:val="22"/>
                <w:vertAlign w:val="superscript"/>
              </w:rPr>
              <w:t>®</w:t>
            </w:r>
            <w:r w:rsidRPr="000410D6">
              <w:rPr>
                <w:rFonts w:ascii="宋体" w:eastAsia="宋体" w:hAnsi="宋体" w:cs="Times New Roman" w:hint="eastAsia"/>
                <w:sz w:val="22"/>
              </w:rPr>
              <w:t>在复发/难治性CLL中直接头对头对比伊</w:t>
            </w:r>
            <w:proofErr w:type="gramStart"/>
            <w:r w:rsidRPr="000410D6">
              <w:rPr>
                <w:rFonts w:ascii="宋体" w:eastAsia="宋体" w:hAnsi="宋体" w:cs="Times New Roman" w:hint="eastAsia"/>
                <w:sz w:val="22"/>
              </w:rPr>
              <w:t>布替尼</w:t>
            </w:r>
            <w:proofErr w:type="gramEnd"/>
            <w:r w:rsidRPr="000410D6">
              <w:rPr>
                <w:rFonts w:ascii="宋体" w:eastAsia="宋体" w:hAnsi="宋体" w:cs="Times New Roman" w:hint="eastAsia"/>
                <w:sz w:val="22"/>
              </w:rPr>
              <w:t>获得成功。此外，百悦泽</w:t>
            </w:r>
            <w:r w:rsidRPr="00BA74AB">
              <w:rPr>
                <w:rFonts w:ascii="宋体" w:eastAsia="宋体" w:hAnsi="宋体" w:cs="Arial"/>
                <w:sz w:val="22"/>
                <w:vertAlign w:val="superscript"/>
              </w:rPr>
              <w:t>®</w:t>
            </w:r>
            <w:r w:rsidRPr="000410D6">
              <w:rPr>
                <w:rFonts w:ascii="宋体" w:eastAsia="宋体" w:hAnsi="宋体" w:cs="Times New Roman" w:hint="eastAsia"/>
                <w:sz w:val="22"/>
              </w:rPr>
              <w:t>的高选择性在临床应用中表现出更好的安全性和耐受性。</w:t>
            </w:r>
            <w:r>
              <w:rPr>
                <w:rFonts w:ascii="宋体" w:eastAsia="宋体" w:hAnsi="宋体" w:cs="Times New Roman" w:hint="eastAsia"/>
                <w:sz w:val="22"/>
              </w:rPr>
              <w:t>(2)</w:t>
            </w:r>
            <w:r w:rsidRPr="000410D6">
              <w:rPr>
                <w:rFonts w:ascii="宋体" w:eastAsia="宋体" w:hAnsi="宋体" w:cs="Times New Roman" w:hint="eastAsia"/>
                <w:sz w:val="22"/>
              </w:rPr>
              <w:t>同样，索托克拉相比维奈克拉表现出更高的效力和选择性，为患者提供了潜在的疗效和安全优势。公司公布的临床数据支持这一观点。由于半衰期较短且没有药物积累，索托克拉可能允许更便利的TLS监测，这将成为与维奈克拉的关键区别。公司相信绝大多数CLL患者在百悦泽</w:t>
            </w:r>
            <w:r w:rsidRPr="00BA74AB">
              <w:rPr>
                <w:rFonts w:ascii="宋体" w:eastAsia="宋体" w:hAnsi="宋体" w:cs="Arial"/>
                <w:sz w:val="22"/>
                <w:vertAlign w:val="superscript"/>
              </w:rPr>
              <w:t>®</w:t>
            </w:r>
            <w:r w:rsidRPr="000410D6">
              <w:rPr>
                <w:rFonts w:ascii="宋体" w:eastAsia="宋体" w:hAnsi="宋体" w:cs="Times New Roman" w:hint="eastAsia"/>
                <w:sz w:val="22"/>
              </w:rPr>
              <w:t>引入治疗后只需去一次医院即可完成索托克拉的剂量爬升。</w:t>
            </w:r>
            <w:r>
              <w:rPr>
                <w:rFonts w:ascii="宋体" w:eastAsia="宋体" w:hAnsi="宋体" w:cs="Times New Roman" w:hint="eastAsia"/>
                <w:sz w:val="22"/>
              </w:rPr>
              <w:t>(3)</w:t>
            </w:r>
            <w:r w:rsidRPr="000410D6">
              <w:rPr>
                <w:rFonts w:ascii="宋体" w:eastAsia="宋体" w:hAnsi="宋体" w:cs="Times New Roman" w:hint="eastAsia"/>
                <w:sz w:val="22"/>
              </w:rPr>
              <w:t>公司的BTK CDAC目前是临床中进展最快的BTK降解剂，具有安全性和疗效优势。其新颖的作用机制通过克服和预防新出现的耐药突变和破坏支架功能提供了明显的疗效优势。</w:t>
            </w:r>
          </w:p>
          <w:p w14:paraId="199B85B2" w14:textId="353EA83E"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索托克拉+百悦泽</w:t>
            </w:r>
            <w:r w:rsidRPr="00BA74AB">
              <w:rPr>
                <w:rFonts w:ascii="宋体" w:eastAsia="宋体" w:hAnsi="宋体" w:cs="Arial"/>
                <w:sz w:val="22"/>
                <w:vertAlign w:val="superscript"/>
              </w:rPr>
              <w:t>®</w:t>
            </w:r>
            <w:r w:rsidRPr="000410D6">
              <w:rPr>
                <w:rFonts w:ascii="宋体" w:eastAsia="宋体" w:hAnsi="宋体" w:cs="Times New Roman" w:hint="eastAsia"/>
                <w:sz w:val="22"/>
              </w:rPr>
              <w:t>作为潜在同类最佳的固定期限治疗选择，具有广阔的应用前景。</w:t>
            </w:r>
          </w:p>
          <w:p w14:paraId="7E64B51C" w14:textId="3FC90FD1" w:rsidR="005953BB" w:rsidRPr="000410D6" w:rsidRDefault="005953BB" w:rsidP="005953BB">
            <w:pPr>
              <w:spacing w:line="360" w:lineRule="auto"/>
              <w:ind w:firstLineChars="200" w:firstLine="440"/>
              <w:rPr>
                <w:rFonts w:ascii="宋体" w:eastAsia="宋体" w:hAnsi="宋体" w:cs="Times New Roman" w:hint="eastAsia"/>
                <w:sz w:val="22"/>
              </w:rPr>
            </w:pPr>
            <w:bookmarkStart w:id="2" w:name="OLE_LINK1"/>
            <w:r w:rsidRPr="000410D6">
              <w:rPr>
                <w:rFonts w:ascii="宋体" w:eastAsia="宋体" w:hAnsi="宋体" w:cs="Times New Roman" w:hint="eastAsia"/>
                <w:sz w:val="22"/>
              </w:rPr>
              <w:t>CELESTIAL-TN CLL（301）</w:t>
            </w:r>
            <w:bookmarkEnd w:id="2"/>
            <w:r w:rsidRPr="000410D6">
              <w:rPr>
                <w:rFonts w:ascii="宋体" w:eastAsia="宋体" w:hAnsi="宋体" w:cs="Times New Roman" w:hint="eastAsia"/>
                <w:sz w:val="22"/>
              </w:rPr>
              <w:t>：固定疗程索托克拉+百悦泽</w:t>
            </w:r>
            <w:r w:rsidRPr="00BA74AB">
              <w:rPr>
                <w:rFonts w:ascii="宋体" w:eastAsia="宋体" w:hAnsi="宋体" w:cs="Arial"/>
                <w:sz w:val="22"/>
                <w:vertAlign w:val="superscript"/>
              </w:rPr>
              <w:t>®</w:t>
            </w:r>
            <w:r w:rsidRPr="000410D6">
              <w:rPr>
                <w:rFonts w:ascii="宋体" w:eastAsia="宋体" w:hAnsi="宋体" w:cs="Times New Roman" w:hint="eastAsia"/>
                <w:sz w:val="22"/>
              </w:rPr>
              <w:t>对比维奈克拉+</w:t>
            </w:r>
            <w:proofErr w:type="gramStart"/>
            <w:r w:rsidRPr="000410D6">
              <w:rPr>
                <w:rFonts w:ascii="宋体" w:eastAsia="宋体" w:hAnsi="宋体" w:cs="Times New Roman" w:hint="eastAsia"/>
                <w:sz w:val="22"/>
              </w:rPr>
              <w:t>奥妥珠单</w:t>
            </w:r>
            <w:proofErr w:type="gramEnd"/>
            <w:r w:rsidRPr="000410D6">
              <w:rPr>
                <w:rFonts w:ascii="宋体" w:eastAsia="宋体" w:hAnsi="宋体" w:cs="Times New Roman" w:hint="eastAsia"/>
                <w:sz w:val="22"/>
              </w:rPr>
              <w:t>抗是唯一设计为PFS</w:t>
            </w:r>
            <w:proofErr w:type="gramStart"/>
            <w:r w:rsidRPr="000410D6">
              <w:rPr>
                <w:rFonts w:ascii="宋体" w:eastAsia="宋体" w:hAnsi="宋体" w:cs="Times New Roman" w:hint="eastAsia"/>
                <w:sz w:val="22"/>
              </w:rPr>
              <w:t>优效的</w:t>
            </w:r>
            <w:proofErr w:type="gramEnd"/>
            <w:r w:rsidRPr="000410D6">
              <w:rPr>
                <w:rFonts w:ascii="宋体" w:eastAsia="宋体" w:hAnsi="宋体" w:cs="Times New Roman" w:hint="eastAsia"/>
                <w:sz w:val="22"/>
              </w:rPr>
              <w:t>全球3期试验。这项试验在今年2月完成了接近700人的患者入组，这仅仅用了14个月。这是索托克拉项目的重要里程碑，也体现了患者和临床医生的强烈兴趣以及公司的全球临床执行能力。</w:t>
            </w:r>
          </w:p>
          <w:p w14:paraId="7884DCE4" w14:textId="7F057726"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CELESTIAL-R/R CLL（303）研究索托克拉+</w:t>
            </w:r>
            <w:proofErr w:type="gramStart"/>
            <w:r w:rsidRPr="000410D6">
              <w:rPr>
                <w:rFonts w:ascii="宋体" w:eastAsia="宋体" w:hAnsi="宋体" w:cs="Times New Roman"/>
                <w:sz w:val="22"/>
              </w:rPr>
              <w:t>奥妥珠单</w:t>
            </w:r>
            <w:proofErr w:type="gramEnd"/>
            <w:r w:rsidRPr="000410D6">
              <w:rPr>
                <w:rFonts w:ascii="宋体" w:eastAsia="宋体" w:hAnsi="宋体" w:cs="Times New Roman"/>
                <w:sz w:val="22"/>
              </w:rPr>
              <w:t>抗</w:t>
            </w:r>
            <w:r w:rsidRPr="000410D6">
              <w:rPr>
                <w:rFonts w:ascii="宋体" w:eastAsia="宋体" w:hAnsi="宋体" w:cs="Times New Roman" w:hint="eastAsia"/>
                <w:sz w:val="22"/>
              </w:rPr>
              <w:t>/</w:t>
            </w:r>
            <w:proofErr w:type="gramStart"/>
            <w:r w:rsidRPr="000410D6">
              <w:rPr>
                <w:rFonts w:ascii="宋体" w:eastAsia="宋体" w:hAnsi="宋体" w:cs="Times New Roman"/>
                <w:sz w:val="22"/>
              </w:rPr>
              <w:t>利妥昔单</w:t>
            </w:r>
            <w:proofErr w:type="gramEnd"/>
            <w:r w:rsidRPr="000410D6">
              <w:rPr>
                <w:rFonts w:ascii="宋体" w:eastAsia="宋体" w:hAnsi="宋体" w:cs="Times New Roman"/>
                <w:sz w:val="22"/>
              </w:rPr>
              <w:t>抗</w:t>
            </w:r>
            <w:r w:rsidRPr="000410D6">
              <w:rPr>
                <w:rFonts w:ascii="宋体" w:eastAsia="宋体" w:hAnsi="宋体" w:cs="Times New Roman" w:hint="eastAsia"/>
                <w:sz w:val="22"/>
              </w:rPr>
              <w:t>对比</w:t>
            </w:r>
            <w:r w:rsidRPr="000410D6">
              <w:rPr>
                <w:rFonts w:ascii="宋体" w:eastAsia="宋体" w:hAnsi="宋体" w:cs="Times New Roman"/>
                <w:sz w:val="22"/>
              </w:rPr>
              <w:t>维奈克拉</w:t>
            </w:r>
            <w:r w:rsidRPr="000410D6">
              <w:rPr>
                <w:rFonts w:ascii="宋体" w:eastAsia="宋体" w:hAnsi="宋体" w:cs="Times New Roman" w:hint="eastAsia"/>
                <w:sz w:val="22"/>
              </w:rPr>
              <w:t>+</w:t>
            </w:r>
            <w:proofErr w:type="gramStart"/>
            <w:r w:rsidRPr="000410D6">
              <w:rPr>
                <w:rFonts w:ascii="宋体" w:eastAsia="宋体" w:hAnsi="宋体" w:cs="Times New Roman"/>
                <w:sz w:val="22"/>
              </w:rPr>
              <w:t>利妥昔单</w:t>
            </w:r>
            <w:proofErr w:type="gramEnd"/>
            <w:r w:rsidRPr="000410D6">
              <w:rPr>
                <w:rFonts w:ascii="宋体" w:eastAsia="宋体" w:hAnsi="宋体" w:cs="Times New Roman"/>
                <w:sz w:val="22"/>
              </w:rPr>
              <w:t>抗</w:t>
            </w:r>
            <w:proofErr w:type="gramStart"/>
            <w:r w:rsidRPr="000410D6">
              <w:rPr>
                <w:rFonts w:ascii="宋体" w:eastAsia="宋体" w:hAnsi="宋体" w:cs="Times New Roman" w:hint="eastAsia"/>
                <w:sz w:val="22"/>
              </w:rPr>
              <w:t>的优效性</w:t>
            </w:r>
            <w:proofErr w:type="gramEnd"/>
            <w:r w:rsidRPr="000410D6">
              <w:rPr>
                <w:rFonts w:ascii="宋体" w:eastAsia="宋体" w:hAnsi="宋体" w:cs="Times New Roman" w:hint="eastAsia"/>
                <w:sz w:val="22"/>
              </w:rPr>
              <w:t>。这项临床是研究将索托克拉与CD20联用针对二线CLL患者的治疗。这也是一项全球头对头临床试验，旨在</w:t>
            </w:r>
            <w:r w:rsidRPr="000410D6">
              <w:rPr>
                <w:rFonts w:ascii="宋体" w:eastAsia="宋体" w:hAnsi="宋体" w:cs="Times New Roman"/>
                <w:sz w:val="22"/>
              </w:rPr>
              <w:t>展示</w:t>
            </w:r>
            <w:r w:rsidRPr="000410D6">
              <w:rPr>
                <w:rFonts w:ascii="宋体" w:eastAsia="宋体" w:hAnsi="宋体" w:cs="Times New Roman" w:hint="eastAsia"/>
                <w:sz w:val="22"/>
              </w:rPr>
              <w:t>索托克拉</w:t>
            </w:r>
            <w:r w:rsidRPr="000410D6">
              <w:rPr>
                <w:rFonts w:ascii="宋体" w:eastAsia="宋体" w:hAnsi="宋体" w:cs="Times New Roman"/>
                <w:sz w:val="22"/>
              </w:rPr>
              <w:t>对比</w:t>
            </w:r>
            <w:r w:rsidRPr="000410D6">
              <w:rPr>
                <w:rFonts w:ascii="宋体" w:eastAsia="宋体" w:hAnsi="宋体" w:cs="Times New Roman" w:hint="eastAsia"/>
                <w:sz w:val="22"/>
              </w:rPr>
              <w:t>维奈克拉</w:t>
            </w:r>
            <w:r w:rsidR="00D2320C">
              <w:rPr>
                <w:rFonts w:ascii="宋体" w:eastAsia="宋体" w:hAnsi="宋体" w:cs="Times New Roman" w:hint="eastAsia"/>
                <w:sz w:val="22"/>
              </w:rPr>
              <w:t>潜在</w:t>
            </w:r>
            <w:proofErr w:type="gramStart"/>
            <w:r w:rsidR="00D2320C">
              <w:rPr>
                <w:rFonts w:ascii="宋体" w:eastAsia="宋体" w:hAnsi="宋体" w:cs="Times New Roman" w:hint="eastAsia"/>
                <w:sz w:val="22"/>
              </w:rPr>
              <w:t>的</w:t>
            </w:r>
            <w:r w:rsidRPr="000410D6">
              <w:rPr>
                <w:rFonts w:ascii="宋体" w:eastAsia="宋体" w:hAnsi="宋体" w:cs="Times New Roman" w:hint="eastAsia"/>
                <w:sz w:val="22"/>
              </w:rPr>
              <w:t>优效性</w:t>
            </w:r>
            <w:proofErr w:type="gramEnd"/>
            <w:r w:rsidRPr="000410D6">
              <w:rPr>
                <w:rFonts w:ascii="宋体" w:eastAsia="宋体" w:hAnsi="宋体" w:cs="Times New Roman" w:hint="eastAsia"/>
                <w:sz w:val="22"/>
              </w:rPr>
              <w:t>。</w:t>
            </w:r>
          </w:p>
          <w:p w14:paraId="1C1B226C" w14:textId="0FB8D7BB"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CELESTIAL-RRMCL（302）：索托克拉+百悦泽</w:t>
            </w:r>
            <w:r w:rsidRPr="00BA74AB">
              <w:rPr>
                <w:rFonts w:ascii="宋体" w:eastAsia="宋体" w:hAnsi="宋体" w:cs="Arial"/>
                <w:sz w:val="22"/>
                <w:vertAlign w:val="superscript"/>
              </w:rPr>
              <w:t>®</w:t>
            </w:r>
            <w:r w:rsidRPr="000410D6">
              <w:rPr>
                <w:rFonts w:ascii="宋体" w:eastAsia="宋体" w:hAnsi="宋体" w:cs="Times New Roman" w:hint="eastAsia"/>
                <w:sz w:val="22"/>
              </w:rPr>
              <w:t>对比百悦泽</w:t>
            </w:r>
            <w:r w:rsidRPr="00BA74AB">
              <w:rPr>
                <w:rFonts w:ascii="宋体" w:eastAsia="宋体" w:hAnsi="宋体" w:cs="Arial"/>
                <w:sz w:val="22"/>
                <w:vertAlign w:val="superscript"/>
              </w:rPr>
              <w:t>®</w:t>
            </w:r>
            <w:r w:rsidRPr="000410D6">
              <w:rPr>
                <w:rFonts w:ascii="宋体" w:eastAsia="宋体" w:hAnsi="宋体" w:cs="Times New Roman" w:hint="eastAsia"/>
                <w:sz w:val="22"/>
              </w:rPr>
              <w:t>。对于套细胞淋巴瘤，公司已启动</w:t>
            </w:r>
            <w:r w:rsidR="00555820">
              <w:rPr>
                <w:rFonts w:ascii="宋体" w:eastAsia="宋体" w:hAnsi="宋体" w:cs="Times New Roman" w:hint="eastAsia"/>
                <w:sz w:val="22"/>
              </w:rPr>
              <w:t>这</w:t>
            </w:r>
            <w:r w:rsidRPr="000410D6">
              <w:rPr>
                <w:rFonts w:ascii="宋体" w:eastAsia="宋体" w:hAnsi="宋体" w:cs="Times New Roman" w:hint="eastAsia"/>
                <w:sz w:val="22"/>
              </w:rPr>
              <w:t>项3期试验，评估索托克拉与百悦泽</w:t>
            </w:r>
            <w:r w:rsidRPr="00BA74AB">
              <w:rPr>
                <w:rFonts w:ascii="宋体" w:eastAsia="宋体" w:hAnsi="宋体" w:cs="Arial"/>
                <w:sz w:val="22"/>
                <w:vertAlign w:val="superscript"/>
              </w:rPr>
              <w:t>®</w:t>
            </w:r>
            <w:r w:rsidRPr="000410D6">
              <w:rPr>
                <w:rFonts w:ascii="宋体" w:eastAsia="宋体" w:hAnsi="宋体" w:cs="Times New Roman" w:hint="eastAsia"/>
                <w:sz w:val="22"/>
              </w:rPr>
              <w:t>联合治疗两年的效果。这项试验还将作为</w:t>
            </w:r>
            <w:r>
              <w:rPr>
                <w:rFonts w:ascii="宋体" w:eastAsia="宋体" w:hAnsi="宋体" w:cs="Times New Roman" w:hint="eastAsia"/>
                <w:sz w:val="22"/>
              </w:rPr>
              <w:t>CELESTRIAL-</w:t>
            </w:r>
            <w:r w:rsidRPr="000410D6">
              <w:rPr>
                <w:rFonts w:ascii="宋体" w:eastAsia="宋体" w:hAnsi="宋体" w:cs="Times New Roman" w:hint="eastAsia"/>
                <w:sz w:val="22"/>
              </w:rPr>
              <w:t>202的确认性试验，后者是一项单臂2期研究，评估索托克拉单药治疗BTK抑制剂经治的复发/难治性MCL。如果数据支持，公司计划在今年下半年在全球提交快速上市申请。</w:t>
            </w:r>
          </w:p>
          <w:p w14:paraId="58044BFF" w14:textId="77777777"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BTK CDAC</w:t>
            </w:r>
            <w:r w:rsidRPr="000410D6">
              <w:rPr>
                <w:rFonts w:ascii="宋体" w:eastAsia="宋体" w:hAnsi="宋体" w:cs="Times New Roman"/>
                <w:sz w:val="22"/>
              </w:rPr>
              <w:t>有望成为既往接受过</w:t>
            </w:r>
            <w:r w:rsidRPr="000410D6">
              <w:rPr>
                <w:rFonts w:ascii="宋体" w:eastAsia="宋体" w:hAnsi="宋体" w:cs="Times New Roman" w:hint="eastAsia"/>
                <w:sz w:val="22"/>
              </w:rPr>
              <w:t>共价BTK抑制剂</w:t>
            </w:r>
            <w:r w:rsidRPr="000410D6">
              <w:rPr>
                <w:rFonts w:ascii="宋体" w:eastAsia="宋体" w:hAnsi="宋体" w:cs="Times New Roman"/>
                <w:sz w:val="22"/>
              </w:rPr>
              <w:t>治疗后的</w:t>
            </w:r>
            <w:r w:rsidRPr="000410D6">
              <w:rPr>
                <w:rFonts w:ascii="宋体" w:eastAsia="宋体" w:hAnsi="宋体" w:cs="Times New Roman" w:hint="eastAsia"/>
                <w:sz w:val="22"/>
              </w:rPr>
              <w:t>潜在</w:t>
            </w:r>
            <w:r w:rsidRPr="000410D6">
              <w:rPr>
                <w:rFonts w:ascii="宋体" w:eastAsia="宋体" w:hAnsi="宋体" w:cs="Times New Roman"/>
                <w:sz w:val="22"/>
              </w:rPr>
              <w:t>同类</w:t>
            </w:r>
            <w:proofErr w:type="gramStart"/>
            <w:r w:rsidRPr="000410D6">
              <w:rPr>
                <w:rFonts w:ascii="宋体" w:eastAsia="宋体" w:hAnsi="宋体" w:cs="Times New Roman" w:hint="eastAsia"/>
                <w:sz w:val="22"/>
              </w:rPr>
              <w:t>最佳作用</w:t>
            </w:r>
            <w:proofErr w:type="gramEnd"/>
            <w:r w:rsidRPr="000410D6">
              <w:rPr>
                <w:rFonts w:ascii="宋体" w:eastAsia="宋体" w:hAnsi="宋体" w:cs="Times New Roman" w:hint="eastAsia"/>
                <w:sz w:val="22"/>
              </w:rPr>
              <w:t>机制。公司在去年ASH上展示了BTK CDAC在经历多线治疗的患者人群中的早期疗效和安全数据。公司和竞争对手对比的数据以及</w:t>
            </w:r>
            <w:r>
              <w:rPr>
                <w:rFonts w:ascii="宋体" w:eastAsia="宋体" w:hAnsi="宋体" w:cs="Times New Roman" w:hint="eastAsia"/>
                <w:sz w:val="22"/>
              </w:rPr>
              <w:t>关键意见领袖（</w:t>
            </w:r>
            <w:r w:rsidRPr="000410D6">
              <w:rPr>
                <w:rFonts w:ascii="宋体" w:eastAsia="宋体" w:hAnsi="宋体" w:cs="Times New Roman" w:hint="eastAsia"/>
                <w:sz w:val="22"/>
              </w:rPr>
              <w:t>KOL</w:t>
            </w:r>
            <w:r>
              <w:rPr>
                <w:rFonts w:ascii="宋体" w:eastAsia="宋体" w:hAnsi="宋体" w:cs="Times New Roman" w:hint="eastAsia"/>
                <w:sz w:val="22"/>
              </w:rPr>
              <w:t>）</w:t>
            </w:r>
            <w:r w:rsidRPr="000410D6">
              <w:rPr>
                <w:rFonts w:ascii="宋体" w:eastAsia="宋体" w:hAnsi="宋体" w:cs="Times New Roman" w:hint="eastAsia"/>
                <w:sz w:val="22"/>
              </w:rPr>
              <w:t>反馈使公司有信心启动针对</w:t>
            </w:r>
            <w:proofErr w:type="gramStart"/>
            <w:r w:rsidRPr="000410D6">
              <w:rPr>
                <w:rFonts w:ascii="宋体" w:eastAsia="宋体" w:hAnsi="宋体" w:cs="Times New Roman" w:hint="eastAsia"/>
                <w:sz w:val="22"/>
              </w:rPr>
              <w:t>匹妥布替尼</w:t>
            </w:r>
            <w:proofErr w:type="gramEnd"/>
            <w:r w:rsidRPr="000410D6">
              <w:rPr>
                <w:rFonts w:ascii="宋体" w:eastAsia="宋体" w:hAnsi="宋体" w:cs="Times New Roman" w:hint="eastAsia"/>
                <w:sz w:val="22"/>
              </w:rPr>
              <w:t>的头对头3期试验。公司预计今年下半年将招募CaDAnCe-304 - BTK CDAC对比</w:t>
            </w:r>
            <w:proofErr w:type="gramStart"/>
            <w:r w:rsidRPr="000410D6">
              <w:rPr>
                <w:rFonts w:ascii="宋体" w:eastAsia="宋体" w:hAnsi="宋体" w:cs="Times New Roman" w:hint="eastAsia"/>
                <w:sz w:val="22"/>
              </w:rPr>
              <w:t>匹妥布替尼针对</w:t>
            </w:r>
            <w:proofErr w:type="gramEnd"/>
            <w:r w:rsidRPr="000410D6">
              <w:rPr>
                <w:rFonts w:ascii="宋体" w:eastAsia="宋体" w:hAnsi="宋体" w:cs="Times New Roman" w:hint="eastAsia"/>
                <w:sz w:val="22"/>
              </w:rPr>
              <w:t>治疗后线CLL/SLL的第一位患者。公司已与FDA会面并就开展针对CLL的3期剂量达成协议。公司的BTK CDAC的第一个3期研究CaDAnCe</w:t>
            </w:r>
            <w:r>
              <w:rPr>
                <w:rFonts w:ascii="宋体" w:eastAsia="宋体" w:hAnsi="宋体" w:cs="Times New Roman" w:hint="eastAsia"/>
                <w:sz w:val="22"/>
              </w:rPr>
              <w:t>-</w:t>
            </w:r>
            <w:r w:rsidRPr="000410D6">
              <w:rPr>
                <w:rFonts w:ascii="宋体" w:eastAsia="宋体" w:hAnsi="宋体" w:cs="Times New Roman" w:hint="eastAsia"/>
                <w:sz w:val="22"/>
              </w:rPr>
              <w:t>302针对复发/难治性CLL已在本周完成了第一例患者的给药。</w:t>
            </w:r>
          </w:p>
          <w:p w14:paraId="37E44968" w14:textId="77777777"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聚焦三大主要实体肿瘤，推进业内最广泛的实体瘤管线。公司的实体瘤产品组合在过去两年中发展迅速，在三大主要肿瘤类型（肺癌、乳腺/妇科癌症和</w:t>
            </w:r>
            <w:r w:rsidRPr="000410D6">
              <w:rPr>
                <w:rFonts w:ascii="宋体" w:eastAsia="宋体" w:hAnsi="宋体" w:cs="Times New Roman"/>
                <w:sz w:val="22"/>
              </w:rPr>
              <w:t>胃肠道肿瘤</w:t>
            </w:r>
            <w:r w:rsidRPr="000410D6">
              <w:rPr>
                <w:rFonts w:ascii="宋体" w:eastAsia="宋体" w:hAnsi="宋体" w:cs="Times New Roman" w:hint="eastAsia"/>
                <w:sz w:val="22"/>
              </w:rPr>
              <w:t>）中有19种</w:t>
            </w:r>
            <w:proofErr w:type="gramStart"/>
            <w:r w:rsidRPr="000410D6">
              <w:rPr>
                <w:rFonts w:ascii="宋体" w:eastAsia="宋体" w:hAnsi="宋体" w:cs="Times New Roman" w:hint="eastAsia"/>
                <w:sz w:val="22"/>
              </w:rPr>
              <w:t>新分子</w:t>
            </w:r>
            <w:proofErr w:type="gramEnd"/>
            <w:r w:rsidRPr="000410D6">
              <w:rPr>
                <w:rFonts w:ascii="宋体" w:eastAsia="宋体" w:hAnsi="宋体" w:cs="Times New Roman" w:hint="eastAsia"/>
                <w:sz w:val="22"/>
              </w:rPr>
              <w:t>进入临床。公司已精炼产品组合，重点关注包括ADC、降解剂和多特异性抗体等治疗模式提供高效治疗的多种产品组合。公司继续以行业领先速度通过快速获得</w:t>
            </w:r>
            <w:r>
              <w:rPr>
                <w:rFonts w:ascii="宋体" w:eastAsia="宋体" w:hAnsi="宋体" w:cs="Times New Roman" w:hint="eastAsia"/>
                <w:sz w:val="22"/>
              </w:rPr>
              <w:t>概念验证（</w:t>
            </w:r>
            <w:r w:rsidRPr="000410D6">
              <w:rPr>
                <w:rFonts w:ascii="宋体" w:eastAsia="宋体" w:hAnsi="宋体" w:cs="Times New Roman" w:hint="eastAsia"/>
                <w:sz w:val="22"/>
              </w:rPr>
              <w:t>PoC</w:t>
            </w:r>
            <w:r>
              <w:rPr>
                <w:rFonts w:ascii="宋体" w:eastAsia="宋体" w:hAnsi="宋体" w:cs="Times New Roman" w:hint="eastAsia"/>
                <w:sz w:val="22"/>
              </w:rPr>
              <w:t>）</w:t>
            </w:r>
            <w:r w:rsidRPr="000410D6">
              <w:rPr>
                <w:rFonts w:ascii="宋体" w:eastAsia="宋体" w:hAnsi="宋体" w:cs="Times New Roman" w:hint="eastAsia"/>
                <w:sz w:val="22"/>
              </w:rPr>
              <w:t>的策略，推动这些分子的快速发展。</w:t>
            </w:r>
          </w:p>
          <w:p w14:paraId="4BE0F778" w14:textId="77777777"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2025年预计的关键早期催化剂和里程碑事件：</w:t>
            </w:r>
            <w:r>
              <w:rPr>
                <w:rFonts w:ascii="宋体" w:eastAsia="宋体" w:hAnsi="宋体" w:cs="Times New Roman" w:hint="eastAsia"/>
                <w:sz w:val="22"/>
              </w:rPr>
              <w:t>(1)</w:t>
            </w:r>
            <w:r w:rsidRPr="000410D6">
              <w:rPr>
                <w:rFonts w:ascii="宋体" w:eastAsia="宋体" w:hAnsi="宋体" w:cs="Times New Roman" w:hint="eastAsia"/>
                <w:sz w:val="22"/>
              </w:rPr>
              <w:t>公司今年预计将有超过10个概念验证数据的读出，涵盖了公司的实体瘤管线，而每个都是潜在的近期价值拐点。乳腺癌和妇科肿瘤：CDK4，CDK2，B7-H4 ADC；肺癌：EGFR CDAC，</w:t>
            </w:r>
            <w:r>
              <w:rPr>
                <w:rFonts w:ascii="宋体" w:eastAsia="宋体" w:hAnsi="宋体" w:cs="Times New Roman" w:hint="eastAsia"/>
                <w:sz w:val="22"/>
              </w:rPr>
              <w:t>泛</w:t>
            </w:r>
            <w:r w:rsidRPr="000410D6">
              <w:rPr>
                <w:rFonts w:ascii="宋体" w:eastAsia="宋体" w:hAnsi="宋体" w:cs="Times New Roman" w:hint="eastAsia"/>
                <w:sz w:val="22"/>
              </w:rPr>
              <w:t>KRAS，PRMT5；胃肠道肿瘤：FRFR2b ADC，CEA ADC；</w:t>
            </w:r>
            <w:proofErr w:type="gramStart"/>
            <w:r w:rsidRPr="000410D6">
              <w:rPr>
                <w:rFonts w:ascii="宋体" w:eastAsia="宋体" w:hAnsi="宋体" w:cs="Times New Roman" w:hint="eastAsia"/>
                <w:sz w:val="22"/>
              </w:rPr>
              <w:t>自免</w:t>
            </w:r>
            <w:proofErr w:type="gramEnd"/>
            <w:r w:rsidRPr="000410D6">
              <w:rPr>
                <w:rFonts w:ascii="宋体" w:eastAsia="宋体" w:hAnsi="宋体" w:cs="Times New Roman" w:hint="eastAsia"/>
                <w:sz w:val="22"/>
              </w:rPr>
              <w:t>领域：IRAK4 CDAC。</w:t>
            </w:r>
            <w:r>
              <w:rPr>
                <w:rFonts w:ascii="宋体" w:eastAsia="宋体" w:hAnsi="宋体" w:cs="Times New Roman" w:hint="eastAsia"/>
                <w:sz w:val="22"/>
              </w:rPr>
              <w:t>(2)</w:t>
            </w:r>
            <w:r w:rsidRPr="000410D6">
              <w:rPr>
                <w:rFonts w:ascii="宋体" w:eastAsia="宋体" w:hAnsi="宋体" w:cs="Times New Roman" w:hint="eastAsia"/>
                <w:sz w:val="22"/>
              </w:rPr>
              <w:t>此外，索托克拉在复发/难治性CLL的2期试验中获得了积极的数据读出，公司在中国进行了</w:t>
            </w:r>
            <w:r>
              <w:rPr>
                <w:rFonts w:ascii="宋体" w:eastAsia="宋体" w:hAnsi="宋体" w:cs="Times New Roman" w:hint="eastAsia"/>
                <w:sz w:val="22"/>
              </w:rPr>
              <w:t>新药上市申请的（</w:t>
            </w:r>
            <w:r w:rsidRPr="000410D6">
              <w:rPr>
                <w:rFonts w:ascii="宋体" w:eastAsia="宋体" w:hAnsi="宋体" w:cs="Times New Roman" w:hint="eastAsia"/>
                <w:sz w:val="22"/>
              </w:rPr>
              <w:t>NDA</w:t>
            </w:r>
            <w:r>
              <w:rPr>
                <w:rFonts w:ascii="宋体" w:eastAsia="宋体" w:hAnsi="宋体" w:cs="Times New Roman" w:hint="eastAsia"/>
                <w:sz w:val="22"/>
              </w:rPr>
              <w:t>）</w:t>
            </w:r>
            <w:r w:rsidRPr="000410D6">
              <w:rPr>
                <w:rFonts w:ascii="宋体" w:eastAsia="宋体" w:hAnsi="宋体" w:cs="Times New Roman" w:hint="eastAsia"/>
                <w:sz w:val="22"/>
              </w:rPr>
              <w:t>提交，从数据截止到NDA受理仅用了11周。公司预计今年下半年将在全球提交复发/难治性MCL的申请。此外还将进行索托克拉和BTK CDAC的3期关键试验的启动。</w:t>
            </w:r>
            <w:r>
              <w:rPr>
                <w:rFonts w:ascii="宋体" w:eastAsia="宋体" w:hAnsi="宋体" w:cs="Times New Roman" w:hint="eastAsia"/>
                <w:sz w:val="22"/>
              </w:rPr>
              <w:t>(3)</w:t>
            </w:r>
            <w:r w:rsidRPr="000410D6">
              <w:rPr>
                <w:rFonts w:ascii="宋体" w:eastAsia="宋体" w:hAnsi="宋体" w:cs="Times New Roman" w:hint="eastAsia"/>
                <w:sz w:val="22"/>
              </w:rPr>
              <w:t>公司将在6月26日的全球</w:t>
            </w:r>
            <w:proofErr w:type="gramStart"/>
            <w:r w:rsidRPr="000410D6">
              <w:rPr>
                <w:rFonts w:ascii="宋体" w:eastAsia="宋体" w:hAnsi="宋体" w:cs="Times New Roman" w:hint="eastAsia"/>
                <w:sz w:val="22"/>
              </w:rPr>
              <w:t>研发日</w:t>
            </w:r>
            <w:proofErr w:type="gramEnd"/>
            <w:r w:rsidRPr="000410D6">
              <w:rPr>
                <w:rFonts w:ascii="宋体" w:eastAsia="宋体" w:hAnsi="宋体" w:cs="Times New Roman" w:hint="eastAsia"/>
                <w:sz w:val="22"/>
              </w:rPr>
              <w:t>上提供更多关于创新科学和产品组合进展的汇报。</w:t>
            </w:r>
          </w:p>
          <w:p w14:paraId="16DDBAF1" w14:textId="2573CCAB" w:rsidR="005953BB" w:rsidRPr="000D65A7" w:rsidRDefault="005953BB" w:rsidP="005953BB">
            <w:pPr>
              <w:spacing w:line="360" w:lineRule="auto"/>
              <w:rPr>
                <w:rFonts w:ascii="宋体" w:eastAsia="宋体" w:hAnsi="宋体" w:cs="Times New Roman" w:hint="eastAsia"/>
                <w:b/>
                <w:sz w:val="22"/>
              </w:rPr>
            </w:pPr>
            <w:r w:rsidRPr="00934290">
              <w:rPr>
                <w:rFonts w:ascii="宋体" w:eastAsia="宋体" w:hAnsi="宋体" w:cs="Times New Roman" w:hint="eastAsia"/>
                <w:b/>
                <w:sz w:val="22"/>
              </w:rPr>
              <w:t>公司首席财务官</w:t>
            </w:r>
            <w:r w:rsidRPr="00934290">
              <w:rPr>
                <w:rFonts w:ascii="宋体" w:eastAsia="宋体" w:hAnsi="宋体" w:cs="Times New Roman"/>
                <w:b/>
                <w:bCs/>
                <w:sz w:val="22"/>
              </w:rPr>
              <w:t>Aaron Rosenberg</w:t>
            </w:r>
            <w:r w:rsidRPr="00934290">
              <w:rPr>
                <w:rFonts w:ascii="宋体" w:eastAsia="宋体" w:hAnsi="宋体" w:cs="Times New Roman" w:hint="eastAsia"/>
                <w:b/>
                <w:sz w:val="22"/>
              </w:rPr>
              <w:t>介绍公司财务业绩：</w:t>
            </w:r>
          </w:p>
          <w:p w14:paraId="7A22B88E" w14:textId="6CDEE47B" w:rsidR="005953BB" w:rsidRPr="000410D6" w:rsidRDefault="005953BB" w:rsidP="005953BB">
            <w:pPr>
              <w:spacing w:line="360" w:lineRule="auto"/>
              <w:ind w:firstLineChars="200" w:firstLine="440"/>
              <w:rPr>
                <w:rFonts w:ascii="宋体" w:eastAsia="宋体" w:hAnsi="宋体" w:cs="Times New Roman" w:hint="eastAsia"/>
                <w:sz w:val="22"/>
              </w:rPr>
            </w:pPr>
            <w:r w:rsidRPr="000410D6">
              <w:rPr>
                <w:rFonts w:ascii="宋体" w:eastAsia="宋体" w:hAnsi="宋体" w:cs="Times New Roman" w:hint="eastAsia"/>
                <w:sz w:val="22"/>
              </w:rPr>
              <w:t>第一季度基于</w:t>
            </w:r>
            <w:r w:rsidRPr="007254B7">
              <w:rPr>
                <w:rFonts w:ascii="宋体" w:eastAsia="宋体" w:hAnsi="宋体" w:cs="Times New Roman" w:hint="eastAsia"/>
                <w:sz w:val="22"/>
              </w:rPr>
              <w:t>美国公认会计原则（</w:t>
            </w:r>
            <w:r w:rsidRPr="000410D6">
              <w:rPr>
                <w:rFonts w:ascii="宋体" w:eastAsia="宋体" w:hAnsi="宋体" w:cs="Times New Roman" w:hint="eastAsia"/>
                <w:sz w:val="22"/>
              </w:rPr>
              <w:t>GAAP</w:t>
            </w:r>
            <w:r>
              <w:rPr>
                <w:rFonts w:ascii="宋体" w:eastAsia="宋体" w:hAnsi="宋体" w:cs="Times New Roman"/>
                <w:sz w:val="22"/>
              </w:rPr>
              <w:t>）</w:t>
            </w:r>
            <w:r w:rsidRPr="000410D6">
              <w:rPr>
                <w:rFonts w:ascii="宋体" w:eastAsia="宋体" w:hAnsi="宋体" w:cs="Times New Roman" w:hint="eastAsia"/>
                <w:sz w:val="22"/>
              </w:rPr>
              <w:t>下的经营情况：</w:t>
            </w:r>
            <w:r>
              <w:rPr>
                <w:rFonts w:ascii="宋体" w:eastAsia="宋体" w:hAnsi="宋体" w:cs="Times New Roman" w:hint="eastAsia"/>
                <w:sz w:val="22"/>
              </w:rPr>
              <w:t>(1)</w:t>
            </w:r>
            <w:r w:rsidRPr="000410D6">
              <w:rPr>
                <w:rFonts w:ascii="宋体" w:eastAsia="宋体" w:hAnsi="宋体" w:cs="Times New Roman" w:hint="eastAsia"/>
                <w:sz w:val="22"/>
              </w:rPr>
              <w:t>2025年第一季度收入为11亿美元，而2024年第一季度为7.5亿美元。收入增长为49%，所有核心产品均有显著贡献，为2025年的平衡发展奠定了良好基础。</w:t>
            </w:r>
            <w:r>
              <w:rPr>
                <w:rFonts w:ascii="宋体" w:eastAsia="宋体" w:hAnsi="宋体" w:cs="Times New Roman" w:hint="eastAsia"/>
                <w:sz w:val="22"/>
              </w:rPr>
              <w:t>(2)</w:t>
            </w:r>
            <w:r w:rsidRPr="000410D6">
              <w:rPr>
                <w:rFonts w:ascii="宋体" w:eastAsia="宋体" w:hAnsi="宋体" w:cs="Times New Roman" w:hint="eastAsia"/>
                <w:sz w:val="22"/>
              </w:rPr>
              <w:t>百悦泽</w:t>
            </w:r>
            <w:r w:rsidRPr="00BA74AB">
              <w:rPr>
                <w:rFonts w:ascii="宋体" w:eastAsia="宋体" w:hAnsi="宋体" w:cs="Arial"/>
                <w:sz w:val="22"/>
                <w:vertAlign w:val="superscript"/>
              </w:rPr>
              <w:t>®</w:t>
            </w:r>
            <w:r w:rsidRPr="000410D6">
              <w:rPr>
                <w:rFonts w:ascii="宋体" w:eastAsia="宋体" w:hAnsi="宋体" w:cs="Times New Roman" w:hint="eastAsia"/>
                <w:sz w:val="22"/>
              </w:rPr>
              <w:t>在第一季度的销售额为7.92亿美元，同比增长62%。增长主要由公司在美国的新患市场份额的领先而驱动，伴随着2024年开始治疗的患者的全年使用量增加。美国以外的市场，包括欧洲、中国和其他市场均有增长贡献。</w:t>
            </w:r>
            <w:r>
              <w:rPr>
                <w:rFonts w:ascii="宋体" w:eastAsia="宋体" w:hAnsi="宋体" w:cs="Times New Roman" w:hint="eastAsia"/>
                <w:sz w:val="22"/>
              </w:rPr>
              <w:t>(3)</w:t>
            </w:r>
            <w:proofErr w:type="gramStart"/>
            <w:r w:rsidRPr="000410D6">
              <w:rPr>
                <w:rFonts w:ascii="宋体" w:eastAsia="宋体" w:hAnsi="宋体" w:cs="Times New Roman" w:hint="eastAsia"/>
                <w:sz w:val="22"/>
              </w:rPr>
              <w:t>百泽安</w:t>
            </w:r>
            <w:proofErr w:type="gramEnd"/>
            <w:r w:rsidRPr="00BA74AB">
              <w:rPr>
                <w:rFonts w:ascii="宋体" w:eastAsia="宋体" w:hAnsi="宋体" w:cs="Arial"/>
                <w:sz w:val="22"/>
                <w:vertAlign w:val="superscript"/>
              </w:rPr>
              <w:t>®</w:t>
            </w:r>
            <w:r w:rsidRPr="000410D6">
              <w:rPr>
                <w:rFonts w:ascii="宋体" w:eastAsia="宋体" w:hAnsi="宋体" w:cs="Times New Roman" w:hint="eastAsia"/>
                <w:sz w:val="22"/>
              </w:rPr>
              <w:t>的销售额为1.71亿美元，与2024年第一季度相比增长了18%，主要由公司在中国的市场领导地位驱动。公司在其他市场正处于商业扩展初期阶段。</w:t>
            </w:r>
            <w:r>
              <w:rPr>
                <w:rFonts w:ascii="宋体" w:eastAsia="宋体" w:hAnsi="宋体" w:cs="Times New Roman" w:hint="eastAsia"/>
                <w:sz w:val="22"/>
              </w:rPr>
              <w:t>(4)</w:t>
            </w:r>
            <w:r w:rsidRPr="000410D6">
              <w:rPr>
                <w:rFonts w:ascii="宋体" w:eastAsia="宋体" w:hAnsi="宋体" w:cs="Times New Roman" w:hint="eastAsia"/>
                <w:sz w:val="22"/>
              </w:rPr>
              <w:t>安进授权产品也在第一季度有强劲的增长，销售达到1.14亿美元，同比增长58%。</w:t>
            </w:r>
            <w:r>
              <w:rPr>
                <w:rFonts w:ascii="宋体" w:eastAsia="宋体" w:hAnsi="宋体" w:cs="Times New Roman" w:hint="eastAsia"/>
                <w:sz w:val="22"/>
              </w:rPr>
              <w:t>(5)</w:t>
            </w:r>
            <w:r w:rsidRPr="000410D6">
              <w:rPr>
                <w:rFonts w:ascii="宋体" w:eastAsia="宋体" w:hAnsi="宋体" w:cs="Times New Roman" w:hint="eastAsia"/>
                <w:sz w:val="22"/>
              </w:rPr>
              <w:t>产品毛利率本季度增加了近2个百分点，达到85%，而2024年第一季度为83%。这主要是由于产品收入中百悦泽</w:t>
            </w:r>
            <w:r w:rsidRPr="00BA74AB">
              <w:rPr>
                <w:rFonts w:ascii="宋体" w:eastAsia="宋体" w:hAnsi="宋体" w:cs="Arial"/>
                <w:sz w:val="22"/>
                <w:vertAlign w:val="superscript"/>
              </w:rPr>
              <w:t>®</w:t>
            </w:r>
            <w:r w:rsidRPr="000410D6">
              <w:rPr>
                <w:rFonts w:ascii="宋体" w:eastAsia="宋体" w:hAnsi="宋体" w:cs="Times New Roman" w:hint="eastAsia"/>
                <w:sz w:val="22"/>
              </w:rPr>
              <w:t>海外收入的增加以及</w:t>
            </w:r>
            <w:r w:rsidR="00DB11CF">
              <w:rPr>
                <w:rFonts w:ascii="宋体" w:eastAsia="宋体" w:hAnsi="宋体" w:cs="Times New Roman" w:hint="eastAsia"/>
                <w:sz w:val="22"/>
              </w:rPr>
              <w:t>核心产品</w:t>
            </w:r>
            <w:r w:rsidRPr="000410D6">
              <w:rPr>
                <w:rFonts w:ascii="宋体" w:eastAsia="宋体" w:hAnsi="宋体" w:cs="Times New Roman" w:hint="eastAsia"/>
                <w:sz w:val="22"/>
              </w:rPr>
              <w:t>生产成本的效率提升。</w:t>
            </w:r>
            <w:r>
              <w:rPr>
                <w:rFonts w:ascii="宋体" w:eastAsia="宋体" w:hAnsi="宋体" w:cs="Times New Roman" w:hint="eastAsia"/>
                <w:sz w:val="22"/>
              </w:rPr>
              <w:t>(6)</w:t>
            </w:r>
            <w:r w:rsidRPr="000410D6">
              <w:rPr>
                <w:rFonts w:ascii="宋体" w:eastAsia="宋体" w:hAnsi="宋体" w:cs="Times New Roman" w:hint="eastAsia"/>
                <w:sz w:val="22"/>
              </w:rPr>
              <w:t>本季度运营费用总计9.41亿美元，同比增长6%。尽管</w:t>
            </w:r>
            <w:r>
              <w:rPr>
                <w:rFonts w:ascii="宋体" w:eastAsia="宋体" w:hAnsi="宋体" w:cs="Times New Roman" w:hint="eastAsia"/>
                <w:sz w:val="22"/>
              </w:rPr>
              <w:t>销售及管理费用</w:t>
            </w:r>
            <w:r w:rsidRPr="000410D6">
              <w:rPr>
                <w:rFonts w:ascii="宋体" w:eastAsia="宋体" w:hAnsi="宋体" w:cs="Times New Roman" w:hint="eastAsia"/>
                <w:sz w:val="22"/>
              </w:rPr>
              <w:t>和研发费用均有所增长，公司将继续专注于收入的持续增长和保持运营效率。</w:t>
            </w:r>
            <w:r>
              <w:rPr>
                <w:rFonts w:ascii="宋体" w:eastAsia="宋体" w:hAnsi="宋体" w:cs="Times New Roman" w:hint="eastAsia"/>
                <w:sz w:val="22"/>
              </w:rPr>
              <w:t>(7)</w:t>
            </w:r>
            <w:r w:rsidRPr="000410D6">
              <w:rPr>
                <w:rFonts w:ascii="宋体" w:eastAsia="宋体" w:hAnsi="宋体" w:cs="Times New Roman" w:hint="eastAsia"/>
                <w:sz w:val="22"/>
              </w:rPr>
              <w:t>在本季度公司实现了GAAP经营利润1</w:t>
            </w:r>
            <w:r>
              <w:rPr>
                <w:rFonts w:ascii="宋体" w:eastAsia="宋体" w:hAnsi="宋体" w:cs="Times New Roman" w:hint="eastAsia"/>
                <w:sz w:val="22"/>
              </w:rPr>
              <w:t>,</w:t>
            </w:r>
            <w:r w:rsidRPr="000410D6">
              <w:rPr>
                <w:rFonts w:ascii="宋体" w:eastAsia="宋体" w:hAnsi="宋体" w:cs="Times New Roman" w:hint="eastAsia"/>
                <w:sz w:val="22"/>
              </w:rPr>
              <w:t>100万美元，同时实现了GAAP净利润盈利。</w:t>
            </w:r>
          </w:p>
          <w:p w14:paraId="210F226A" w14:textId="77777777" w:rsidR="005953BB" w:rsidRDefault="005953BB" w:rsidP="005953BB">
            <w:pPr>
              <w:spacing w:line="360" w:lineRule="auto"/>
              <w:ind w:firstLineChars="200" w:firstLine="440"/>
              <w:rPr>
                <w:rFonts w:hint="eastAsia"/>
              </w:rPr>
            </w:pPr>
            <w:r w:rsidRPr="000410D6">
              <w:rPr>
                <w:rFonts w:ascii="宋体" w:eastAsia="宋体" w:hAnsi="宋体" w:cs="Times New Roman" w:hint="eastAsia"/>
                <w:sz w:val="22"/>
              </w:rPr>
              <w:t>公司重申2025年全年指引维持不变。预计收入在49亿至53亿美元之间。GAAP毛利率在80%-90%百分比在中间范围内。GAAP运营费用预计在41亿至44亿美元之间。公司致力于实现全年GAAP运营收入盈亏平衡，并在全年实现正的运营现金流。鉴于不确定性仍然存在，公司的指引包括对已宣布关税对2025年结果的影响的估计。公司预计合作产品将不</w:t>
            </w:r>
            <w:r>
              <w:rPr>
                <w:rFonts w:ascii="宋体" w:eastAsia="宋体" w:hAnsi="宋体" w:cs="Times New Roman" w:hint="eastAsia"/>
                <w:sz w:val="22"/>
              </w:rPr>
              <w:t>会</w:t>
            </w:r>
            <w:r w:rsidRPr="000410D6">
              <w:rPr>
                <w:rFonts w:ascii="宋体" w:eastAsia="宋体" w:hAnsi="宋体" w:cs="Times New Roman" w:hint="eastAsia"/>
                <w:sz w:val="22"/>
              </w:rPr>
              <w:t>受到相关的关税影响。</w:t>
            </w:r>
          </w:p>
          <w:p w14:paraId="4C431EE2" w14:textId="77777777" w:rsidR="00BA74AB" w:rsidRPr="005953BB" w:rsidRDefault="00BA74AB" w:rsidP="005100C9">
            <w:pPr>
              <w:spacing w:line="360" w:lineRule="auto"/>
              <w:ind w:firstLine="420"/>
              <w:rPr>
                <w:rFonts w:ascii="宋体" w:eastAsia="宋体" w:hAnsi="宋体" w:cs="Times New Roman" w:hint="eastAsia"/>
                <w:bCs/>
                <w:sz w:val="22"/>
              </w:rPr>
            </w:pPr>
          </w:p>
          <w:p w14:paraId="27268A83" w14:textId="55F7C017"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1：</w:t>
            </w:r>
            <w:r w:rsidRPr="00BA74AB">
              <w:rPr>
                <w:rFonts w:ascii="宋体" w:eastAsia="宋体" w:hAnsi="宋体" w:cs="Arial"/>
                <w:b/>
                <w:bCs/>
                <w:sz w:val="22"/>
              </w:rPr>
              <w:t>公司预计于2025年下半年完成百悦泽</w:t>
            </w:r>
            <w:r w:rsidRPr="00BA74AB">
              <w:rPr>
                <w:rFonts w:ascii="宋体" w:eastAsia="宋体" w:hAnsi="宋体" w:cs="Arial"/>
                <w:b/>
                <w:bCs/>
                <w:sz w:val="22"/>
                <w:vertAlign w:val="superscript"/>
              </w:rPr>
              <w:t>®</w:t>
            </w:r>
            <w:r w:rsidRPr="00BA74AB">
              <w:rPr>
                <w:rFonts w:ascii="宋体" w:eastAsia="宋体" w:hAnsi="宋体" w:cs="Arial"/>
                <w:b/>
                <w:bCs/>
                <w:sz w:val="22"/>
              </w:rPr>
              <w:t>用于治疗初治MCL的3期MANGROVE试验期中分析，公司对此数据有何期待？百悦泽在初治MCL中的潜在市场规模有多大？</w:t>
            </w:r>
          </w:p>
          <w:p w14:paraId="0C9C9BDC" w14:textId="77777777" w:rsidR="00BA74AB" w:rsidRPr="00BA74AB" w:rsidRDefault="00BA74AB" w:rsidP="00BA74AB">
            <w:pPr>
              <w:spacing w:line="360" w:lineRule="auto"/>
              <w:ind w:firstLineChars="200" w:firstLine="440"/>
              <w:rPr>
                <w:rFonts w:ascii="宋体" w:eastAsia="宋体" w:hAnsi="宋体" w:cs="Arial" w:hint="eastAsia"/>
                <w:b/>
                <w:bCs/>
                <w:sz w:val="22"/>
              </w:rPr>
            </w:pPr>
            <w:r w:rsidRPr="00BA74AB">
              <w:rPr>
                <w:rFonts w:ascii="宋体" w:eastAsia="宋体" w:hAnsi="宋体" w:cs="Arial"/>
                <w:sz w:val="22"/>
              </w:rPr>
              <w:t>MANGROVE研究是一个事件驱动的研究，公司期待在今年下半年看到数据。MANGROVE研究采用无化疗方案，即</w:t>
            </w:r>
            <w:proofErr w:type="gramStart"/>
            <w:r w:rsidRPr="00BA74AB">
              <w:rPr>
                <w:rFonts w:ascii="宋体" w:eastAsia="宋体" w:hAnsi="宋体" w:cs="Arial"/>
                <w:sz w:val="22"/>
              </w:rPr>
              <w:t>利妥昔单抗联合泽布替尼</w:t>
            </w:r>
            <w:proofErr w:type="gramEnd"/>
            <w:r w:rsidRPr="00BA74AB">
              <w:rPr>
                <w:rFonts w:ascii="宋体" w:eastAsia="宋体" w:hAnsi="宋体" w:cs="Arial"/>
                <w:sz w:val="22"/>
              </w:rPr>
              <w:t>，对照组是BR（苯达莫司汀联合</w:t>
            </w:r>
            <w:proofErr w:type="gramStart"/>
            <w:r w:rsidRPr="00BA74AB">
              <w:rPr>
                <w:rFonts w:ascii="宋体" w:eastAsia="宋体" w:hAnsi="宋体" w:cs="Arial"/>
                <w:sz w:val="22"/>
              </w:rPr>
              <w:t>利妥昔单</w:t>
            </w:r>
            <w:proofErr w:type="gramEnd"/>
            <w:r w:rsidRPr="00BA74AB">
              <w:rPr>
                <w:rFonts w:ascii="宋体" w:eastAsia="宋体" w:hAnsi="宋体" w:cs="Arial"/>
                <w:sz w:val="22"/>
              </w:rPr>
              <w:t>抗），这与ECHO试验中在BR基础上加上</w:t>
            </w:r>
            <w:proofErr w:type="gramStart"/>
            <w:r w:rsidRPr="00BA74AB">
              <w:rPr>
                <w:rFonts w:ascii="宋体" w:eastAsia="宋体" w:hAnsi="宋体" w:cs="Arial"/>
                <w:sz w:val="22"/>
              </w:rPr>
              <w:t>阿可替尼的</w:t>
            </w:r>
            <w:proofErr w:type="gramEnd"/>
            <w:r w:rsidRPr="00BA74AB">
              <w:rPr>
                <w:rFonts w:ascii="宋体" w:eastAsia="宋体" w:hAnsi="宋体" w:cs="Arial"/>
                <w:sz w:val="22"/>
              </w:rPr>
              <w:t>方案不同。如果试验成功，这将为患者提供一种潜在更优治疗选择，即无化疗方案。一线疗法的治疗周期较长，MANGROVE研究如果成功将进一步扩大公司在套细胞淋巴</w:t>
            </w:r>
            <w:proofErr w:type="gramStart"/>
            <w:r w:rsidRPr="00BA74AB">
              <w:rPr>
                <w:rFonts w:ascii="宋体" w:eastAsia="宋体" w:hAnsi="宋体" w:cs="Arial"/>
                <w:sz w:val="22"/>
              </w:rPr>
              <w:t>瘤领域</w:t>
            </w:r>
            <w:proofErr w:type="gramEnd"/>
            <w:r w:rsidRPr="00BA74AB">
              <w:rPr>
                <w:rFonts w:ascii="宋体" w:eastAsia="宋体" w:hAnsi="宋体" w:cs="Arial"/>
                <w:sz w:val="22"/>
              </w:rPr>
              <w:t>的市场。公司认为在套细胞淋巴瘤中存在一个合理的市场规模，BTK抑制剂在此适应症中存在市场机会，并且公司在该领域也继续保持强大的市场份额。</w:t>
            </w:r>
          </w:p>
          <w:p w14:paraId="6F13F959" w14:textId="77777777" w:rsidR="00BA74AB" w:rsidRPr="00BA74AB" w:rsidRDefault="00BA74AB" w:rsidP="00BA74AB">
            <w:pPr>
              <w:spacing w:line="360" w:lineRule="auto"/>
              <w:rPr>
                <w:rFonts w:ascii="宋体" w:eastAsia="宋体" w:hAnsi="宋体" w:cs="Arial" w:hint="eastAsia"/>
                <w:sz w:val="22"/>
              </w:rPr>
            </w:pPr>
          </w:p>
          <w:p w14:paraId="6C51AE89" w14:textId="290AA496" w:rsidR="00BA74AB" w:rsidRPr="00BA74AB" w:rsidRDefault="00BA74AB" w:rsidP="00BA74AB">
            <w:pPr>
              <w:spacing w:line="360" w:lineRule="auto"/>
              <w:rPr>
                <w:rFonts w:ascii="宋体" w:eastAsia="宋体" w:hAnsi="宋体" w:cs="Arial" w:hint="eastAsia"/>
                <w:sz w:val="22"/>
              </w:rPr>
            </w:pPr>
            <w:r w:rsidRPr="00BA74AB">
              <w:rPr>
                <w:rFonts w:ascii="宋体" w:eastAsia="宋体" w:hAnsi="宋体" w:cs="Arial"/>
                <w:b/>
                <w:bCs/>
                <w:sz w:val="22"/>
              </w:rPr>
              <w:t>Q</w:t>
            </w:r>
            <w:r>
              <w:rPr>
                <w:rFonts w:ascii="宋体" w:eastAsia="宋体" w:hAnsi="宋体" w:cs="Arial" w:hint="eastAsia"/>
                <w:b/>
                <w:bCs/>
                <w:sz w:val="22"/>
              </w:rPr>
              <w:t>2：</w:t>
            </w:r>
            <w:r w:rsidRPr="00BA74AB">
              <w:rPr>
                <w:rFonts w:ascii="宋体" w:eastAsia="宋体" w:hAnsi="宋体" w:cs="Arial"/>
                <w:b/>
                <w:bCs/>
                <w:sz w:val="22"/>
              </w:rPr>
              <w:t>随着礼来公司今年晚些时候公布匹妥</w:t>
            </w:r>
            <w:proofErr w:type="gramStart"/>
            <w:r w:rsidRPr="00BA74AB">
              <w:rPr>
                <w:rFonts w:ascii="宋体" w:eastAsia="宋体" w:hAnsi="宋体" w:cs="Arial"/>
                <w:b/>
                <w:bCs/>
                <w:sz w:val="22"/>
              </w:rPr>
              <w:t>布替尼</w:t>
            </w:r>
            <w:proofErr w:type="gramEnd"/>
            <w:r w:rsidRPr="00BA74AB">
              <w:rPr>
                <w:rFonts w:ascii="宋体" w:eastAsia="宋体" w:hAnsi="宋体" w:cs="Arial"/>
                <w:b/>
                <w:bCs/>
                <w:sz w:val="22"/>
              </w:rPr>
              <w:t>一线治疗CLL数据，公司如何看待百悦泽</w:t>
            </w:r>
            <w:r w:rsidRPr="00BA74AB">
              <w:rPr>
                <w:rFonts w:ascii="宋体" w:eastAsia="宋体" w:hAnsi="宋体" w:cs="Arial"/>
                <w:b/>
                <w:bCs/>
                <w:sz w:val="22"/>
                <w:vertAlign w:val="superscript"/>
              </w:rPr>
              <w:t>®</w:t>
            </w:r>
            <w:r w:rsidRPr="00BA74AB">
              <w:rPr>
                <w:rFonts w:ascii="宋体" w:eastAsia="宋体" w:hAnsi="宋体" w:cs="Arial"/>
                <w:b/>
                <w:bCs/>
                <w:sz w:val="22"/>
              </w:rPr>
              <w:t>的长期定位？</w:t>
            </w:r>
          </w:p>
          <w:p w14:paraId="14A1AA7E" w14:textId="0EA37890" w:rsidR="00BA74AB" w:rsidRPr="00BA74AB" w:rsidRDefault="00BA74AB" w:rsidP="00BA74AB">
            <w:pPr>
              <w:spacing w:line="360" w:lineRule="auto"/>
              <w:ind w:firstLineChars="200" w:firstLine="440"/>
              <w:rPr>
                <w:rFonts w:ascii="宋体" w:eastAsia="宋体" w:hAnsi="宋体" w:cs="Arial" w:hint="eastAsia"/>
                <w:sz w:val="22"/>
              </w:rPr>
            </w:pPr>
            <w:proofErr w:type="gramStart"/>
            <w:r w:rsidRPr="00BA74AB">
              <w:rPr>
                <w:rFonts w:ascii="宋体" w:eastAsia="宋体" w:hAnsi="宋体" w:cs="Arial"/>
                <w:sz w:val="22"/>
              </w:rPr>
              <w:t>匹妥布替尼</w:t>
            </w:r>
            <w:proofErr w:type="gramEnd"/>
            <w:r w:rsidRPr="00BA74AB">
              <w:rPr>
                <w:rFonts w:ascii="宋体" w:eastAsia="宋体" w:hAnsi="宋体" w:cs="Arial"/>
                <w:sz w:val="22"/>
              </w:rPr>
              <w:t>目前正在进行两项针对一线CLL的3期临床试验。第一项试验</w:t>
            </w:r>
            <w:proofErr w:type="gramStart"/>
            <w:r w:rsidRPr="00BA74AB">
              <w:rPr>
                <w:rFonts w:ascii="宋体" w:eastAsia="宋体" w:hAnsi="宋体" w:cs="Arial"/>
                <w:sz w:val="22"/>
              </w:rPr>
              <w:t>将匹妥布替尼</w:t>
            </w:r>
            <w:proofErr w:type="gramEnd"/>
            <w:r w:rsidRPr="00BA74AB">
              <w:rPr>
                <w:rFonts w:ascii="宋体" w:eastAsia="宋体" w:hAnsi="宋体" w:cs="Arial"/>
                <w:sz w:val="22"/>
              </w:rPr>
              <w:t>与化疗免疫疗法进行对比。需要指出的是，化疗免疫疗法已不再被视为一线初治CLL的标准治疗方案。因此，该研究的结果并不一定改变现有治疗实践，因为其对比的是非标准治疗方案。第二项试验为混合人群研究，纳入了最多30%的一线初治CLL患者，其余患者为复发/难治性CLL患者。该研究以非劣的客观缓解率（ORR）为主要终点。即便该研究取得</w:t>
            </w:r>
            <w:r>
              <w:rPr>
                <w:rFonts w:ascii="宋体" w:eastAsia="宋体" w:hAnsi="宋体" w:cs="Arial" w:hint="eastAsia"/>
                <w:sz w:val="22"/>
              </w:rPr>
              <w:t>积极</w:t>
            </w:r>
            <w:r w:rsidRPr="00BA74AB">
              <w:rPr>
                <w:rFonts w:ascii="宋体" w:eastAsia="宋体" w:hAnsi="宋体" w:cs="Arial"/>
                <w:sz w:val="22"/>
              </w:rPr>
              <w:t>结果，目前我们也不认为其将改变当前的临床治疗模式。此外，该研究的对照药物为伊</w:t>
            </w:r>
            <w:proofErr w:type="gramStart"/>
            <w:r w:rsidRPr="00BA74AB">
              <w:rPr>
                <w:rFonts w:ascii="宋体" w:eastAsia="宋体" w:hAnsi="宋体" w:cs="Arial"/>
                <w:sz w:val="22"/>
              </w:rPr>
              <w:t>布替尼</w:t>
            </w:r>
            <w:proofErr w:type="gramEnd"/>
            <w:r w:rsidRPr="00BA74AB">
              <w:rPr>
                <w:rFonts w:ascii="宋体" w:eastAsia="宋体" w:hAnsi="宋体" w:cs="Arial"/>
                <w:sz w:val="22"/>
              </w:rPr>
              <w:t>，而非同类最佳的BTK抑制剂——百悦泽</w:t>
            </w:r>
            <w:r w:rsidRPr="00BA74AB">
              <w:rPr>
                <w:rFonts w:ascii="宋体" w:eastAsia="宋体" w:hAnsi="宋体" w:cs="Arial"/>
                <w:sz w:val="22"/>
                <w:vertAlign w:val="superscript"/>
              </w:rPr>
              <w:t>®</w:t>
            </w:r>
            <w:r w:rsidRPr="00BA74AB">
              <w:rPr>
                <w:rFonts w:ascii="宋体" w:eastAsia="宋体" w:hAnsi="宋体" w:cs="Arial"/>
                <w:sz w:val="22"/>
              </w:rPr>
              <w:t>，公司认为</w:t>
            </w:r>
            <w:proofErr w:type="gramStart"/>
            <w:r w:rsidRPr="00BA74AB">
              <w:rPr>
                <w:rFonts w:ascii="宋体" w:eastAsia="宋体" w:hAnsi="宋体" w:cs="Arial"/>
                <w:sz w:val="22"/>
              </w:rPr>
              <w:t>匹妥布替尼</w:t>
            </w:r>
            <w:proofErr w:type="gramEnd"/>
            <w:r w:rsidRPr="00BA74AB">
              <w:rPr>
                <w:rFonts w:ascii="宋体" w:eastAsia="宋体" w:hAnsi="宋体" w:cs="Arial"/>
                <w:sz w:val="22"/>
              </w:rPr>
              <w:t>对百悦泽</w:t>
            </w:r>
            <w:r w:rsidRPr="00BA74AB">
              <w:rPr>
                <w:rFonts w:ascii="宋体" w:eastAsia="宋体" w:hAnsi="宋体" w:cs="Arial"/>
                <w:sz w:val="22"/>
                <w:vertAlign w:val="superscript"/>
              </w:rPr>
              <w:t>®</w:t>
            </w:r>
            <w:r w:rsidRPr="00BA74AB">
              <w:rPr>
                <w:rFonts w:ascii="宋体" w:eastAsia="宋体" w:hAnsi="宋体" w:cs="Arial"/>
                <w:sz w:val="22"/>
              </w:rPr>
              <w:t>不构成重大威胁。我们认为，若要</w:t>
            </w:r>
            <w:proofErr w:type="gramStart"/>
            <w:r w:rsidRPr="00BA74AB">
              <w:rPr>
                <w:rFonts w:ascii="宋体" w:eastAsia="宋体" w:hAnsi="宋体" w:cs="Arial"/>
                <w:sz w:val="22"/>
              </w:rPr>
              <w:t>使匹妥布替尼</w:t>
            </w:r>
            <w:proofErr w:type="gramEnd"/>
            <w:r w:rsidRPr="00BA74AB">
              <w:rPr>
                <w:rFonts w:ascii="宋体" w:eastAsia="宋体" w:hAnsi="宋体" w:cs="Arial"/>
                <w:sz w:val="22"/>
              </w:rPr>
              <w:t>在一线治疗中占据显著市场份额，需真正与标准治疗方案进行对比，并且需要更长时间的随访数据支持。因此，我们不认为该研究会在短期内改变BTK抑制剂在一线治疗中的应用格局。</w:t>
            </w:r>
            <w:proofErr w:type="gramStart"/>
            <w:r w:rsidRPr="00BA74AB">
              <w:rPr>
                <w:rFonts w:ascii="宋体" w:eastAsia="宋体" w:hAnsi="宋体" w:cs="Arial"/>
                <w:sz w:val="22"/>
              </w:rPr>
              <w:t>匹妥布替尼更</w:t>
            </w:r>
            <w:proofErr w:type="gramEnd"/>
            <w:r w:rsidRPr="00BA74AB">
              <w:rPr>
                <w:rFonts w:ascii="宋体" w:eastAsia="宋体" w:hAnsi="宋体" w:cs="Arial"/>
                <w:sz w:val="22"/>
              </w:rPr>
              <w:t>可能定位为患者在共价BTK抑制剂治疗进展后的后续用药选择。</w:t>
            </w:r>
          </w:p>
          <w:p w14:paraId="19166CD5" w14:textId="77777777" w:rsidR="00BA74AB" w:rsidRPr="00BA74AB" w:rsidRDefault="00BA74AB" w:rsidP="00BA74AB">
            <w:pPr>
              <w:spacing w:line="360" w:lineRule="auto"/>
              <w:rPr>
                <w:rFonts w:ascii="宋体" w:eastAsia="宋体" w:hAnsi="宋体" w:cs="Arial" w:hint="eastAsia"/>
                <w:b/>
                <w:bCs/>
                <w:sz w:val="22"/>
              </w:rPr>
            </w:pPr>
          </w:p>
          <w:p w14:paraId="0C59DEAE" w14:textId="03F522B7"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3：</w:t>
            </w:r>
            <w:r w:rsidRPr="00BA74AB">
              <w:rPr>
                <w:rFonts w:ascii="宋体" w:eastAsia="宋体" w:hAnsi="宋体" w:cs="Arial"/>
                <w:b/>
                <w:bCs/>
                <w:sz w:val="22"/>
              </w:rPr>
              <w:t>关于百悦泽</w:t>
            </w:r>
            <w:r w:rsidR="000938CB" w:rsidRPr="000938CB">
              <w:rPr>
                <w:rFonts w:ascii="宋体" w:eastAsia="宋体" w:hAnsi="宋体" w:cs="Arial"/>
                <w:b/>
                <w:bCs/>
                <w:sz w:val="22"/>
                <w:vertAlign w:val="superscript"/>
              </w:rPr>
              <w:t>®</w:t>
            </w:r>
            <w:r w:rsidRPr="00BA74AB">
              <w:rPr>
                <w:rFonts w:ascii="宋体" w:eastAsia="宋体" w:hAnsi="宋体" w:cs="Arial"/>
                <w:b/>
                <w:bCs/>
                <w:sz w:val="22"/>
              </w:rPr>
              <w:t>，公司是否有意向将其开发应用于肿瘤之外的治疗领域？其在免疫治疗中是否有潜在作用？</w:t>
            </w:r>
          </w:p>
          <w:p w14:paraId="6EC06EA2" w14:textId="43E190F5" w:rsidR="00BA74AB" w:rsidRPr="00BA74AB" w:rsidRDefault="00BA74AB" w:rsidP="000938CB">
            <w:pPr>
              <w:spacing w:line="360" w:lineRule="auto"/>
              <w:ind w:firstLineChars="200" w:firstLine="440"/>
              <w:rPr>
                <w:rFonts w:ascii="宋体" w:eastAsia="宋体" w:hAnsi="宋体" w:cs="Arial" w:hint="eastAsia"/>
                <w:b/>
                <w:bCs/>
                <w:sz w:val="22"/>
              </w:rPr>
            </w:pPr>
            <w:r w:rsidRPr="00BA74AB">
              <w:rPr>
                <w:rFonts w:ascii="宋体" w:eastAsia="宋体" w:hAnsi="宋体" w:cs="Arial"/>
                <w:sz w:val="22"/>
              </w:rPr>
              <w:t>目前，百悦泽</w:t>
            </w:r>
            <w:r w:rsidR="000938CB" w:rsidRPr="00BA74AB">
              <w:rPr>
                <w:rFonts w:ascii="宋体" w:eastAsia="宋体" w:hAnsi="宋体" w:cs="Arial"/>
                <w:sz w:val="22"/>
                <w:vertAlign w:val="superscript"/>
              </w:rPr>
              <w:t>®</w:t>
            </w:r>
            <w:r w:rsidRPr="00BA74AB">
              <w:rPr>
                <w:rFonts w:ascii="宋体" w:eastAsia="宋体" w:hAnsi="宋体" w:cs="Arial"/>
                <w:sz w:val="22"/>
              </w:rPr>
              <w:t>已在免疫治疗领域开展3期临床试验，研究其在膜性肾病中的应用。</w:t>
            </w:r>
          </w:p>
          <w:p w14:paraId="67612A3F" w14:textId="77777777" w:rsidR="00BA74AB" w:rsidRPr="00BA74AB" w:rsidRDefault="00BA74AB" w:rsidP="00BA74AB">
            <w:pPr>
              <w:spacing w:line="360" w:lineRule="auto"/>
              <w:rPr>
                <w:rFonts w:ascii="宋体" w:eastAsia="宋体" w:hAnsi="宋体" w:cs="Arial" w:hint="eastAsia"/>
                <w:sz w:val="22"/>
              </w:rPr>
            </w:pPr>
          </w:p>
          <w:p w14:paraId="159E9439" w14:textId="01BDC5BE"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4：</w:t>
            </w:r>
            <w:r w:rsidRPr="00BA74AB">
              <w:rPr>
                <w:rFonts w:ascii="宋体" w:eastAsia="宋体" w:hAnsi="宋体" w:cs="Arial"/>
                <w:b/>
                <w:bCs/>
                <w:sz w:val="22"/>
              </w:rPr>
              <w:t>关于瑞士公司Siegfried增列为百悦泽</w:t>
            </w:r>
            <w:r w:rsidR="000938CB" w:rsidRPr="000938CB">
              <w:rPr>
                <w:rFonts w:ascii="宋体" w:eastAsia="宋体" w:hAnsi="宋体" w:cs="Arial"/>
                <w:b/>
                <w:bCs/>
                <w:sz w:val="22"/>
                <w:vertAlign w:val="superscript"/>
              </w:rPr>
              <w:t>®</w:t>
            </w:r>
            <w:r w:rsidRPr="00BA74AB">
              <w:rPr>
                <w:rFonts w:ascii="宋体" w:eastAsia="宋体" w:hAnsi="宋体" w:cs="Arial"/>
                <w:b/>
                <w:bCs/>
                <w:sz w:val="22"/>
              </w:rPr>
              <w:t>的原料药生产商，可否分享更多的信息？公司是否有长期计划在美国增加原料药供应？</w:t>
            </w:r>
          </w:p>
          <w:p w14:paraId="7FA9004E" w14:textId="7182AF90"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sz w:val="22"/>
              </w:rPr>
              <w:t>公司已获欧洲药品管理局批准，将瑞士公司Siegfried增列为百悦泽</w:t>
            </w:r>
            <w:r w:rsidR="000938CB" w:rsidRPr="00BA74AB">
              <w:rPr>
                <w:rFonts w:ascii="宋体" w:eastAsia="宋体" w:hAnsi="宋体" w:cs="Arial"/>
                <w:sz w:val="22"/>
                <w:vertAlign w:val="superscript"/>
              </w:rPr>
              <w:t>®</w:t>
            </w:r>
            <w:r w:rsidRPr="00BA74AB">
              <w:rPr>
                <w:rFonts w:ascii="宋体" w:eastAsia="宋体" w:hAnsi="宋体" w:cs="Arial"/>
                <w:sz w:val="22"/>
              </w:rPr>
              <w:t>的原料药生产商。这标志着公司在</w:t>
            </w:r>
            <w:r w:rsidR="004421B1">
              <w:rPr>
                <w:rFonts w:ascii="宋体" w:eastAsia="宋体" w:hAnsi="宋体" w:cs="Arial" w:hint="eastAsia"/>
                <w:sz w:val="22"/>
              </w:rPr>
              <w:t>全球</w:t>
            </w:r>
            <w:r w:rsidRPr="00BA74AB">
              <w:rPr>
                <w:rFonts w:ascii="宋体" w:eastAsia="宋体" w:hAnsi="宋体" w:cs="Arial"/>
                <w:sz w:val="22"/>
              </w:rPr>
              <w:t>供应</w:t>
            </w:r>
            <w:proofErr w:type="gramStart"/>
            <w:r w:rsidRPr="00BA74AB">
              <w:rPr>
                <w:rFonts w:ascii="宋体" w:eastAsia="宋体" w:hAnsi="宋体" w:cs="Arial"/>
                <w:sz w:val="22"/>
              </w:rPr>
              <w:t>链方面</w:t>
            </w:r>
            <w:proofErr w:type="gramEnd"/>
            <w:r w:rsidRPr="00BA74AB">
              <w:rPr>
                <w:rFonts w:ascii="宋体" w:eastAsia="宋体" w:hAnsi="宋体" w:cs="Arial"/>
                <w:sz w:val="22"/>
              </w:rPr>
              <w:t>取得了重要进展。公司重视供应链弹性并积极采取措施，确保原料药供应的稳定性和弹性，同时增加库存以满足日常需求并提供额外的安全保障，致力于确保全球患者能够获得药品供应。公司将继续关注环境变化，采取积极措施继续实现全球供应网络的多元化、保持充足安全产品库存的战略。</w:t>
            </w:r>
          </w:p>
          <w:p w14:paraId="117DB9FB" w14:textId="77777777" w:rsidR="00BA74AB" w:rsidRPr="00BA74AB" w:rsidRDefault="00BA74AB" w:rsidP="00BA74AB">
            <w:pPr>
              <w:spacing w:line="360" w:lineRule="auto"/>
              <w:rPr>
                <w:rFonts w:ascii="宋体" w:eastAsia="宋体" w:hAnsi="宋体" w:cs="Arial" w:hint="eastAsia"/>
                <w:sz w:val="22"/>
              </w:rPr>
            </w:pPr>
          </w:p>
          <w:p w14:paraId="1F549F96" w14:textId="32E876CB"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5：</w:t>
            </w:r>
            <w:r w:rsidRPr="00BA74AB">
              <w:rPr>
                <w:rFonts w:ascii="宋体" w:eastAsia="宋体" w:hAnsi="宋体" w:cs="Arial"/>
                <w:b/>
                <w:bCs/>
                <w:sz w:val="22"/>
              </w:rPr>
              <w:t>美国联邦医疗保险D部分（Medicare Part D）的重新设计是否影响BTK抑制剂类药物的销售？</w:t>
            </w:r>
          </w:p>
          <w:p w14:paraId="0C7B0953" w14:textId="2A63BA88"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sz w:val="22"/>
              </w:rPr>
              <w:t>Medicare Part D重新设计对</w:t>
            </w:r>
            <w:r w:rsidR="00DF72A9">
              <w:rPr>
                <w:rFonts w:ascii="宋体" w:eastAsia="宋体" w:hAnsi="宋体" w:cs="Arial" w:hint="eastAsia"/>
                <w:sz w:val="22"/>
              </w:rPr>
              <w:t>行业</w:t>
            </w:r>
            <w:r w:rsidR="00F72DA4">
              <w:rPr>
                <w:rFonts w:ascii="宋体" w:eastAsia="宋体" w:hAnsi="宋体" w:cs="Arial" w:hint="eastAsia"/>
                <w:sz w:val="22"/>
              </w:rPr>
              <w:t>中其他公司</w:t>
            </w:r>
            <w:r w:rsidRPr="00BA74AB">
              <w:rPr>
                <w:rFonts w:ascii="宋体" w:eastAsia="宋体" w:hAnsi="宋体" w:cs="Arial"/>
                <w:sz w:val="22"/>
              </w:rPr>
              <w:t>定价有一定影响，但</w:t>
            </w:r>
            <w:r w:rsidR="002F487A">
              <w:rPr>
                <w:rFonts w:ascii="宋体" w:eastAsia="宋体" w:hAnsi="宋体" w:cs="Arial" w:hint="eastAsia"/>
                <w:sz w:val="22"/>
              </w:rPr>
              <w:t>在</w:t>
            </w:r>
            <w:r w:rsidR="002F487A" w:rsidRPr="00BA74AB">
              <w:rPr>
                <w:rFonts w:ascii="宋体" w:eastAsia="宋体" w:hAnsi="宋体" w:cs="Arial"/>
                <w:sz w:val="22"/>
              </w:rPr>
              <w:t>第一季度，公司受益于</w:t>
            </w:r>
            <w:r w:rsidR="002F487A">
              <w:rPr>
                <w:rFonts w:ascii="宋体" w:eastAsia="宋体" w:hAnsi="宋体" w:cs="Arial" w:hint="eastAsia"/>
                <w:sz w:val="22"/>
              </w:rPr>
              <w:t>“</w:t>
            </w:r>
            <w:r w:rsidR="002F487A" w:rsidRPr="00BA74AB">
              <w:rPr>
                <w:rFonts w:ascii="宋体" w:eastAsia="宋体" w:hAnsi="宋体" w:cs="Arial"/>
                <w:sz w:val="22"/>
              </w:rPr>
              <w:t>特定小型制造商</w:t>
            </w:r>
            <w:r w:rsidR="002F487A">
              <w:rPr>
                <w:rFonts w:ascii="宋体" w:eastAsia="宋体" w:hAnsi="宋体" w:cs="Arial" w:hint="eastAsia"/>
                <w:sz w:val="22"/>
              </w:rPr>
              <w:t>”（Small Biotech Exemption）</w:t>
            </w:r>
            <w:r w:rsidR="002F487A" w:rsidRPr="00BA74AB">
              <w:rPr>
                <w:rFonts w:ascii="宋体" w:eastAsia="宋体" w:hAnsi="宋体" w:cs="Arial"/>
                <w:sz w:val="22"/>
              </w:rPr>
              <w:t>认定，</w:t>
            </w:r>
            <w:r w:rsidR="002F487A">
              <w:rPr>
                <w:rFonts w:ascii="宋体" w:eastAsia="宋体" w:hAnsi="宋体" w:cs="Arial" w:hint="eastAsia"/>
                <w:sz w:val="22"/>
              </w:rPr>
              <w:t>因此</w:t>
            </w:r>
            <w:r w:rsidRPr="00BA74AB">
              <w:rPr>
                <w:rFonts w:ascii="宋体" w:eastAsia="宋体" w:hAnsi="宋体" w:cs="Arial"/>
                <w:sz w:val="22"/>
              </w:rPr>
              <w:t>公司整体处于相对稳定的净定价环境中。此外，第一季度的季节性因素也影响了销售，通常在第四季度会有客户库存的积累，公司披露了2024年第四季度大约3,000万美元的库存买入，而在第一季度看到相关买入的减少。此外今年第一季度比其他典型季度少了一个运输周。通常第一季度因患者保险变化及自付费用重置等因素，新患者用药数量略有下降。</w:t>
            </w:r>
          </w:p>
          <w:p w14:paraId="672161BC" w14:textId="77777777" w:rsidR="00BA74AB" w:rsidRPr="00BA74AB" w:rsidRDefault="00BA74AB" w:rsidP="00BA74AB">
            <w:pPr>
              <w:spacing w:line="360" w:lineRule="auto"/>
              <w:rPr>
                <w:rFonts w:ascii="宋体" w:eastAsia="宋体" w:hAnsi="宋体" w:cs="Arial" w:hint="eastAsia"/>
                <w:b/>
                <w:bCs/>
                <w:sz w:val="22"/>
              </w:rPr>
            </w:pPr>
          </w:p>
          <w:p w14:paraId="06AF4610" w14:textId="3CCBA605"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6：</w:t>
            </w:r>
            <w:r w:rsidRPr="00BA74AB">
              <w:rPr>
                <w:rFonts w:ascii="宋体" w:eastAsia="宋体" w:hAnsi="宋体" w:cs="Arial"/>
                <w:b/>
                <w:bCs/>
                <w:sz w:val="22"/>
              </w:rPr>
              <w:t>如何看待</w:t>
            </w:r>
            <w:proofErr w:type="gramStart"/>
            <w:r w:rsidRPr="00BA74AB">
              <w:rPr>
                <w:rFonts w:ascii="宋体" w:eastAsia="宋体" w:hAnsi="宋体" w:cs="Arial"/>
                <w:b/>
                <w:bCs/>
                <w:sz w:val="22"/>
              </w:rPr>
              <w:t>阿可替尼</w:t>
            </w:r>
            <w:bookmarkStart w:id="3" w:name="OLE_LINK2"/>
            <w:r w:rsidRPr="00BA74AB">
              <w:rPr>
                <w:rFonts w:ascii="宋体" w:eastAsia="宋体" w:hAnsi="宋体" w:cs="Arial"/>
                <w:b/>
                <w:bCs/>
                <w:sz w:val="22"/>
              </w:rPr>
              <w:t>纳入</w:t>
            </w:r>
            <w:proofErr w:type="gramEnd"/>
            <w:r w:rsidRPr="00BA74AB">
              <w:rPr>
                <w:rFonts w:ascii="宋体" w:eastAsia="宋体" w:hAnsi="宋体" w:cs="Arial"/>
                <w:b/>
                <w:bCs/>
                <w:sz w:val="22"/>
              </w:rPr>
              <w:t>美国通胀削减法案（IRA</w:t>
            </w:r>
            <w:bookmarkEnd w:id="3"/>
            <w:r w:rsidRPr="00BA74AB">
              <w:rPr>
                <w:rFonts w:ascii="宋体" w:eastAsia="宋体" w:hAnsi="宋体" w:cs="Arial"/>
                <w:b/>
                <w:bCs/>
                <w:sz w:val="22"/>
              </w:rPr>
              <w:t>）价格谈判名单对公司的潜在影响？</w:t>
            </w:r>
          </w:p>
          <w:p w14:paraId="0D1F8259" w14:textId="117E9319"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sz w:val="22"/>
              </w:rPr>
              <w:t>公司预计该价格谈判对</w:t>
            </w:r>
            <w:proofErr w:type="gramStart"/>
            <w:r w:rsidRPr="00BA74AB">
              <w:rPr>
                <w:rFonts w:ascii="宋体" w:eastAsia="宋体" w:hAnsi="宋体" w:cs="Arial"/>
                <w:sz w:val="22"/>
              </w:rPr>
              <w:t>阿可替尼的</w:t>
            </w:r>
            <w:proofErr w:type="gramEnd"/>
            <w:r w:rsidRPr="00BA74AB">
              <w:rPr>
                <w:rFonts w:ascii="宋体" w:eastAsia="宋体" w:hAnsi="宋体" w:cs="Arial"/>
                <w:sz w:val="22"/>
              </w:rPr>
              <w:t>影响要到</w:t>
            </w:r>
            <w:r w:rsidR="002910EF">
              <w:rPr>
                <w:rFonts w:ascii="宋体" w:eastAsia="宋体" w:hAnsi="宋体" w:cs="Arial" w:hint="eastAsia"/>
                <w:sz w:val="22"/>
              </w:rPr>
              <w:t>2027</w:t>
            </w:r>
            <w:r w:rsidR="007756C0">
              <w:rPr>
                <w:rFonts w:ascii="宋体" w:eastAsia="宋体" w:hAnsi="宋体" w:cs="Arial" w:hint="eastAsia"/>
                <w:sz w:val="22"/>
              </w:rPr>
              <w:t>。</w:t>
            </w:r>
            <w:r w:rsidRPr="00BA74AB">
              <w:rPr>
                <w:rFonts w:ascii="宋体" w:eastAsia="宋体" w:hAnsi="宋体" w:cs="Arial"/>
                <w:sz w:val="22"/>
              </w:rPr>
              <w:t>年才会显现，且认为其间接市场价格影响是可控的。百悦泽</w:t>
            </w:r>
            <w:r w:rsidR="000938CB" w:rsidRPr="00BA74AB">
              <w:rPr>
                <w:rFonts w:ascii="宋体" w:eastAsia="宋体" w:hAnsi="宋体" w:cs="Arial"/>
                <w:sz w:val="22"/>
                <w:vertAlign w:val="superscript"/>
              </w:rPr>
              <w:t>®</w:t>
            </w:r>
            <w:r w:rsidRPr="00BA74AB">
              <w:rPr>
                <w:rFonts w:ascii="宋体" w:eastAsia="宋体" w:hAnsi="宋体" w:cs="Arial"/>
                <w:sz w:val="22"/>
              </w:rPr>
              <w:t>在ALPINE试验中展现出</w:t>
            </w:r>
            <w:proofErr w:type="gramStart"/>
            <w:r w:rsidRPr="00BA74AB">
              <w:rPr>
                <w:rFonts w:ascii="宋体" w:eastAsia="宋体" w:hAnsi="宋体" w:cs="Arial"/>
                <w:sz w:val="22"/>
              </w:rPr>
              <w:t>较伊布替尼</w:t>
            </w:r>
            <w:proofErr w:type="gramEnd"/>
            <w:r w:rsidRPr="00BA74AB">
              <w:rPr>
                <w:rFonts w:ascii="宋体" w:eastAsia="宋体" w:hAnsi="宋体" w:cs="Arial"/>
                <w:sz w:val="22"/>
              </w:rPr>
              <w:t>的头</w:t>
            </w:r>
            <w:proofErr w:type="gramStart"/>
            <w:r w:rsidRPr="00BA74AB">
              <w:rPr>
                <w:rFonts w:ascii="宋体" w:eastAsia="宋体" w:hAnsi="宋体" w:cs="Arial"/>
                <w:sz w:val="22"/>
              </w:rPr>
              <w:t>对头优效</w:t>
            </w:r>
            <w:proofErr w:type="gramEnd"/>
            <w:r w:rsidRPr="00BA74AB">
              <w:rPr>
                <w:rFonts w:ascii="宋体" w:eastAsia="宋体" w:hAnsi="宋体" w:cs="Arial"/>
                <w:sz w:val="22"/>
              </w:rPr>
              <w:t>性，两者在安全性和疗效方面存在显著差异。尽管阿可</w:t>
            </w:r>
            <w:proofErr w:type="gramStart"/>
            <w:r w:rsidRPr="00BA74AB">
              <w:rPr>
                <w:rFonts w:ascii="宋体" w:eastAsia="宋体" w:hAnsi="宋体" w:cs="Arial"/>
                <w:sz w:val="22"/>
              </w:rPr>
              <w:t>替尼较伊布替尼</w:t>
            </w:r>
            <w:proofErr w:type="gramEnd"/>
            <w:r w:rsidRPr="00BA74AB">
              <w:rPr>
                <w:rFonts w:ascii="宋体" w:eastAsia="宋体" w:hAnsi="宋体" w:cs="Arial"/>
                <w:sz w:val="22"/>
              </w:rPr>
              <w:t>心脏毒性较小，但在多项研究中其疗效也存疑。公司认为伊</w:t>
            </w:r>
            <w:proofErr w:type="gramStart"/>
            <w:r w:rsidRPr="00BA74AB">
              <w:rPr>
                <w:rFonts w:ascii="宋体" w:eastAsia="宋体" w:hAnsi="宋体" w:cs="Arial"/>
                <w:sz w:val="22"/>
              </w:rPr>
              <w:t>布替尼</w:t>
            </w:r>
            <w:proofErr w:type="gramEnd"/>
            <w:r w:rsidRPr="00BA74AB">
              <w:rPr>
                <w:rFonts w:ascii="宋体" w:eastAsia="宋体" w:hAnsi="宋体" w:cs="Arial"/>
                <w:sz w:val="22"/>
              </w:rPr>
              <w:t>和</w:t>
            </w:r>
            <w:proofErr w:type="gramStart"/>
            <w:r w:rsidRPr="00BA74AB">
              <w:rPr>
                <w:rFonts w:ascii="宋体" w:eastAsia="宋体" w:hAnsi="宋体" w:cs="Arial"/>
                <w:sz w:val="22"/>
              </w:rPr>
              <w:t>阿可替尼并非</w:t>
            </w:r>
            <w:proofErr w:type="gramEnd"/>
            <w:r w:rsidRPr="00BA74AB">
              <w:rPr>
                <w:rFonts w:ascii="宋体" w:eastAsia="宋体" w:hAnsi="宋体" w:cs="Arial"/>
                <w:sz w:val="22"/>
              </w:rPr>
              <w:t>百悦泽的有力替代品。公司对百悦泽在新患治疗、复发难治性治疗中的领先地位充满信心，持续强劲的市场表现将是应对IRA等政策变化的关键。</w:t>
            </w:r>
          </w:p>
          <w:p w14:paraId="0CD83C18" w14:textId="77777777" w:rsidR="00BA74AB" w:rsidRPr="00BA74AB" w:rsidRDefault="00BA74AB" w:rsidP="00BA74AB">
            <w:pPr>
              <w:spacing w:line="360" w:lineRule="auto"/>
              <w:rPr>
                <w:rFonts w:ascii="宋体" w:eastAsia="宋体" w:hAnsi="宋体" w:cs="Arial" w:hint="eastAsia"/>
                <w:sz w:val="22"/>
              </w:rPr>
            </w:pPr>
          </w:p>
          <w:p w14:paraId="5E861B31" w14:textId="6699F7DA"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7：</w:t>
            </w:r>
            <w:proofErr w:type="gramStart"/>
            <w:r w:rsidRPr="00BA74AB">
              <w:rPr>
                <w:rFonts w:ascii="宋体" w:eastAsia="宋体" w:hAnsi="宋体" w:cs="Arial"/>
                <w:b/>
                <w:bCs/>
                <w:sz w:val="22"/>
              </w:rPr>
              <w:t>对于百泽安</w:t>
            </w:r>
            <w:proofErr w:type="gramEnd"/>
            <w:r w:rsidRPr="00BA74AB">
              <w:rPr>
                <w:rFonts w:ascii="宋体" w:eastAsia="宋体" w:hAnsi="宋体" w:cs="Arial"/>
                <w:sz w:val="22"/>
                <w:vertAlign w:val="superscript"/>
              </w:rPr>
              <w:t>®</w:t>
            </w:r>
            <w:r w:rsidRPr="00BA74AB">
              <w:rPr>
                <w:rFonts w:ascii="宋体" w:eastAsia="宋体" w:hAnsi="宋体" w:cs="Arial"/>
                <w:b/>
                <w:bCs/>
                <w:sz w:val="22"/>
              </w:rPr>
              <w:t>，是否可以按地区拆分销售额？</w:t>
            </w:r>
          </w:p>
          <w:p w14:paraId="59CE02A9" w14:textId="77777777"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sz w:val="22"/>
              </w:rPr>
              <w:t>公司没有</w:t>
            </w:r>
            <w:proofErr w:type="gramStart"/>
            <w:r w:rsidRPr="00BA74AB">
              <w:rPr>
                <w:rFonts w:ascii="宋体" w:eastAsia="宋体" w:hAnsi="宋体" w:cs="Arial"/>
                <w:sz w:val="22"/>
              </w:rPr>
              <w:t>披露百泽安</w:t>
            </w:r>
            <w:proofErr w:type="gramEnd"/>
            <w:r w:rsidRPr="00BA74AB">
              <w:rPr>
                <w:rFonts w:ascii="宋体" w:eastAsia="宋体" w:hAnsi="宋体" w:cs="Arial"/>
                <w:sz w:val="22"/>
                <w:vertAlign w:val="superscript"/>
              </w:rPr>
              <w:t>®</w:t>
            </w:r>
            <w:r w:rsidRPr="00BA74AB">
              <w:rPr>
                <w:rFonts w:ascii="宋体" w:eastAsia="宋体" w:hAnsi="宋体" w:cs="Arial"/>
                <w:sz w:val="22"/>
              </w:rPr>
              <w:t>按地区拆分的销售数据。</w:t>
            </w:r>
            <w:proofErr w:type="gramStart"/>
            <w:r w:rsidRPr="00BA74AB">
              <w:rPr>
                <w:rFonts w:ascii="宋体" w:eastAsia="宋体" w:hAnsi="宋体" w:cs="Arial"/>
                <w:sz w:val="22"/>
              </w:rPr>
              <w:t>百泽安</w:t>
            </w:r>
            <w:proofErr w:type="gramEnd"/>
            <w:r w:rsidRPr="00BA74AB">
              <w:rPr>
                <w:rFonts w:ascii="宋体" w:eastAsia="宋体" w:hAnsi="宋体" w:cs="Arial"/>
                <w:sz w:val="22"/>
                <w:vertAlign w:val="superscript"/>
              </w:rPr>
              <w:t>®</w:t>
            </w:r>
            <w:r w:rsidRPr="00BA74AB">
              <w:rPr>
                <w:rFonts w:ascii="宋体" w:eastAsia="宋体" w:hAnsi="宋体" w:cs="Arial"/>
                <w:sz w:val="22"/>
              </w:rPr>
              <w:t>已在美国获</w:t>
            </w:r>
            <w:proofErr w:type="gramStart"/>
            <w:r w:rsidRPr="00BA74AB">
              <w:rPr>
                <w:rFonts w:ascii="宋体" w:eastAsia="宋体" w:hAnsi="宋体" w:cs="Arial"/>
                <w:sz w:val="22"/>
              </w:rPr>
              <w:t>批用于</w:t>
            </w:r>
            <w:proofErr w:type="gramEnd"/>
            <w:r w:rsidRPr="00BA74AB">
              <w:rPr>
                <w:rFonts w:ascii="宋体" w:eastAsia="宋体" w:hAnsi="宋体" w:cs="Arial"/>
                <w:sz w:val="22"/>
              </w:rPr>
              <w:t>胃或胃食管结合部（G/GEJ）腺癌患者的一线治疗以及食管鳞状细胞癌（ESCC）患者的一线和二线治疗，并被列入NCCN（美国国家综合癌症网络）指南中。除已获批的每三周200毫克给药方案外，每两周150毫克和每四周300毫克的给药方案也获得美国FDA批准。</w:t>
            </w:r>
          </w:p>
          <w:p w14:paraId="4F4901C2" w14:textId="77777777" w:rsidR="00BA74AB" w:rsidRPr="00BA74AB" w:rsidRDefault="00BA74AB" w:rsidP="00BA74AB">
            <w:pPr>
              <w:spacing w:line="360" w:lineRule="auto"/>
              <w:rPr>
                <w:rFonts w:ascii="宋体" w:eastAsia="宋体" w:hAnsi="宋体" w:cs="Arial" w:hint="eastAsia"/>
                <w:sz w:val="22"/>
              </w:rPr>
            </w:pPr>
          </w:p>
          <w:p w14:paraId="3ED54CB0" w14:textId="2F456238"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8：</w:t>
            </w:r>
            <w:r w:rsidRPr="00BA74AB">
              <w:rPr>
                <w:rFonts w:ascii="宋体" w:eastAsia="宋体" w:hAnsi="宋体" w:cs="Arial"/>
                <w:b/>
                <w:bCs/>
                <w:sz w:val="22"/>
              </w:rPr>
              <w:t>鉴于</w:t>
            </w:r>
            <w:r w:rsidRPr="00BA74AB">
              <w:rPr>
                <w:rFonts w:ascii="宋体" w:eastAsia="宋体" w:hAnsi="宋体" w:cs="Arial" w:hint="eastAsia"/>
                <w:b/>
                <w:bCs/>
                <w:sz w:val="22"/>
              </w:rPr>
              <w:t>索托克拉</w:t>
            </w:r>
            <w:r w:rsidRPr="00BA74AB">
              <w:rPr>
                <w:rFonts w:ascii="宋体" w:eastAsia="宋体" w:hAnsi="宋体" w:cs="Arial"/>
                <w:b/>
                <w:bCs/>
                <w:sz w:val="22"/>
              </w:rPr>
              <w:t>在安全性、疗效以及联合用药机会方面</w:t>
            </w:r>
            <w:r w:rsidRPr="00BA74AB">
              <w:rPr>
                <w:rFonts w:ascii="宋体" w:eastAsia="宋体" w:hAnsi="宋体" w:cs="Arial" w:hint="eastAsia"/>
                <w:b/>
                <w:bCs/>
                <w:sz w:val="22"/>
              </w:rPr>
              <w:t>相较于维奈克拉</w:t>
            </w:r>
            <w:r w:rsidRPr="00BA74AB">
              <w:rPr>
                <w:rFonts w:ascii="宋体" w:eastAsia="宋体" w:hAnsi="宋体" w:cs="Arial"/>
                <w:b/>
                <w:bCs/>
                <w:sz w:val="22"/>
              </w:rPr>
              <w:t>的潜在优势，公司对其市场机会有何看法？</w:t>
            </w:r>
          </w:p>
          <w:p w14:paraId="17EBD448" w14:textId="77777777"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sz w:val="22"/>
              </w:rPr>
              <w:t>目前</w:t>
            </w:r>
            <w:r w:rsidRPr="00BA74AB">
              <w:rPr>
                <w:rFonts w:ascii="宋体" w:eastAsia="宋体" w:hAnsi="宋体" w:cs="Arial" w:hint="eastAsia"/>
                <w:sz w:val="22"/>
              </w:rPr>
              <w:t>，</w:t>
            </w:r>
            <w:r w:rsidRPr="00BA74AB">
              <w:rPr>
                <w:rFonts w:ascii="宋体" w:eastAsia="宋体" w:hAnsi="宋体" w:cs="Arial"/>
                <w:sz w:val="22"/>
              </w:rPr>
              <w:t>BCL2</w:t>
            </w:r>
            <w:r w:rsidRPr="00BA74AB">
              <w:rPr>
                <w:rFonts w:ascii="宋体" w:eastAsia="宋体" w:hAnsi="宋体" w:cs="Arial" w:hint="eastAsia"/>
                <w:sz w:val="22"/>
              </w:rPr>
              <w:t>抑制剂类药品竞争格局良好。</w:t>
            </w:r>
            <w:r w:rsidRPr="00BA74AB">
              <w:rPr>
                <w:rFonts w:ascii="宋体" w:eastAsia="宋体" w:hAnsi="宋体" w:cs="Arial"/>
                <w:sz w:val="22"/>
              </w:rPr>
              <w:t>索托克拉</w:t>
            </w:r>
            <w:r w:rsidRPr="00BA74AB">
              <w:rPr>
                <w:rFonts w:ascii="宋体" w:eastAsia="宋体" w:hAnsi="宋体" w:cs="Arial" w:hint="eastAsia"/>
                <w:sz w:val="22"/>
              </w:rPr>
              <w:t>的</w:t>
            </w:r>
            <w:r w:rsidRPr="00BA74AB">
              <w:rPr>
                <w:rFonts w:ascii="宋体" w:eastAsia="宋体" w:hAnsi="宋体" w:cs="Arial"/>
                <w:sz w:val="22"/>
              </w:rPr>
              <w:t>更高强效性诱导更深的BCL2抑制</w:t>
            </w:r>
            <w:r w:rsidRPr="00BA74AB">
              <w:rPr>
                <w:rFonts w:ascii="宋体" w:eastAsia="宋体" w:hAnsi="宋体" w:cs="Arial" w:hint="eastAsia"/>
                <w:sz w:val="22"/>
              </w:rPr>
              <w:t>，</w:t>
            </w:r>
            <w:r w:rsidRPr="00BA74AB">
              <w:rPr>
                <w:rFonts w:ascii="宋体" w:eastAsia="宋体" w:hAnsi="宋体" w:cs="Arial"/>
                <w:sz w:val="22"/>
              </w:rPr>
              <w:t>有望带来更好疗效</w:t>
            </w:r>
            <w:r w:rsidRPr="00BA74AB">
              <w:rPr>
                <w:rFonts w:ascii="宋体" w:eastAsia="宋体" w:hAnsi="宋体" w:cs="Arial" w:hint="eastAsia"/>
                <w:sz w:val="22"/>
              </w:rPr>
              <w:t>，</w:t>
            </w:r>
            <w:r w:rsidRPr="00BA74AB">
              <w:rPr>
                <w:rFonts w:ascii="宋体" w:eastAsia="宋体" w:hAnsi="宋体" w:cs="Arial"/>
                <w:sz w:val="22"/>
              </w:rPr>
              <w:t>与维奈克拉相比具有更高选择性</w:t>
            </w:r>
            <w:r w:rsidRPr="00BA74AB">
              <w:rPr>
                <w:rFonts w:ascii="宋体" w:eastAsia="宋体" w:hAnsi="宋体" w:cs="Arial" w:hint="eastAsia"/>
                <w:sz w:val="22"/>
              </w:rPr>
              <w:t>，</w:t>
            </w:r>
            <w:r w:rsidRPr="00BA74AB">
              <w:rPr>
                <w:rFonts w:ascii="宋体" w:eastAsia="宋体" w:hAnsi="宋体" w:cs="Arial"/>
                <w:sz w:val="22"/>
              </w:rPr>
              <w:t>这将能够提升安全性</w:t>
            </w:r>
            <w:r w:rsidRPr="00BA74AB">
              <w:rPr>
                <w:rFonts w:ascii="宋体" w:eastAsia="宋体" w:hAnsi="宋体" w:cs="Arial" w:hint="eastAsia"/>
                <w:sz w:val="22"/>
              </w:rPr>
              <w:t>，且</w:t>
            </w:r>
            <w:r w:rsidRPr="00BA74AB">
              <w:rPr>
                <w:rFonts w:ascii="宋体" w:eastAsia="宋体" w:hAnsi="宋体" w:cs="Arial"/>
                <w:sz w:val="22"/>
              </w:rPr>
              <w:t>吸收更快、半衰期更短且无药物蓄积，便于TLS监测</w:t>
            </w:r>
            <w:r w:rsidRPr="00BA74AB">
              <w:rPr>
                <w:rFonts w:ascii="宋体" w:eastAsia="宋体" w:hAnsi="宋体" w:cs="Arial" w:hint="eastAsia"/>
                <w:sz w:val="22"/>
              </w:rPr>
              <w:t>。目前</w:t>
            </w:r>
            <w:r w:rsidRPr="00BA74AB">
              <w:rPr>
                <w:rFonts w:ascii="宋体" w:eastAsia="宋体" w:hAnsi="宋体" w:cs="Arial"/>
                <w:sz w:val="22"/>
              </w:rPr>
              <w:t>公司</w:t>
            </w:r>
            <w:r w:rsidRPr="00BA74AB">
              <w:rPr>
                <w:rFonts w:ascii="宋体" w:eastAsia="宋体" w:hAnsi="宋体" w:cs="Arial" w:hint="eastAsia"/>
                <w:sz w:val="22"/>
              </w:rPr>
              <w:t>已</w:t>
            </w:r>
            <w:r w:rsidRPr="00BA74AB">
              <w:rPr>
                <w:rFonts w:ascii="宋体" w:eastAsia="宋体" w:hAnsi="宋体" w:cs="Arial"/>
                <w:sz w:val="22"/>
              </w:rPr>
              <w:t>启动了多项</w:t>
            </w:r>
            <w:r w:rsidRPr="00BA74AB">
              <w:rPr>
                <w:rFonts w:ascii="宋体" w:eastAsia="宋体" w:hAnsi="宋体" w:cs="Arial" w:hint="eastAsia"/>
                <w:sz w:val="22"/>
              </w:rPr>
              <w:t>临床</w:t>
            </w:r>
            <w:r w:rsidRPr="00BA74AB">
              <w:rPr>
                <w:rFonts w:ascii="宋体" w:eastAsia="宋体" w:hAnsi="宋体" w:cs="Arial"/>
                <w:sz w:val="22"/>
              </w:rPr>
              <w:t>试验。其中，CELESTIAL-TNCLL（301）固定疗程索托克拉+泽</w:t>
            </w:r>
            <w:proofErr w:type="gramStart"/>
            <w:r w:rsidRPr="00BA74AB">
              <w:rPr>
                <w:rFonts w:ascii="宋体" w:eastAsia="宋体" w:hAnsi="宋体" w:cs="Arial"/>
                <w:sz w:val="22"/>
              </w:rPr>
              <w:t>布替尼</w:t>
            </w:r>
            <w:proofErr w:type="gramEnd"/>
            <w:r w:rsidRPr="00BA74AB">
              <w:rPr>
                <w:rFonts w:ascii="宋体" w:eastAsia="宋体" w:hAnsi="宋体" w:cs="Arial"/>
                <w:sz w:val="22"/>
              </w:rPr>
              <w:t>对比维奈克拉+</w:t>
            </w:r>
            <w:proofErr w:type="gramStart"/>
            <w:r w:rsidRPr="00BA74AB">
              <w:rPr>
                <w:rFonts w:ascii="宋体" w:eastAsia="宋体" w:hAnsi="宋体" w:cs="Arial"/>
                <w:sz w:val="22"/>
              </w:rPr>
              <w:t>奥妥珠单抗已</w:t>
            </w:r>
            <w:proofErr w:type="gramEnd"/>
            <w:r w:rsidRPr="00BA74AB">
              <w:rPr>
                <w:rFonts w:ascii="宋体" w:eastAsia="宋体" w:hAnsi="宋体" w:cs="Arial"/>
                <w:sz w:val="22"/>
              </w:rPr>
              <w:t>完成</w:t>
            </w:r>
            <w:r w:rsidRPr="00BA74AB">
              <w:rPr>
                <w:rFonts w:ascii="宋体" w:eastAsia="宋体" w:hAnsi="宋体" w:cs="Arial" w:hint="eastAsia"/>
                <w:sz w:val="22"/>
              </w:rPr>
              <w:t>入组</w:t>
            </w:r>
            <w:r w:rsidRPr="00BA74AB">
              <w:rPr>
                <w:rFonts w:ascii="宋体" w:eastAsia="宋体" w:hAnsi="宋体" w:cs="Arial"/>
                <w:sz w:val="22"/>
              </w:rPr>
              <w:t>，另一项在复发难治性中对比索托克拉与维奈克拉联合CD20治疗的CELESTIAL-RRCLL（303）试验也</w:t>
            </w:r>
            <w:r w:rsidRPr="00BA74AB">
              <w:rPr>
                <w:rFonts w:ascii="宋体" w:eastAsia="宋体" w:hAnsi="宋体" w:cs="Arial" w:hint="eastAsia"/>
                <w:sz w:val="22"/>
              </w:rPr>
              <w:t>已启动</w:t>
            </w:r>
            <w:r w:rsidRPr="00BA74AB">
              <w:rPr>
                <w:rFonts w:ascii="宋体" w:eastAsia="宋体" w:hAnsi="宋体" w:cs="Arial"/>
                <w:sz w:val="22"/>
              </w:rPr>
              <w:t>，旨在展示索托克拉对比维奈克拉</w:t>
            </w:r>
            <w:proofErr w:type="gramStart"/>
            <w:r w:rsidRPr="00BA74AB">
              <w:rPr>
                <w:rFonts w:ascii="宋体" w:eastAsia="宋体" w:hAnsi="宋体" w:cs="Arial"/>
                <w:sz w:val="22"/>
              </w:rPr>
              <w:t>取得优效性</w:t>
            </w:r>
            <w:proofErr w:type="gramEnd"/>
            <w:r w:rsidRPr="00BA74AB">
              <w:rPr>
                <w:rFonts w:ascii="宋体" w:eastAsia="宋体" w:hAnsi="宋体" w:cs="Arial"/>
                <w:sz w:val="22"/>
              </w:rPr>
              <w:t>。此外，公司还在探索维奈克拉尚未取得突破的适应症，如多发性骨髓瘤，相关试验进展顺利，预计今年晚些时候公布更多数据。在CLL</w:t>
            </w:r>
            <w:r w:rsidRPr="00BA74AB">
              <w:rPr>
                <w:rFonts w:ascii="宋体" w:eastAsia="宋体" w:hAnsi="宋体" w:cs="Arial" w:hint="eastAsia"/>
                <w:sz w:val="22"/>
              </w:rPr>
              <w:t>一</w:t>
            </w:r>
            <w:r w:rsidRPr="00BA74AB">
              <w:rPr>
                <w:rFonts w:ascii="宋体" w:eastAsia="宋体" w:hAnsi="宋体" w:cs="Arial"/>
                <w:sz w:val="22"/>
              </w:rPr>
              <w:t>线治疗中，BCL2与CD20联合用药约</w:t>
            </w:r>
            <w:r w:rsidRPr="00BA74AB">
              <w:rPr>
                <w:rFonts w:ascii="宋体" w:eastAsia="宋体" w:hAnsi="宋体" w:cs="Arial" w:hint="eastAsia"/>
                <w:sz w:val="22"/>
              </w:rPr>
              <w:t>占四分之一的市场份额。</w:t>
            </w:r>
            <w:r w:rsidRPr="00BA74AB">
              <w:rPr>
                <w:rFonts w:ascii="宋体" w:eastAsia="宋体" w:hAnsi="宋体" w:cs="Arial"/>
                <w:sz w:val="22"/>
              </w:rPr>
              <w:t>公司认为，深度</w:t>
            </w:r>
            <w:r w:rsidRPr="00BA74AB">
              <w:rPr>
                <w:rFonts w:ascii="宋体" w:eastAsia="宋体" w:hAnsi="宋体" w:cs="Arial" w:hint="eastAsia"/>
                <w:sz w:val="22"/>
              </w:rPr>
              <w:t>缓解</w:t>
            </w:r>
            <w:r w:rsidRPr="00BA74AB">
              <w:rPr>
                <w:rFonts w:ascii="宋体" w:eastAsia="宋体" w:hAnsi="宋体" w:cs="Arial"/>
                <w:sz w:val="22"/>
              </w:rPr>
              <w:t>、</w:t>
            </w:r>
            <w:r w:rsidRPr="00BA74AB">
              <w:rPr>
                <w:rFonts w:ascii="宋体" w:eastAsia="宋体" w:hAnsi="宋体" w:cs="Arial" w:hint="eastAsia"/>
                <w:sz w:val="22"/>
              </w:rPr>
              <w:t>未</w:t>
            </w:r>
            <w:r w:rsidRPr="00BA74AB">
              <w:rPr>
                <w:rFonts w:ascii="宋体" w:eastAsia="宋体" w:hAnsi="宋体" w:cs="Arial"/>
                <w:sz w:val="22"/>
              </w:rPr>
              <w:t>检测</w:t>
            </w:r>
            <w:r w:rsidRPr="00BA74AB">
              <w:rPr>
                <w:rFonts w:ascii="宋体" w:eastAsia="宋体" w:hAnsi="宋体" w:cs="Arial" w:hint="eastAsia"/>
                <w:sz w:val="22"/>
              </w:rPr>
              <w:t>出</w:t>
            </w:r>
            <w:r w:rsidRPr="00BA74AB">
              <w:rPr>
                <w:rFonts w:ascii="宋体" w:eastAsia="宋体" w:hAnsi="宋体" w:cs="Arial"/>
                <w:sz w:val="22"/>
              </w:rPr>
              <w:t>的微小残留病灶、</w:t>
            </w:r>
            <w:r w:rsidRPr="00BA74AB">
              <w:rPr>
                <w:rFonts w:ascii="宋体" w:eastAsia="宋体" w:hAnsi="宋体" w:cs="Arial" w:hint="eastAsia"/>
                <w:sz w:val="22"/>
              </w:rPr>
              <w:t>持久的PFS</w:t>
            </w:r>
            <w:r w:rsidRPr="00BA74AB">
              <w:rPr>
                <w:rFonts w:ascii="宋体" w:eastAsia="宋体" w:hAnsi="宋体" w:cs="Arial"/>
                <w:sz w:val="22"/>
              </w:rPr>
              <w:t>以及</w:t>
            </w:r>
            <w:r w:rsidRPr="00BA74AB">
              <w:rPr>
                <w:rFonts w:ascii="宋体" w:eastAsia="宋体" w:hAnsi="宋体" w:cs="Arial" w:hint="eastAsia"/>
                <w:sz w:val="22"/>
              </w:rPr>
              <w:t>良好</w:t>
            </w:r>
            <w:r w:rsidRPr="00BA74AB">
              <w:rPr>
                <w:rFonts w:ascii="宋体" w:eastAsia="宋体" w:hAnsi="宋体" w:cs="Arial"/>
                <w:sz w:val="22"/>
              </w:rPr>
              <w:t>的安全性是固定</w:t>
            </w:r>
            <w:r w:rsidRPr="00BA74AB">
              <w:rPr>
                <w:rFonts w:ascii="宋体" w:eastAsia="宋体" w:hAnsi="宋体" w:cs="Arial" w:hint="eastAsia"/>
                <w:sz w:val="22"/>
              </w:rPr>
              <w:t>疗程方案</w:t>
            </w:r>
            <w:r w:rsidRPr="00BA74AB">
              <w:rPr>
                <w:rFonts w:ascii="宋体" w:eastAsia="宋体" w:hAnsi="宋体" w:cs="Arial"/>
                <w:sz w:val="22"/>
              </w:rPr>
              <w:t>成功的关键。尽管</w:t>
            </w:r>
            <w:r w:rsidRPr="00BA74AB">
              <w:rPr>
                <w:rFonts w:ascii="宋体" w:eastAsia="宋体" w:hAnsi="宋体" w:cs="Arial" w:hint="eastAsia"/>
                <w:sz w:val="22"/>
              </w:rPr>
              <w:t>现有</w:t>
            </w:r>
            <w:r w:rsidRPr="00BA74AB">
              <w:rPr>
                <w:rFonts w:ascii="宋体" w:eastAsia="宋体" w:hAnsi="宋体" w:cs="Arial"/>
                <w:sz w:val="22"/>
              </w:rPr>
              <w:t>固定</w:t>
            </w:r>
            <w:r w:rsidRPr="00BA74AB">
              <w:rPr>
                <w:rFonts w:ascii="宋体" w:eastAsia="宋体" w:hAnsi="宋体" w:cs="Arial" w:hint="eastAsia"/>
                <w:sz w:val="22"/>
              </w:rPr>
              <w:t>疗程</w:t>
            </w:r>
            <w:r w:rsidRPr="00BA74AB">
              <w:rPr>
                <w:rFonts w:ascii="宋体" w:eastAsia="宋体" w:hAnsi="宋体" w:cs="Arial"/>
                <w:sz w:val="22"/>
              </w:rPr>
              <w:t>方案未能达到这一标准，但公司对泽</w:t>
            </w:r>
            <w:proofErr w:type="gramStart"/>
            <w:r w:rsidRPr="00BA74AB">
              <w:rPr>
                <w:rFonts w:ascii="宋体" w:eastAsia="宋体" w:hAnsi="宋体" w:cs="Arial"/>
                <w:sz w:val="22"/>
              </w:rPr>
              <w:t>布替尼</w:t>
            </w:r>
            <w:proofErr w:type="gramEnd"/>
            <w:r w:rsidRPr="00BA74AB">
              <w:rPr>
                <w:rFonts w:ascii="宋体" w:eastAsia="宋体" w:hAnsi="宋体" w:cs="Arial"/>
                <w:sz w:val="22"/>
              </w:rPr>
              <w:t>和索托克拉的潜力充满信心。</w:t>
            </w:r>
          </w:p>
          <w:p w14:paraId="4D3B878D" w14:textId="77777777" w:rsidR="00BA74AB" w:rsidRPr="00BA74AB" w:rsidRDefault="00BA74AB" w:rsidP="00BA74AB">
            <w:pPr>
              <w:spacing w:line="360" w:lineRule="auto"/>
              <w:rPr>
                <w:rFonts w:ascii="宋体" w:eastAsia="宋体" w:hAnsi="宋体" w:cs="Arial" w:hint="eastAsia"/>
                <w:sz w:val="22"/>
              </w:rPr>
            </w:pPr>
          </w:p>
          <w:p w14:paraId="7FCC0B4E" w14:textId="18246D4C"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9：</w:t>
            </w:r>
            <w:r w:rsidRPr="00BA74AB">
              <w:rPr>
                <w:rFonts w:ascii="宋体" w:eastAsia="宋体" w:hAnsi="宋体" w:cs="Arial"/>
                <w:b/>
                <w:bCs/>
                <w:sz w:val="22"/>
              </w:rPr>
              <w:t>关于索托克拉联合泽</w:t>
            </w:r>
            <w:proofErr w:type="gramStart"/>
            <w:r w:rsidRPr="00BA74AB">
              <w:rPr>
                <w:rFonts w:ascii="宋体" w:eastAsia="宋体" w:hAnsi="宋体" w:cs="Arial"/>
                <w:b/>
                <w:bCs/>
                <w:sz w:val="22"/>
              </w:rPr>
              <w:t>布替尼</w:t>
            </w:r>
            <w:proofErr w:type="gramEnd"/>
            <w:r w:rsidRPr="00BA74AB">
              <w:rPr>
                <w:rFonts w:ascii="宋体" w:eastAsia="宋体" w:hAnsi="宋体" w:cs="Arial"/>
                <w:b/>
                <w:bCs/>
                <w:sz w:val="22"/>
              </w:rPr>
              <w:t>的定价策略，</w:t>
            </w:r>
            <w:r w:rsidRPr="00BA74AB">
              <w:rPr>
                <w:rFonts w:ascii="宋体" w:eastAsia="宋体" w:hAnsi="宋体" w:cs="Arial" w:hint="eastAsia"/>
                <w:b/>
                <w:bCs/>
                <w:sz w:val="22"/>
              </w:rPr>
              <w:t>公司目前如何</w:t>
            </w:r>
            <w:proofErr w:type="gramStart"/>
            <w:r w:rsidRPr="00BA74AB">
              <w:rPr>
                <w:rFonts w:ascii="宋体" w:eastAsia="宋体" w:hAnsi="宋体" w:cs="Arial" w:hint="eastAsia"/>
                <w:b/>
                <w:bCs/>
                <w:sz w:val="22"/>
              </w:rPr>
              <w:t>考量</w:t>
            </w:r>
            <w:proofErr w:type="gramEnd"/>
            <w:r w:rsidRPr="00BA74AB">
              <w:rPr>
                <w:rFonts w:ascii="宋体" w:eastAsia="宋体" w:hAnsi="宋体" w:cs="Arial"/>
                <w:b/>
                <w:bCs/>
                <w:sz w:val="22"/>
              </w:rPr>
              <w:t>？</w:t>
            </w:r>
          </w:p>
          <w:p w14:paraId="51DA9C6E" w14:textId="77777777"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sz w:val="22"/>
              </w:rPr>
              <w:t>目前讨论管线定价为时尚早。公司对相关产品的特性充满信心，将根据其创造的价值进行合理定价。</w:t>
            </w:r>
          </w:p>
          <w:p w14:paraId="4AB013C8" w14:textId="77777777" w:rsidR="00BA74AB" w:rsidRPr="00BA74AB" w:rsidRDefault="00BA74AB" w:rsidP="00BA74AB">
            <w:pPr>
              <w:spacing w:line="360" w:lineRule="auto"/>
              <w:rPr>
                <w:rFonts w:ascii="宋体" w:eastAsia="宋体" w:hAnsi="宋体" w:cs="Arial" w:hint="eastAsia"/>
                <w:sz w:val="22"/>
              </w:rPr>
            </w:pPr>
          </w:p>
          <w:p w14:paraId="5FF3C81B" w14:textId="34C0CEA0"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10：</w:t>
            </w:r>
            <w:r w:rsidRPr="00BA74AB">
              <w:rPr>
                <w:rFonts w:ascii="宋体" w:eastAsia="宋体" w:hAnsi="宋体" w:cs="Arial" w:hint="eastAsia"/>
                <w:b/>
                <w:bCs/>
                <w:sz w:val="22"/>
              </w:rPr>
              <w:t xml:space="preserve">如何评价BTK </w:t>
            </w:r>
            <w:r w:rsidRPr="00BA74AB">
              <w:rPr>
                <w:rFonts w:ascii="宋体" w:eastAsia="宋体" w:hAnsi="宋体" w:cs="Arial"/>
                <w:b/>
                <w:bCs/>
                <w:sz w:val="22"/>
              </w:rPr>
              <w:t>CDAC相对于</w:t>
            </w:r>
            <w:r w:rsidRPr="00BA74AB">
              <w:rPr>
                <w:rFonts w:ascii="宋体" w:eastAsia="宋体" w:hAnsi="宋体" w:cs="Arial" w:hint="eastAsia"/>
                <w:b/>
                <w:bCs/>
                <w:sz w:val="22"/>
              </w:rPr>
              <w:t>传统</w:t>
            </w:r>
            <w:r w:rsidRPr="00BA74AB">
              <w:rPr>
                <w:rFonts w:ascii="宋体" w:eastAsia="宋体" w:hAnsi="宋体" w:cs="Arial"/>
                <w:b/>
                <w:bCs/>
                <w:sz w:val="22"/>
              </w:rPr>
              <w:t>BTK</w:t>
            </w:r>
            <w:r w:rsidRPr="00BA74AB">
              <w:rPr>
                <w:rFonts w:ascii="宋体" w:eastAsia="宋体" w:hAnsi="宋体" w:cs="Arial" w:hint="eastAsia"/>
                <w:b/>
                <w:bCs/>
                <w:sz w:val="22"/>
              </w:rPr>
              <w:t>抑制剂</w:t>
            </w:r>
            <w:r w:rsidRPr="00BA74AB">
              <w:rPr>
                <w:rFonts w:ascii="宋体" w:eastAsia="宋体" w:hAnsi="宋体" w:cs="Arial"/>
                <w:b/>
                <w:bCs/>
                <w:sz w:val="22"/>
              </w:rPr>
              <w:t>的长期定位</w:t>
            </w:r>
            <w:r w:rsidRPr="00BA74AB">
              <w:rPr>
                <w:rFonts w:ascii="宋体" w:eastAsia="宋体" w:hAnsi="宋体" w:cs="Arial" w:hint="eastAsia"/>
                <w:b/>
                <w:bCs/>
                <w:sz w:val="22"/>
              </w:rPr>
              <w:t>？</w:t>
            </w:r>
            <w:r w:rsidRPr="00BA74AB">
              <w:rPr>
                <w:rFonts w:ascii="宋体" w:eastAsia="宋体" w:hAnsi="宋体" w:cs="Arial"/>
                <w:b/>
                <w:bCs/>
                <w:sz w:val="22"/>
              </w:rPr>
              <w:t>首先，是什么让您有信心BTK CDAC能够在头对头研究中击败</w:t>
            </w:r>
            <w:proofErr w:type="gramStart"/>
            <w:r w:rsidRPr="00BA74AB">
              <w:rPr>
                <w:rFonts w:ascii="宋体" w:eastAsia="宋体" w:hAnsi="宋体" w:cs="Arial" w:hint="eastAsia"/>
                <w:b/>
                <w:bCs/>
                <w:sz w:val="22"/>
              </w:rPr>
              <w:t>匹妥布替尼</w:t>
            </w:r>
            <w:proofErr w:type="gramEnd"/>
            <w:r w:rsidRPr="00BA74AB">
              <w:rPr>
                <w:rFonts w:ascii="宋体" w:eastAsia="宋体" w:hAnsi="宋体" w:cs="Arial"/>
                <w:b/>
                <w:bCs/>
                <w:sz w:val="22"/>
              </w:rPr>
              <w:t>？其次，降解</w:t>
            </w:r>
            <w:proofErr w:type="gramStart"/>
            <w:r w:rsidRPr="00BA74AB">
              <w:rPr>
                <w:rFonts w:ascii="宋体" w:eastAsia="宋体" w:hAnsi="宋体" w:cs="Arial"/>
                <w:b/>
                <w:bCs/>
                <w:sz w:val="22"/>
              </w:rPr>
              <w:t>剂运用</w:t>
            </w:r>
            <w:proofErr w:type="gramEnd"/>
            <w:r w:rsidRPr="00BA74AB">
              <w:rPr>
                <w:rFonts w:ascii="宋体" w:eastAsia="宋体" w:hAnsi="宋体" w:cs="Arial"/>
                <w:b/>
                <w:bCs/>
                <w:sz w:val="22"/>
              </w:rPr>
              <w:t>于更前线的治疗可能存在风险，</w:t>
            </w:r>
            <w:r w:rsidRPr="00BA74AB">
              <w:rPr>
                <w:rFonts w:ascii="宋体" w:eastAsia="宋体" w:hAnsi="宋体" w:cs="Arial" w:hint="eastAsia"/>
                <w:b/>
                <w:bCs/>
                <w:sz w:val="22"/>
              </w:rPr>
              <w:t>如</w:t>
            </w:r>
            <w:r w:rsidRPr="00BA74AB">
              <w:rPr>
                <w:rFonts w:ascii="宋体" w:eastAsia="宋体" w:hAnsi="宋体" w:cs="Arial"/>
                <w:b/>
                <w:bCs/>
                <w:sz w:val="22"/>
              </w:rPr>
              <w:t>潜在的机制耐药性，</w:t>
            </w:r>
            <w:r w:rsidRPr="00BA74AB">
              <w:rPr>
                <w:rFonts w:ascii="宋体" w:eastAsia="宋体" w:hAnsi="宋体" w:cs="Arial" w:hint="eastAsia"/>
                <w:b/>
                <w:bCs/>
                <w:sz w:val="22"/>
              </w:rPr>
              <w:t>是否</w:t>
            </w:r>
            <w:r w:rsidRPr="00BA74AB">
              <w:rPr>
                <w:rFonts w:ascii="宋体" w:eastAsia="宋体" w:hAnsi="宋体" w:cs="Arial"/>
                <w:b/>
                <w:bCs/>
                <w:sz w:val="22"/>
              </w:rPr>
              <w:t>会排除其他治疗选择</w:t>
            </w:r>
            <w:r w:rsidRPr="00BA74AB">
              <w:rPr>
                <w:rFonts w:ascii="宋体" w:eastAsia="宋体" w:hAnsi="宋体" w:cs="Arial" w:hint="eastAsia"/>
                <w:b/>
                <w:bCs/>
                <w:sz w:val="22"/>
              </w:rPr>
              <w:t>？</w:t>
            </w:r>
            <w:r w:rsidRPr="00BA74AB">
              <w:rPr>
                <w:rFonts w:ascii="宋体" w:eastAsia="宋体" w:hAnsi="宋体" w:cs="Arial"/>
                <w:b/>
                <w:bCs/>
                <w:sz w:val="22"/>
              </w:rPr>
              <w:t>您对这种治疗顺序的看法如何？</w:t>
            </w:r>
          </w:p>
          <w:p w14:paraId="26509598" w14:textId="453E1AF9"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sz w:val="22"/>
              </w:rPr>
              <w:t>公司对BTK降解剂的信心不断增强。随着更多数据的积累，该药物已显示出对BTK蛋白的完全降解能力，并为患者带来持续的临床益处。基于关键意见领袖的反馈，公司计划于今年下半年启动BTK降解剂</w:t>
            </w:r>
            <w:r w:rsidRPr="00BA74AB">
              <w:rPr>
                <w:rFonts w:ascii="宋体" w:eastAsia="宋体" w:hAnsi="宋体" w:cs="Arial" w:hint="eastAsia"/>
                <w:sz w:val="22"/>
              </w:rPr>
              <w:t>对比</w:t>
            </w:r>
            <w:proofErr w:type="gramStart"/>
            <w:r w:rsidRPr="00BA74AB">
              <w:rPr>
                <w:rFonts w:ascii="宋体" w:eastAsia="宋体" w:hAnsi="宋体" w:cs="Arial"/>
                <w:sz w:val="22"/>
              </w:rPr>
              <w:t>匹妥布替尼</w:t>
            </w:r>
            <w:proofErr w:type="gramEnd"/>
            <w:r w:rsidRPr="00BA74AB">
              <w:rPr>
                <w:rFonts w:ascii="宋体" w:eastAsia="宋体" w:hAnsi="宋体" w:cs="Arial"/>
                <w:sz w:val="22"/>
              </w:rPr>
              <w:t>的头对头试验。关于在前线治疗中使用BTK降解剂，公司正在相关患者群体中开展研究。公司同时也在探索其他治疗选择，如</w:t>
            </w:r>
            <w:r w:rsidRPr="00BA74AB">
              <w:rPr>
                <w:rFonts w:ascii="宋体" w:eastAsia="宋体" w:hAnsi="宋体" w:cs="Arial" w:hint="eastAsia"/>
                <w:sz w:val="22"/>
              </w:rPr>
              <w:t>BCL2抑制剂索托克拉</w:t>
            </w:r>
            <w:r w:rsidRPr="00BA74AB">
              <w:rPr>
                <w:rFonts w:ascii="宋体" w:eastAsia="宋体" w:hAnsi="宋体" w:cs="Arial"/>
                <w:sz w:val="22"/>
              </w:rPr>
              <w:t>，致力于为患者提供从一线到后线的最佳治疗方案。</w:t>
            </w:r>
          </w:p>
          <w:p w14:paraId="7C879D44" w14:textId="77777777" w:rsidR="00BA74AB" w:rsidRPr="00BA74AB" w:rsidRDefault="00BA74AB" w:rsidP="00BA74AB">
            <w:pPr>
              <w:spacing w:line="360" w:lineRule="auto"/>
              <w:rPr>
                <w:rFonts w:ascii="宋体" w:eastAsia="宋体" w:hAnsi="宋体" w:cs="Arial" w:hint="eastAsia"/>
                <w:sz w:val="22"/>
              </w:rPr>
            </w:pPr>
          </w:p>
          <w:p w14:paraId="79A92A9E" w14:textId="1649C488"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11：</w:t>
            </w:r>
            <w:r w:rsidRPr="00BA74AB">
              <w:rPr>
                <w:rFonts w:ascii="宋体" w:eastAsia="宋体" w:hAnsi="宋体" w:cs="Arial"/>
                <w:b/>
                <w:bCs/>
                <w:sz w:val="22"/>
              </w:rPr>
              <w:t xml:space="preserve">预计今年下半年索托克拉在R/R MCL中的2期数据读出，以及2026年BTK-CDAC的2期数据，为支持潜在获批，监管机构需要哪些关键终点？索托克拉在中国的上市申请进度如何？ </w:t>
            </w:r>
          </w:p>
          <w:p w14:paraId="69D4E569" w14:textId="2F7132DB"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sz w:val="22"/>
              </w:rPr>
              <w:t>索托克拉和BTK-CDAC均为单臂2期研究，主要终点为客观缓解率（OR</w:t>
            </w:r>
            <w:r w:rsidR="002B0E5E">
              <w:rPr>
                <w:rFonts w:ascii="宋体" w:eastAsia="宋体" w:hAnsi="宋体" w:cs="Arial" w:hint="eastAsia"/>
                <w:sz w:val="22"/>
              </w:rPr>
              <w:t>R</w:t>
            </w:r>
            <w:r w:rsidRPr="00BA74AB">
              <w:rPr>
                <w:rFonts w:ascii="宋体" w:eastAsia="宋体" w:hAnsi="宋体" w:cs="Arial"/>
                <w:sz w:val="22"/>
              </w:rPr>
              <w:t>）和缓解持续时间（DOR）。索托克拉的新药上市申请已获得国家药品监督管理局（NMPA）药品审评中心（CDE）受理并将其纳入优先审评程序，拟用于治疗既往接受过治疗的CLL/SLL成人患者，我们预计将在2026年上半年取得批准。</w:t>
            </w:r>
          </w:p>
          <w:p w14:paraId="2771CA48" w14:textId="77777777" w:rsidR="00BA74AB" w:rsidRPr="00BA74AB" w:rsidRDefault="00BA74AB" w:rsidP="00BA74AB">
            <w:pPr>
              <w:spacing w:line="360" w:lineRule="auto"/>
              <w:rPr>
                <w:rFonts w:ascii="宋体" w:eastAsia="宋体" w:hAnsi="宋体" w:cs="Arial" w:hint="eastAsia"/>
                <w:sz w:val="22"/>
              </w:rPr>
            </w:pPr>
          </w:p>
          <w:p w14:paraId="5369FD87" w14:textId="7560840F" w:rsidR="00BA74AB" w:rsidRPr="00BA74AB" w:rsidRDefault="00BA74AB" w:rsidP="00BA74AB">
            <w:pPr>
              <w:spacing w:line="360" w:lineRule="auto"/>
              <w:rPr>
                <w:rFonts w:ascii="宋体" w:eastAsia="宋体" w:hAnsi="宋体" w:cs="Arial" w:hint="eastAsia"/>
                <w:b/>
                <w:sz w:val="22"/>
              </w:rPr>
            </w:pPr>
            <w:r w:rsidRPr="00BA74AB">
              <w:rPr>
                <w:rFonts w:ascii="宋体" w:eastAsia="宋体" w:hAnsi="宋体" w:cs="Arial"/>
                <w:b/>
                <w:bCs/>
                <w:sz w:val="22"/>
              </w:rPr>
              <w:t>Q</w:t>
            </w:r>
            <w:r>
              <w:rPr>
                <w:rFonts w:ascii="宋体" w:eastAsia="宋体" w:hAnsi="宋体" w:cs="Arial" w:hint="eastAsia"/>
                <w:b/>
                <w:bCs/>
                <w:sz w:val="22"/>
              </w:rPr>
              <w:t>12：</w:t>
            </w:r>
            <w:r w:rsidRPr="00BA74AB">
              <w:rPr>
                <w:rFonts w:ascii="宋体" w:eastAsia="宋体" w:hAnsi="宋体" w:cs="Arial"/>
                <w:b/>
                <w:sz w:val="22"/>
              </w:rPr>
              <w:t>公司的CDK4抑制剂BGB-43395与辉瑞的</w:t>
            </w:r>
            <w:proofErr w:type="gramStart"/>
            <w:r w:rsidRPr="00BA74AB">
              <w:rPr>
                <w:rFonts w:ascii="宋体" w:eastAsia="宋体" w:hAnsi="宋体" w:cs="Arial"/>
                <w:b/>
                <w:sz w:val="22"/>
              </w:rPr>
              <w:t>哌柏西</w:t>
            </w:r>
            <w:proofErr w:type="gramEnd"/>
            <w:r w:rsidRPr="00BA74AB">
              <w:rPr>
                <w:rFonts w:ascii="宋体" w:eastAsia="宋体" w:hAnsi="宋体" w:cs="Arial"/>
                <w:b/>
                <w:sz w:val="22"/>
              </w:rPr>
              <w:t>利有何区别？如何看待CDK4抑制剂在HR阳性乳腺癌中的机会，包括治疗线数和潜在的联合用药？</w:t>
            </w:r>
            <w:r w:rsidRPr="00BA74AB">
              <w:rPr>
                <w:rFonts w:ascii="宋体" w:eastAsia="宋体" w:hAnsi="宋体" w:cs="Arial"/>
                <w:b/>
                <w:bCs/>
                <w:sz w:val="22"/>
              </w:rPr>
              <w:t>公司是否有在</w:t>
            </w:r>
            <w:proofErr w:type="gramStart"/>
            <w:r w:rsidRPr="00BA74AB">
              <w:rPr>
                <w:rFonts w:ascii="宋体" w:eastAsia="宋体" w:hAnsi="宋体" w:cs="Arial"/>
                <w:b/>
                <w:bCs/>
                <w:sz w:val="22"/>
              </w:rPr>
              <w:t>研</w:t>
            </w:r>
            <w:proofErr w:type="gramEnd"/>
            <w:r w:rsidRPr="00BA74AB">
              <w:rPr>
                <w:rFonts w:ascii="宋体" w:eastAsia="宋体" w:hAnsi="宋体" w:cs="Arial"/>
                <w:b/>
                <w:bCs/>
                <w:sz w:val="22"/>
              </w:rPr>
              <w:t>的口服SERD（选择性雌激素受体降解剂）？</w:t>
            </w:r>
          </w:p>
          <w:p w14:paraId="243007ED" w14:textId="77777777" w:rsidR="00BA74AB" w:rsidRPr="00BA74AB" w:rsidRDefault="00BA74AB" w:rsidP="00BA74AB">
            <w:pPr>
              <w:spacing w:line="360" w:lineRule="auto"/>
              <w:ind w:firstLineChars="200" w:firstLine="440"/>
              <w:rPr>
                <w:rFonts w:ascii="宋体" w:eastAsia="宋体" w:hAnsi="宋体" w:cs="Arial" w:hint="eastAsia"/>
                <w:b/>
                <w:bCs/>
                <w:sz w:val="22"/>
              </w:rPr>
            </w:pPr>
            <w:r w:rsidRPr="00BA74AB">
              <w:rPr>
                <w:rFonts w:ascii="宋体" w:eastAsia="宋体" w:hAnsi="宋体" w:cs="Arial"/>
                <w:sz w:val="22"/>
              </w:rPr>
              <w:t>相较于辉瑞的</w:t>
            </w:r>
            <w:proofErr w:type="gramStart"/>
            <w:r w:rsidRPr="00BA74AB">
              <w:rPr>
                <w:rFonts w:ascii="宋体" w:eastAsia="宋体" w:hAnsi="宋体" w:cs="Arial"/>
                <w:sz w:val="22"/>
              </w:rPr>
              <w:t>哌柏西</w:t>
            </w:r>
            <w:proofErr w:type="gramEnd"/>
            <w:r w:rsidRPr="00BA74AB">
              <w:rPr>
                <w:rFonts w:ascii="宋体" w:eastAsia="宋体" w:hAnsi="宋体" w:cs="Arial"/>
                <w:sz w:val="22"/>
              </w:rPr>
              <w:t>利，公司的CDK4抑制剂旨在提升药物效力和选择性。公司目前正在进行剂量递增研究。我们正在积极推进CDK4抑制剂的临床试验进度，迄今为止已有超过300例患者入组，自上一次更新数据后又增加了100例患者。公司正在计划启动BGB-43395联合内分泌药物用于二线治疗HR+/HER2-转移性乳腺癌的三期临床试验，并探索其在更早期</w:t>
            </w:r>
            <w:proofErr w:type="gramStart"/>
            <w:r w:rsidRPr="00BA74AB">
              <w:rPr>
                <w:rFonts w:ascii="宋体" w:eastAsia="宋体" w:hAnsi="宋体" w:cs="Arial"/>
                <w:sz w:val="22"/>
              </w:rPr>
              <w:t>治疗线</w:t>
            </w:r>
            <w:proofErr w:type="gramEnd"/>
            <w:r w:rsidRPr="00BA74AB">
              <w:rPr>
                <w:rFonts w:ascii="宋体" w:eastAsia="宋体" w:hAnsi="宋体" w:cs="Arial"/>
                <w:sz w:val="22"/>
              </w:rPr>
              <w:t>中的应用。公司目前没有开发口服SERD药物。</w:t>
            </w:r>
          </w:p>
          <w:p w14:paraId="61ACC771" w14:textId="77777777" w:rsidR="00BA74AB" w:rsidRPr="00BA74AB" w:rsidRDefault="00BA74AB" w:rsidP="00BA74AB">
            <w:pPr>
              <w:spacing w:line="360" w:lineRule="auto"/>
              <w:rPr>
                <w:rFonts w:ascii="宋体" w:eastAsia="宋体" w:hAnsi="宋体" w:cs="Arial" w:hint="eastAsia"/>
                <w:b/>
                <w:bCs/>
                <w:sz w:val="22"/>
              </w:rPr>
            </w:pPr>
          </w:p>
          <w:p w14:paraId="3C6C2AAB" w14:textId="1E5F2385" w:rsidR="00BA74AB" w:rsidRPr="00BA74AB" w:rsidRDefault="00BA74AB" w:rsidP="00BA74AB">
            <w:pPr>
              <w:spacing w:line="360" w:lineRule="auto"/>
              <w:rPr>
                <w:rFonts w:ascii="宋体" w:eastAsia="宋体" w:hAnsi="宋体" w:cs="Arial" w:hint="eastAsia"/>
                <w:b/>
                <w:sz w:val="22"/>
              </w:rPr>
            </w:pPr>
            <w:r w:rsidRPr="00BA74AB">
              <w:rPr>
                <w:rFonts w:ascii="宋体" w:eastAsia="宋体" w:hAnsi="宋体" w:cs="Arial"/>
                <w:b/>
                <w:bCs/>
                <w:sz w:val="22"/>
              </w:rPr>
              <w:t>Q</w:t>
            </w:r>
            <w:r>
              <w:rPr>
                <w:rFonts w:ascii="宋体" w:eastAsia="宋体" w:hAnsi="宋体" w:cs="Arial" w:hint="eastAsia"/>
                <w:b/>
                <w:bCs/>
                <w:sz w:val="22"/>
              </w:rPr>
              <w:t>13：</w:t>
            </w:r>
            <w:r w:rsidRPr="00BA74AB">
              <w:rPr>
                <w:rFonts w:ascii="宋体" w:eastAsia="宋体" w:hAnsi="宋体" w:cs="Arial"/>
                <w:b/>
                <w:bCs/>
                <w:sz w:val="22"/>
              </w:rPr>
              <w:t>公司是否会在2025年6月26日举办的</w:t>
            </w:r>
            <w:proofErr w:type="gramStart"/>
            <w:r w:rsidRPr="00BA74AB">
              <w:rPr>
                <w:rFonts w:ascii="宋体" w:eastAsia="宋体" w:hAnsi="宋体" w:cs="Arial"/>
                <w:b/>
                <w:bCs/>
                <w:sz w:val="22"/>
              </w:rPr>
              <w:t>研发日</w:t>
            </w:r>
            <w:proofErr w:type="gramEnd"/>
            <w:r w:rsidRPr="00BA74AB">
              <w:rPr>
                <w:rFonts w:ascii="宋体" w:eastAsia="宋体" w:hAnsi="宋体" w:cs="Arial"/>
                <w:b/>
                <w:bCs/>
                <w:sz w:val="22"/>
              </w:rPr>
              <w:t>活动上公布CDK4项目的疗效数据？是否有足够的随访数据来观察疗效的持久性？另外，该项目目前在启动或招募初治患者队列方面处于什么阶段？</w:t>
            </w:r>
          </w:p>
          <w:p w14:paraId="1CADBC30" w14:textId="458CD8D7"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sz w:val="22"/>
              </w:rPr>
              <w:t>公司</w:t>
            </w:r>
            <w:proofErr w:type="gramStart"/>
            <w:r w:rsidRPr="00BA74AB">
              <w:rPr>
                <w:rFonts w:ascii="宋体" w:eastAsia="宋体" w:hAnsi="宋体" w:cs="Arial"/>
                <w:sz w:val="22"/>
              </w:rPr>
              <w:t>研发日</w:t>
            </w:r>
            <w:proofErr w:type="gramEnd"/>
            <w:r w:rsidRPr="00BA74AB">
              <w:rPr>
                <w:rFonts w:ascii="宋体" w:eastAsia="宋体" w:hAnsi="宋体" w:cs="Arial"/>
                <w:sz w:val="22"/>
              </w:rPr>
              <w:t>上公布的CDK4项目数据将主要集中在剂量递增队列上，包括疗效以及安全性数据。如前所述，该项目进展得非常快，因此目前关于疗效的持久性方面的数据是比较有限的。公司已经入组了初治患者，已经开始积累相关数据帮助我们评估在前线的开发策略，但由于</w:t>
            </w:r>
            <w:r w:rsidRPr="00BA74AB">
              <w:rPr>
                <w:rFonts w:ascii="宋体" w:eastAsia="宋体" w:hAnsi="宋体" w:cs="Arial" w:hint="eastAsia"/>
                <w:sz w:val="22"/>
              </w:rPr>
              <w:t>还处在早期阶段</w:t>
            </w:r>
            <w:r w:rsidRPr="00BA74AB">
              <w:rPr>
                <w:rFonts w:ascii="宋体" w:eastAsia="宋体" w:hAnsi="宋体" w:cs="Arial"/>
                <w:sz w:val="22"/>
              </w:rPr>
              <w:t>，此次</w:t>
            </w:r>
            <w:proofErr w:type="gramStart"/>
            <w:r w:rsidRPr="00BA74AB">
              <w:rPr>
                <w:rFonts w:ascii="宋体" w:eastAsia="宋体" w:hAnsi="宋体" w:cs="Arial"/>
                <w:sz w:val="22"/>
              </w:rPr>
              <w:t>研发日暂</w:t>
            </w:r>
            <w:proofErr w:type="gramEnd"/>
            <w:r w:rsidRPr="00BA74AB">
              <w:rPr>
                <w:rFonts w:ascii="宋体" w:eastAsia="宋体" w:hAnsi="宋体" w:cs="Arial"/>
                <w:sz w:val="22"/>
              </w:rPr>
              <w:t>不会披露</w:t>
            </w:r>
            <w:r w:rsidRPr="00BA74AB">
              <w:rPr>
                <w:rFonts w:ascii="宋体" w:eastAsia="宋体" w:hAnsi="宋体" w:cs="Arial" w:hint="eastAsia"/>
                <w:sz w:val="22"/>
              </w:rPr>
              <w:t>初治患者数据</w:t>
            </w:r>
            <w:r w:rsidRPr="00BA74AB">
              <w:rPr>
                <w:rFonts w:ascii="宋体" w:eastAsia="宋体" w:hAnsi="宋体" w:cs="Arial"/>
                <w:sz w:val="22"/>
              </w:rPr>
              <w:t>。</w:t>
            </w:r>
          </w:p>
          <w:p w14:paraId="50193DA7" w14:textId="77777777" w:rsidR="00BA74AB" w:rsidRPr="00BA74AB" w:rsidRDefault="00BA74AB" w:rsidP="00BA74AB">
            <w:pPr>
              <w:spacing w:line="360" w:lineRule="auto"/>
              <w:rPr>
                <w:rFonts w:ascii="宋体" w:eastAsia="宋体" w:hAnsi="宋体" w:cs="Arial" w:hint="eastAsia"/>
                <w:sz w:val="22"/>
              </w:rPr>
            </w:pPr>
          </w:p>
          <w:p w14:paraId="735EFCB1" w14:textId="755D2E7E"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14：</w:t>
            </w:r>
            <w:r w:rsidRPr="00BA74AB">
              <w:rPr>
                <w:rFonts w:ascii="宋体" w:eastAsia="宋体" w:hAnsi="宋体" w:cs="Arial"/>
                <w:b/>
                <w:bCs/>
                <w:sz w:val="22"/>
              </w:rPr>
              <w:t>在今年即将进行的多项概念验证数据读出中，哪个项目最令人期待？</w:t>
            </w:r>
          </w:p>
          <w:p w14:paraId="1E110804" w14:textId="77777777"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sz w:val="22"/>
              </w:rPr>
              <w:t>预计去年进入临床阶段的大多数分子将在今年公布数据，都非常令人期待。</w:t>
            </w:r>
          </w:p>
          <w:p w14:paraId="0E6D42B8" w14:textId="77777777" w:rsidR="00BA74AB" w:rsidRPr="00BA74AB" w:rsidRDefault="00BA74AB" w:rsidP="00BA74AB">
            <w:pPr>
              <w:spacing w:line="360" w:lineRule="auto"/>
              <w:rPr>
                <w:rFonts w:ascii="宋体" w:eastAsia="宋体" w:hAnsi="宋体" w:cs="Arial" w:hint="eastAsia"/>
                <w:sz w:val="22"/>
              </w:rPr>
            </w:pPr>
          </w:p>
          <w:p w14:paraId="10A54857" w14:textId="763BFF9D"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15：</w:t>
            </w:r>
            <w:r w:rsidRPr="00BA74AB">
              <w:rPr>
                <w:rFonts w:ascii="宋体" w:eastAsia="宋体" w:hAnsi="宋体" w:cs="Arial"/>
                <w:b/>
                <w:bCs/>
                <w:sz w:val="22"/>
              </w:rPr>
              <w:t>公司在</w:t>
            </w:r>
            <w:r w:rsidRPr="00BA74AB">
              <w:rPr>
                <w:rFonts w:ascii="宋体" w:eastAsia="宋体" w:hAnsi="宋体" w:cs="Arial" w:hint="eastAsia"/>
                <w:b/>
                <w:bCs/>
                <w:sz w:val="22"/>
              </w:rPr>
              <w:t>炎症和免疫治疗领域</w:t>
            </w:r>
            <w:r w:rsidRPr="00BA74AB">
              <w:rPr>
                <w:rFonts w:ascii="宋体" w:eastAsia="宋体" w:hAnsi="宋体" w:cs="Arial"/>
                <w:b/>
                <w:bCs/>
                <w:sz w:val="22"/>
              </w:rPr>
              <w:t>的开发策略如何？是否计划在内部或外部扩展IRAK4等项目的开发？</w:t>
            </w:r>
          </w:p>
          <w:p w14:paraId="2FD4EDA0" w14:textId="77777777"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hint="eastAsia"/>
                <w:sz w:val="22"/>
              </w:rPr>
              <w:t>公司十分重视炎症和免疫治疗领域，已经开展了众多临床前项目在该领域进行探索，我们将</w:t>
            </w:r>
            <w:r w:rsidRPr="00BA74AB">
              <w:rPr>
                <w:rFonts w:ascii="宋体" w:eastAsia="宋体" w:hAnsi="宋体" w:cs="Arial"/>
                <w:sz w:val="22"/>
              </w:rPr>
              <w:t>采用多种方法以开发出</w:t>
            </w:r>
            <w:r w:rsidRPr="00BA74AB">
              <w:rPr>
                <w:rFonts w:ascii="宋体" w:eastAsia="宋体" w:hAnsi="宋体" w:cs="Arial" w:hint="eastAsia"/>
                <w:sz w:val="22"/>
              </w:rPr>
              <w:t>同类</w:t>
            </w:r>
            <w:r w:rsidRPr="00BA74AB">
              <w:rPr>
                <w:rFonts w:ascii="宋体" w:eastAsia="宋体" w:hAnsi="宋体" w:cs="Arial"/>
                <w:sz w:val="22"/>
              </w:rPr>
              <w:t>最佳分子</w:t>
            </w:r>
            <w:r w:rsidRPr="00BA74AB">
              <w:rPr>
                <w:rFonts w:ascii="宋体" w:eastAsia="宋体" w:hAnsi="宋体" w:cs="Arial" w:hint="eastAsia"/>
                <w:sz w:val="22"/>
              </w:rPr>
              <w:t>以及同类</w:t>
            </w:r>
            <w:r w:rsidRPr="00BA74AB">
              <w:rPr>
                <w:rFonts w:ascii="宋体" w:eastAsia="宋体" w:hAnsi="宋体" w:cs="Arial"/>
                <w:sz w:val="22"/>
              </w:rPr>
              <w:t>首创分子。目前，IRAK4降解剂的早期数据表明其具有成为同类最佳的潜力，有望在低剂量水平实现完全靶点降解，</w:t>
            </w:r>
            <w:r w:rsidRPr="00BA74AB">
              <w:rPr>
                <w:rFonts w:ascii="宋体" w:eastAsia="宋体" w:hAnsi="宋体" w:cs="Arial" w:hint="eastAsia"/>
                <w:sz w:val="22"/>
              </w:rPr>
              <w:t>公司预计于今年下半年获得用于组织IRAK4降解的概念验证</w:t>
            </w:r>
            <w:r w:rsidRPr="00BA74AB">
              <w:rPr>
                <w:rFonts w:ascii="宋体" w:eastAsia="宋体" w:hAnsi="宋体" w:cs="Arial"/>
                <w:sz w:val="22"/>
              </w:rPr>
              <w:t>数据。</w:t>
            </w:r>
          </w:p>
          <w:p w14:paraId="16ACD98F" w14:textId="77777777" w:rsidR="00BA74AB" w:rsidRPr="00BA74AB" w:rsidRDefault="00BA74AB" w:rsidP="00BA74AB">
            <w:pPr>
              <w:spacing w:line="360" w:lineRule="auto"/>
              <w:rPr>
                <w:rFonts w:ascii="宋体" w:eastAsia="宋体" w:hAnsi="宋体" w:cs="Arial" w:hint="eastAsia"/>
                <w:sz w:val="22"/>
              </w:rPr>
            </w:pPr>
          </w:p>
          <w:p w14:paraId="002312E7" w14:textId="05B37BCE"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16：</w:t>
            </w:r>
            <w:r w:rsidRPr="00BA74AB">
              <w:rPr>
                <w:rFonts w:ascii="宋体" w:eastAsia="宋体" w:hAnsi="宋体" w:cs="Arial"/>
                <w:b/>
                <w:bCs/>
                <w:sz w:val="22"/>
              </w:rPr>
              <w:t>随着实体瘤管线中大量概念验证数据的陆续读出，公司预计将启动更多的试验以及潜在关键研究，该如何看待公司研发费用的趋势？</w:t>
            </w:r>
          </w:p>
          <w:p w14:paraId="5C98D420" w14:textId="77777777"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sz w:val="22"/>
              </w:rPr>
              <w:t>公司将继续以可持续的方式进行投资以推动增长，强劲的收入增长和严谨的投资使公司能够支持正在发展的管线的持续投入。公司一直将BD视为核心能力，公司拥有强大的管线，这为公司提供了</w:t>
            </w:r>
            <w:r w:rsidRPr="00BA74AB">
              <w:rPr>
                <w:rFonts w:ascii="宋体" w:eastAsia="宋体" w:hAnsi="宋体" w:cs="Arial" w:hint="eastAsia"/>
                <w:sz w:val="22"/>
              </w:rPr>
              <w:t>充足的</w:t>
            </w:r>
            <w:r w:rsidRPr="00BA74AB">
              <w:rPr>
                <w:rFonts w:ascii="宋体" w:eastAsia="宋体" w:hAnsi="宋体" w:cs="Arial"/>
                <w:sz w:val="22"/>
              </w:rPr>
              <w:t>选择空间。</w:t>
            </w:r>
          </w:p>
          <w:p w14:paraId="6E0EAFE8" w14:textId="77777777" w:rsidR="00BA74AB" w:rsidRPr="00BA74AB" w:rsidRDefault="00BA74AB" w:rsidP="00BA74AB">
            <w:pPr>
              <w:spacing w:line="360" w:lineRule="auto"/>
              <w:rPr>
                <w:rFonts w:ascii="宋体" w:eastAsia="宋体" w:hAnsi="宋体" w:cs="Arial" w:hint="eastAsia"/>
                <w:sz w:val="22"/>
              </w:rPr>
            </w:pPr>
          </w:p>
          <w:p w14:paraId="447F4F2B" w14:textId="42B3C5AE"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17：</w:t>
            </w:r>
            <w:r w:rsidRPr="00BA74AB">
              <w:rPr>
                <w:rFonts w:ascii="宋体" w:eastAsia="宋体" w:hAnsi="宋体" w:cs="Arial"/>
                <w:b/>
                <w:bCs/>
                <w:sz w:val="22"/>
              </w:rPr>
              <w:t>本季度欧洲销售表现良好，公司能否介绍一下</w:t>
            </w:r>
            <w:r w:rsidRPr="00BA74AB">
              <w:rPr>
                <w:rFonts w:ascii="宋体" w:eastAsia="宋体" w:hAnsi="宋体" w:cs="Arial" w:hint="eastAsia"/>
                <w:b/>
                <w:bCs/>
                <w:sz w:val="22"/>
              </w:rPr>
              <w:t>全球商业化进展</w:t>
            </w:r>
            <w:r w:rsidRPr="00BA74AB">
              <w:rPr>
                <w:rFonts w:ascii="宋体" w:eastAsia="宋体" w:hAnsi="宋体" w:cs="Arial"/>
                <w:b/>
                <w:bCs/>
                <w:sz w:val="22"/>
              </w:rPr>
              <w:t>？</w:t>
            </w:r>
          </w:p>
          <w:p w14:paraId="630CF012" w14:textId="77777777"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sz w:val="22"/>
              </w:rPr>
              <w:t>欧洲业务增长态势良好，其中百悦泽</w:t>
            </w:r>
            <w:r w:rsidRPr="00BA74AB">
              <w:rPr>
                <w:rFonts w:ascii="宋体" w:eastAsia="宋体" w:hAnsi="宋体" w:cs="Calibri"/>
                <w:sz w:val="22"/>
                <w:vertAlign w:val="superscript"/>
              </w:rPr>
              <w:t>®</w:t>
            </w:r>
            <w:r w:rsidRPr="00BA74AB">
              <w:rPr>
                <w:rFonts w:ascii="宋体" w:eastAsia="宋体" w:hAnsi="宋体" w:cs="Arial"/>
                <w:sz w:val="22"/>
              </w:rPr>
              <w:t>销售额增长75%，新患者市场份额不断增加。</w:t>
            </w:r>
            <w:proofErr w:type="gramStart"/>
            <w:r w:rsidRPr="00BA74AB">
              <w:rPr>
                <w:rFonts w:ascii="宋体" w:eastAsia="宋体" w:hAnsi="宋体" w:cs="Arial" w:hint="eastAsia"/>
                <w:sz w:val="22"/>
              </w:rPr>
              <w:t>百泽安</w:t>
            </w:r>
            <w:proofErr w:type="gramEnd"/>
            <w:r w:rsidRPr="00BA74AB">
              <w:rPr>
                <w:rFonts w:ascii="宋体" w:eastAsia="宋体" w:hAnsi="宋体" w:cs="Calibri"/>
                <w:sz w:val="22"/>
                <w:vertAlign w:val="superscript"/>
              </w:rPr>
              <w:t>®</w:t>
            </w:r>
            <w:r w:rsidRPr="00BA74AB">
              <w:rPr>
                <w:rFonts w:ascii="宋体" w:eastAsia="宋体" w:hAnsi="宋体" w:cs="Arial"/>
                <w:sz w:val="22"/>
              </w:rPr>
              <w:t>在德国、奥地利、西班牙、瑞士、挪威等国家成功</w:t>
            </w:r>
            <w:r w:rsidRPr="00BA74AB">
              <w:rPr>
                <w:rFonts w:ascii="宋体" w:eastAsia="宋体" w:hAnsi="宋体" w:cs="Arial" w:hint="eastAsia"/>
                <w:sz w:val="22"/>
              </w:rPr>
              <w:t>上市</w:t>
            </w:r>
            <w:r w:rsidRPr="00BA74AB">
              <w:rPr>
                <w:rFonts w:ascii="宋体" w:eastAsia="宋体" w:hAnsi="宋体" w:cs="Arial"/>
                <w:sz w:val="22"/>
              </w:rPr>
              <w:t>并获得报销，报销国家数量持续增加。此外，在世界其他地区，百悦泽</w:t>
            </w:r>
            <w:r w:rsidRPr="00BA74AB">
              <w:rPr>
                <w:rFonts w:ascii="宋体" w:eastAsia="宋体" w:hAnsi="宋体" w:cs="Calibri"/>
                <w:sz w:val="22"/>
                <w:vertAlign w:val="superscript"/>
              </w:rPr>
              <w:t>®</w:t>
            </w:r>
            <w:r w:rsidRPr="00BA74AB">
              <w:rPr>
                <w:rFonts w:ascii="宋体" w:eastAsia="宋体" w:hAnsi="宋体" w:cs="Arial" w:hint="eastAsia"/>
                <w:sz w:val="22"/>
              </w:rPr>
              <w:t>销售额</w:t>
            </w:r>
            <w:r w:rsidRPr="00BA74AB">
              <w:rPr>
                <w:rFonts w:ascii="宋体" w:eastAsia="宋体" w:hAnsi="宋体" w:cs="Arial"/>
                <w:sz w:val="22"/>
              </w:rPr>
              <w:t>增长146%，</w:t>
            </w:r>
            <w:r w:rsidRPr="00BA74AB">
              <w:rPr>
                <w:rFonts w:ascii="宋体" w:eastAsia="宋体" w:hAnsi="宋体" w:cs="Arial" w:hint="eastAsia"/>
                <w:sz w:val="22"/>
              </w:rPr>
              <w:t>并</w:t>
            </w:r>
            <w:r w:rsidRPr="00BA74AB">
              <w:rPr>
                <w:rFonts w:ascii="宋体" w:eastAsia="宋体" w:hAnsi="宋体" w:cs="Arial"/>
                <w:sz w:val="22"/>
              </w:rPr>
              <w:t>在日本成功上市；</w:t>
            </w:r>
            <w:proofErr w:type="gramStart"/>
            <w:r w:rsidRPr="00BA74AB">
              <w:rPr>
                <w:rFonts w:ascii="宋体" w:eastAsia="宋体" w:hAnsi="宋体" w:cs="Arial"/>
                <w:sz w:val="22"/>
              </w:rPr>
              <w:t>百泽安</w:t>
            </w:r>
            <w:proofErr w:type="gramEnd"/>
            <w:r w:rsidRPr="00BA74AB">
              <w:rPr>
                <w:rFonts w:ascii="宋体" w:eastAsia="宋体" w:hAnsi="宋体" w:cs="Calibri"/>
                <w:sz w:val="22"/>
                <w:vertAlign w:val="superscript"/>
              </w:rPr>
              <w:t>®</w:t>
            </w:r>
            <w:r w:rsidRPr="00BA74AB">
              <w:rPr>
                <w:rFonts w:ascii="宋体" w:eastAsia="宋体" w:hAnsi="宋体" w:cs="Arial"/>
                <w:sz w:val="22"/>
              </w:rPr>
              <w:t>在巴西、韩国、澳大利亚等多国获批</w:t>
            </w:r>
            <w:r w:rsidRPr="00BA74AB">
              <w:rPr>
                <w:rFonts w:ascii="宋体" w:eastAsia="宋体" w:hAnsi="宋体" w:cs="Arial" w:hint="eastAsia"/>
                <w:sz w:val="22"/>
              </w:rPr>
              <w:t>或纳入</w:t>
            </w:r>
            <w:r w:rsidRPr="00BA74AB">
              <w:rPr>
                <w:rFonts w:ascii="宋体" w:eastAsia="宋体" w:hAnsi="宋体" w:cs="Arial"/>
                <w:sz w:val="22"/>
              </w:rPr>
              <w:t>报销，进展显著。</w:t>
            </w:r>
          </w:p>
          <w:p w14:paraId="0262DF60" w14:textId="77777777" w:rsidR="00BA74AB" w:rsidRPr="00BA74AB" w:rsidRDefault="00BA74AB" w:rsidP="00BA74AB">
            <w:pPr>
              <w:spacing w:line="360" w:lineRule="auto"/>
              <w:rPr>
                <w:rFonts w:ascii="宋体" w:eastAsia="宋体" w:hAnsi="宋体" w:cs="Arial" w:hint="eastAsia"/>
                <w:sz w:val="22"/>
              </w:rPr>
            </w:pPr>
          </w:p>
          <w:p w14:paraId="26200A84" w14:textId="026DBC67" w:rsidR="00BA74AB" w:rsidRPr="00BA74AB" w:rsidRDefault="00BA74AB" w:rsidP="00BA74AB">
            <w:pPr>
              <w:spacing w:line="360" w:lineRule="auto"/>
              <w:rPr>
                <w:rFonts w:ascii="宋体" w:eastAsia="宋体" w:hAnsi="宋体" w:cs="Arial" w:hint="eastAsia"/>
                <w:b/>
                <w:bCs/>
                <w:sz w:val="22"/>
              </w:rPr>
            </w:pPr>
            <w:r w:rsidRPr="00BA74AB">
              <w:rPr>
                <w:rFonts w:ascii="宋体" w:eastAsia="宋体" w:hAnsi="宋体" w:cs="Arial"/>
                <w:b/>
                <w:bCs/>
                <w:sz w:val="22"/>
              </w:rPr>
              <w:t>Q</w:t>
            </w:r>
            <w:r>
              <w:rPr>
                <w:rFonts w:ascii="宋体" w:eastAsia="宋体" w:hAnsi="宋体" w:cs="Arial" w:hint="eastAsia"/>
                <w:b/>
                <w:bCs/>
                <w:sz w:val="22"/>
              </w:rPr>
              <w:t>18：</w:t>
            </w:r>
            <w:r w:rsidRPr="00BA74AB">
              <w:rPr>
                <w:rFonts w:ascii="宋体" w:eastAsia="宋体" w:hAnsi="宋体" w:cs="Arial"/>
                <w:b/>
                <w:bCs/>
                <w:sz w:val="22"/>
              </w:rPr>
              <w:t>随着</w:t>
            </w:r>
            <w:r w:rsidRPr="00BA74AB">
              <w:rPr>
                <w:rFonts w:ascii="宋体" w:eastAsia="宋体" w:hAnsi="宋体" w:cs="Arial" w:hint="eastAsia"/>
                <w:b/>
                <w:bCs/>
                <w:sz w:val="22"/>
              </w:rPr>
              <w:t>注册地迁往</w:t>
            </w:r>
            <w:r w:rsidRPr="00BA74AB">
              <w:rPr>
                <w:rFonts w:ascii="宋体" w:eastAsia="宋体" w:hAnsi="宋体" w:cs="Arial"/>
                <w:b/>
                <w:bCs/>
                <w:sz w:val="22"/>
              </w:rPr>
              <w:t>瑞士，公司</w:t>
            </w:r>
            <w:r w:rsidRPr="00BA74AB">
              <w:rPr>
                <w:rFonts w:ascii="宋体" w:eastAsia="宋体" w:hAnsi="宋体" w:cs="Arial" w:hint="eastAsia"/>
                <w:b/>
                <w:bCs/>
                <w:sz w:val="22"/>
              </w:rPr>
              <w:t>的研发团队布局有何规划?</w:t>
            </w:r>
          </w:p>
          <w:p w14:paraId="36403CFA" w14:textId="77777777" w:rsidR="00BA74AB" w:rsidRPr="00BA74AB" w:rsidRDefault="00BA74AB" w:rsidP="00BA74AB">
            <w:pPr>
              <w:spacing w:line="360" w:lineRule="auto"/>
              <w:ind w:firstLineChars="200" w:firstLine="440"/>
              <w:rPr>
                <w:rFonts w:ascii="宋体" w:eastAsia="宋体" w:hAnsi="宋体" w:cs="Arial" w:hint="eastAsia"/>
                <w:sz w:val="22"/>
              </w:rPr>
            </w:pPr>
            <w:r w:rsidRPr="00BA74AB">
              <w:rPr>
                <w:rFonts w:ascii="宋体" w:eastAsia="宋体" w:hAnsi="宋体" w:cs="Arial" w:hint="eastAsia"/>
                <w:sz w:val="22"/>
              </w:rPr>
              <w:t>公</w:t>
            </w:r>
            <w:r w:rsidRPr="00BA74AB">
              <w:rPr>
                <w:rFonts w:ascii="宋体" w:eastAsia="宋体" w:hAnsi="宋体" w:cs="Arial"/>
                <w:sz w:val="22"/>
              </w:rPr>
              <w:t>司秉持全球视野，致力于全球化发展。我们已在南非开展业务运营，并在圣卡洛斯（San Carlos）设立了办公室和研发中心，积极招募研发人才。这一进程是持续性</w:t>
            </w:r>
            <w:r w:rsidRPr="00BA74AB">
              <w:rPr>
                <w:rFonts w:ascii="宋体" w:eastAsia="宋体" w:hAnsi="宋体" w:cs="Arial" w:hint="eastAsia"/>
                <w:sz w:val="22"/>
              </w:rPr>
              <w:t>进行</w:t>
            </w:r>
            <w:r w:rsidRPr="00BA74AB">
              <w:rPr>
                <w:rFonts w:ascii="宋体" w:eastAsia="宋体" w:hAnsi="宋体" w:cs="Arial"/>
                <w:sz w:val="22"/>
              </w:rPr>
              <w:t>的，旨在通过全球合作推动研发创新、临床研究以及优质药物的供应，助力公司实现全球战略布局</w:t>
            </w:r>
            <w:r w:rsidRPr="00BA74AB">
              <w:rPr>
                <w:rFonts w:ascii="宋体" w:eastAsia="宋体" w:hAnsi="宋体" w:cs="Arial" w:hint="eastAsia"/>
                <w:sz w:val="22"/>
              </w:rPr>
              <w:t>。</w:t>
            </w:r>
          </w:p>
          <w:p w14:paraId="7C2D5E48" w14:textId="77777777" w:rsidR="00BA74AB" w:rsidRPr="005100C9" w:rsidRDefault="00BA74AB" w:rsidP="007531A5">
            <w:pPr>
              <w:spacing w:line="360" w:lineRule="auto"/>
              <w:rPr>
                <w:rFonts w:ascii="宋体" w:eastAsia="宋体" w:hAnsi="宋体" w:cs="Times New Roman" w:hint="eastAsia"/>
                <w:sz w:val="22"/>
              </w:rPr>
            </w:pPr>
          </w:p>
        </w:tc>
      </w:tr>
      <w:tr w:rsidR="005100C9" w:rsidRPr="005100C9" w14:paraId="15516B5D" w14:textId="77777777" w:rsidTr="33AE0707">
        <w:trPr>
          <w:jc w:val="center"/>
        </w:trPr>
        <w:tc>
          <w:tcPr>
            <w:tcW w:w="1526" w:type="dxa"/>
          </w:tcPr>
          <w:p w14:paraId="1852E71B" w14:textId="77777777" w:rsidR="005100C9" w:rsidRPr="005100C9" w:rsidRDefault="005100C9" w:rsidP="005100C9">
            <w:pPr>
              <w:adjustRightInd w:val="0"/>
              <w:spacing w:line="276"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lastRenderedPageBreak/>
              <w:t>附件清单（如有）</w:t>
            </w:r>
          </w:p>
        </w:tc>
        <w:tc>
          <w:tcPr>
            <w:tcW w:w="7238" w:type="dxa"/>
          </w:tcPr>
          <w:p w14:paraId="3F78B8AC"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无</w:t>
            </w:r>
          </w:p>
        </w:tc>
      </w:tr>
      <w:tr w:rsidR="005100C9" w:rsidRPr="005100C9" w14:paraId="3C9C3A25" w14:textId="77777777" w:rsidTr="33AE0707">
        <w:trPr>
          <w:jc w:val="center"/>
        </w:trPr>
        <w:tc>
          <w:tcPr>
            <w:tcW w:w="1526" w:type="dxa"/>
          </w:tcPr>
          <w:p w14:paraId="6F909032"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日期</w:t>
            </w:r>
          </w:p>
        </w:tc>
        <w:tc>
          <w:tcPr>
            <w:tcW w:w="7238" w:type="dxa"/>
          </w:tcPr>
          <w:p w14:paraId="17F8BDF6" w14:textId="77777777" w:rsidR="005100C9" w:rsidRPr="005100C9" w:rsidRDefault="005100C9" w:rsidP="005100C9">
            <w:pPr>
              <w:adjustRightInd w:val="0"/>
              <w:spacing w:line="360" w:lineRule="auto"/>
              <w:contextualSpacing/>
              <w:rPr>
                <w:rFonts w:ascii="Times New Roman" w:eastAsia="宋体" w:hAnsi="Times New Roman" w:cs="Times New Roman"/>
                <w:sz w:val="24"/>
                <w:szCs w:val="24"/>
                <w14:ligatures w14:val="none"/>
              </w:rPr>
            </w:pPr>
            <w:r w:rsidRPr="005100C9">
              <w:rPr>
                <w:rFonts w:ascii="Times New Roman" w:eastAsia="宋体" w:hAnsi="Times New Roman" w:cs="Times New Roman"/>
                <w:sz w:val="24"/>
                <w:szCs w:val="24"/>
                <w14:ligatures w14:val="none"/>
              </w:rPr>
              <w:t>202</w:t>
            </w:r>
            <w:r w:rsidRPr="005100C9">
              <w:rPr>
                <w:rFonts w:ascii="Times New Roman" w:eastAsia="宋体" w:hAnsi="Times New Roman" w:cs="Times New Roman" w:hint="eastAsia"/>
                <w:sz w:val="24"/>
                <w:szCs w:val="24"/>
                <w14:ligatures w14:val="none"/>
              </w:rPr>
              <w:t>5</w:t>
            </w:r>
            <w:r w:rsidRPr="005100C9">
              <w:rPr>
                <w:rFonts w:ascii="Times New Roman" w:eastAsia="宋体" w:hAnsi="Times New Roman" w:cs="Times New Roman"/>
                <w:sz w:val="24"/>
                <w:szCs w:val="24"/>
                <w14:ligatures w14:val="none"/>
              </w:rPr>
              <w:t>年</w:t>
            </w:r>
            <w:r w:rsidRPr="005100C9">
              <w:rPr>
                <w:rFonts w:ascii="Times New Roman" w:eastAsia="宋体" w:hAnsi="Times New Roman" w:cs="Times New Roman" w:hint="eastAsia"/>
                <w:sz w:val="24"/>
                <w:szCs w:val="24"/>
                <w14:ligatures w14:val="none"/>
              </w:rPr>
              <w:t>5</w:t>
            </w:r>
            <w:r w:rsidRPr="005100C9">
              <w:rPr>
                <w:rFonts w:ascii="Times New Roman" w:eastAsia="宋体" w:hAnsi="Times New Roman" w:cs="Times New Roman"/>
                <w:sz w:val="24"/>
                <w:szCs w:val="24"/>
                <w14:ligatures w14:val="none"/>
              </w:rPr>
              <w:t>月</w:t>
            </w:r>
            <w:r w:rsidRPr="005100C9">
              <w:rPr>
                <w:rFonts w:ascii="Times New Roman" w:eastAsia="宋体" w:hAnsi="Times New Roman" w:cs="Times New Roman" w:hint="eastAsia"/>
                <w:sz w:val="24"/>
                <w:szCs w:val="24"/>
                <w14:ligatures w14:val="none"/>
              </w:rPr>
              <w:t>7</w:t>
            </w:r>
            <w:r w:rsidRPr="005100C9">
              <w:rPr>
                <w:rFonts w:ascii="Times New Roman" w:eastAsia="宋体" w:hAnsi="Times New Roman" w:cs="Times New Roman"/>
                <w:sz w:val="24"/>
                <w:szCs w:val="24"/>
                <w14:ligatures w14:val="none"/>
              </w:rPr>
              <w:t>日</w:t>
            </w:r>
          </w:p>
        </w:tc>
      </w:tr>
    </w:tbl>
    <w:p w14:paraId="506F649F" w14:textId="77777777" w:rsidR="005100C9" w:rsidRPr="005100C9" w:rsidRDefault="005100C9" w:rsidP="005100C9">
      <w:pPr>
        <w:adjustRightInd w:val="0"/>
        <w:spacing w:line="360" w:lineRule="auto"/>
        <w:contextualSpacing/>
        <w:jc w:val="left"/>
        <w:rPr>
          <w:rFonts w:ascii="Times New Roman" w:eastAsia="宋体" w:hAnsi="Times New Roman" w:cs="Times New Roman"/>
          <w:sz w:val="24"/>
          <w:szCs w:val="24"/>
          <w14:ligatures w14:val="none"/>
        </w:rPr>
      </w:pPr>
    </w:p>
    <w:p w14:paraId="3D95BE4B" w14:textId="788627BE" w:rsidR="000E3E53" w:rsidRDefault="000E3E53" w:rsidP="002C6693">
      <w:pPr>
        <w:widowControl/>
        <w:spacing w:after="160" w:line="259" w:lineRule="auto"/>
        <w:ind w:firstLineChars="200" w:firstLine="420"/>
        <w:contextualSpacing/>
        <w:jc w:val="left"/>
        <w:rPr>
          <w:rFonts w:eastAsiaTheme="minorHAnsi" w:hint="eastAsia"/>
        </w:rPr>
      </w:pPr>
    </w:p>
    <w:sectPr w:rsidR="000E3E53" w:rsidSect="000A313C">
      <w:pgSz w:w="11906" w:h="16838"/>
      <w:pgMar w:top="1440" w:right="1559"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618F" w14:textId="77777777" w:rsidR="001656F6" w:rsidRDefault="001656F6" w:rsidP="00045FAD">
      <w:pPr>
        <w:rPr>
          <w:rFonts w:hint="eastAsia"/>
        </w:rPr>
      </w:pPr>
      <w:r>
        <w:separator/>
      </w:r>
    </w:p>
  </w:endnote>
  <w:endnote w:type="continuationSeparator" w:id="0">
    <w:p w14:paraId="122501B1" w14:textId="77777777" w:rsidR="001656F6" w:rsidRDefault="001656F6" w:rsidP="00045FAD">
      <w:pPr>
        <w:rPr>
          <w:rFonts w:hint="eastAsia"/>
        </w:rPr>
      </w:pPr>
      <w:r>
        <w:continuationSeparator/>
      </w:r>
    </w:p>
  </w:endnote>
  <w:endnote w:type="continuationNotice" w:id="1">
    <w:p w14:paraId="1971D010" w14:textId="77777777" w:rsidR="001656F6" w:rsidRDefault="001656F6">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A157" w14:textId="77777777" w:rsidR="001656F6" w:rsidRDefault="001656F6" w:rsidP="00045FAD">
      <w:pPr>
        <w:rPr>
          <w:rFonts w:hint="eastAsia"/>
        </w:rPr>
      </w:pPr>
      <w:r>
        <w:separator/>
      </w:r>
    </w:p>
  </w:footnote>
  <w:footnote w:type="continuationSeparator" w:id="0">
    <w:p w14:paraId="6D1A48B1" w14:textId="77777777" w:rsidR="001656F6" w:rsidRDefault="001656F6" w:rsidP="00045FAD">
      <w:pPr>
        <w:rPr>
          <w:rFonts w:hint="eastAsia"/>
        </w:rPr>
      </w:pPr>
      <w:r>
        <w:continuationSeparator/>
      </w:r>
    </w:p>
  </w:footnote>
  <w:footnote w:type="continuationNotice" w:id="1">
    <w:p w14:paraId="1DB1CD7B" w14:textId="77777777" w:rsidR="001656F6" w:rsidRDefault="001656F6">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E486E"/>
    <w:multiLevelType w:val="hybridMultilevel"/>
    <w:tmpl w:val="0CEE4B4C"/>
    <w:lvl w:ilvl="0" w:tplc="DCD43EEA">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EB2216"/>
    <w:multiLevelType w:val="hybridMultilevel"/>
    <w:tmpl w:val="BEFA2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011326">
    <w:abstractNumId w:val="0"/>
  </w:num>
  <w:num w:numId="2" w16cid:durableId="1571889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25"/>
    <w:rsid w:val="00000A60"/>
    <w:rsid w:val="0000112E"/>
    <w:rsid w:val="00001ABC"/>
    <w:rsid w:val="00002CF9"/>
    <w:rsid w:val="00010A37"/>
    <w:rsid w:val="00010E4D"/>
    <w:rsid w:val="00010FF9"/>
    <w:rsid w:val="00011D93"/>
    <w:rsid w:val="0001368F"/>
    <w:rsid w:val="000141B0"/>
    <w:rsid w:val="00014292"/>
    <w:rsid w:val="00014C56"/>
    <w:rsid w:val="00015CA8"/>
    <w:rsid w:val="00015DE3"/>
    <w:rsid w:val="00017201"/>
    <w:rsid w:val="00021725"/>
    <w:rsid w:val="00022440"/>
    <w:rsid w:val="00023337"/>
    <w:rsid w:val="000234DB"/>
    <w:rsid w:val="000238B2"/>
    <w:rsid w:val="00024D92"/>
    <w:rsid w:val="00025FD1"/>
    <w:rsid w:val="0002614F"/>
    <w:rsid w:val="00027809"/>
    <w:rsid w:val="000338E7"/>
    <w:rsid w:val="00033976"/>
    <w:rsid w:val="00033BBC"/>
    <w:rsid w:val="00034701"/>
    <w:rsid w:val="0003723E"/>
    <w:rsid w:val="0004051C"/>
    <w:rsid w:val="000410D6"/>
    <w:rsid w:val="000411AA"/>
    <w:rsid w:val="0004468A"/>
    <w:rsid w:val="000447E8"/>
    <w:rsid w:val="000448CC"/>
    <w:rsid w:val="00045FAD"/>
    <w:rsid w:val="00047149"/>
    <w:rsid w:val="00047691"/>
    <w:rsid w:val="000500A7"/>
    <w:rsid w:val="000510A4"/>
    <w:rsid w:val="00052E92"/>
    <w:rsid w:val="00053A1A"/>
    <w:rsid w:val="0005453F"/>
    <w:rsid w:val="00054587"/>
    <w:rsid w:val="00054766"/>
    <w:rsid w:val="00056545"/>
    <w:rsid w:val="000567C1"/>
    <w:rsid w:val="00056CFE"/>
    <w:rsid w:val="00057E5E"/>
    <w:rsid w:val="00060093"/>
    <w:rsid w:val="00060BA5"/>
    <w:rsid w:val="00062608"/>
    <w:rsid w:val="00063FAD"/>
    <w:rsid w:val="00065840"/>
    <w:rsid w:val="00066B83"/>
    <w:rsid w:val="000677AF"/>
    <w:rsid w:val="00067F80"/>
    <w:rsid w:val="000703A6"/>
    <w:rsid w:val="0007148D"/>
    <w:rsid w:val="0007168F"/>
    <w:rsid w:val="00072231"/>
    <w:rsid w:val="000730F8"/>
    <w:rsid w:val="000741AE"/>
    <w:rsid w:val="00074B16"/>
    <w:rsid w:val="0007562B"/>
    <w:rsid w:val="00075853"/>
    <w:rsid w:val="0007596B"/>
    <w:rsid w:val="000764F8"/>
    <w:rsid w:val="0008028B"/>
    <w:rsid w:val="00080858"/>
    <w:rsid w:val="00081638"/>
    <w:rsid w:val="000817CD"/>
    <w:rsid w:val="000826A7"/>
    <w:rsid w:val="00082C54"/>
    <w:rsid w:val="00082E64"/>
    <w:rsid w:val="00084382"/>
    <w:rsid w:val="00086206"/>
    <w:rsid w:val="000868DF"/>
    <w:rsid w:val="00086B2B"/>
    <w:rsid w:val="00086DDF"/>
    <w:rsid w:val="000874A4"/>
    <w:rsid w:val="000878A8"/>
    <w:rsid w:val="000901E5"/>
    <w:rsid w:val="00090398"/>
    <w:rsid w:val="00091733"/>
    <w:rsid w:val="00091EA3"/>
    <w:rsid w:val="0009358F"/>
    <w:rsid w:val="000938CB"/>
    <w:rsid w:val="000971E1"/>
    <w:rsid w:val="000A2FE4"/>
    <w:rsid w:val="000A313C"/>
    <w:rsid w:val="000A3B16"/>
    <w:rsid w:val="000A4EA5"/>
    <w:rsid w:val="000A577D"/>
    <w:rsid w:val="000A6007"/>
    <w:rsid w:val="000A6FD1"/>
    <w:rsid w:val="000B36CE"/>
    <w:rsid w:val="000B5776"/>
    <w:rsid w:val="000B5A12"/>
    <w:rsid w:val="000B5E64"/>
    <w:rsid w:val="000B751D"/>
    <w:rsid w:val="000B7D9F"/>
    <w:rsid w:val="000C0EEF"/>
    <w:rsid w:val="000C3C0E"/>
    <w:rsid w:val="000C4A20"/>
    <w:rsid w:val="000C4BA2"/>
    <w:rsid w:val="000C5A84"/>
    <w:rsid w:val="000C617C"/>
    <w:rsid w:val="000C7822"/>
    <w:rsid w:val="000C7FCA"/>
    <w:rsid w:val="000D03E7"/>
    <w:rsid w:val="000D12D8"/>
    <w:rsid w:val="000D1C89"/>
    <w:rsid w:val="000D34A8"/>
    <w:rsid w:val="000D3BCC"/>
    <w:rsid w:val="000D4522"/>
    <w:rsid w:val="000D55F9"/>
    <w:rsid w:val="000D65A7"/>
    <w:rsid w:val="000E02A2"/>
    <w:rsid w:val="000E297B"/>
    <w:rsid w:val="000E315E"/>
    <w:rsid w:val="000E34B6"/>
    <w:rsid w:val="000E3686"/>
    <w:rsid w:val="000E3E53"/>
    <w:rsid w:val="000E7310"/>
    <w:rsid w:val="000F0A2C"/>
    <w:rsid w:val="000F0C50"/>
    <w:rsid w:val="000F133B"/>
    <w:rsid w:val="000F1672"/>
    <w:rsid w:val="000F1714"/>
    <w:rsid w:val="000F1725"/>
    <w:rsid w:val="000F2B59"/>
    <w:rsid w:val="000F3F32"/>
    <w:rsid w:val="000F596B"/>
    <w:rsid w:val="000F621C"/>
    <w:rsid w:val="000F69A0"/>
    <w:rsid w:val="000F7A01"/>
    <w:rsid w:val="000F7D63"/>
    <w:rsid w:val="0010026E"/>
    <w:rsid w:val="001006CB"/>
    <w:rsid w:val="0010153A"/>
    <w:rsid w:val="0010278B"/>
    <w:rsid w:val="0010412E"/>
    <w:rsid w:val="00105B21"/>
    <w:rsid w:val="0010633A"/>
    <w:rsid w:val="00107A3A"/>
    <w:rsid w:val="0011126C"/>
    <w:rsid w:val="001112E1"/>
    <w:rsid w:val="00111422"/>
    <w:rsid w:val="00112A47"/>
    <w:rsid w:val="001130D7"/>
    <w:rsid w:val="0011425E"/>
    <w:rsid w:val="00115617"/>
    <w:rsid w:val="00116A5F"/>
    <w:rsid w:val="00116FDB"/>
    <w:rsid w:val="001201EB"/>
    <w:rsid w:val="00120764"/>
    <w:rsid w:val="00121A1C"/>
    <w:rsid w:val="001220CC"/>
    <w:rsid w:val="00123C63"/>
    <w:rsid w:val="001245AA"/>
    <w:rsid w:val="00124BCB"/>
    <w:rsid w:val="00124D81"/>
    <w:rsid w:val="00125E5C"/>
    <w:rsid w:val="00126DB9"/>
    <w:rsid w:val="0013088E"/>
    <w:rsid w:val="00131770"/>
    <w:rsid w:val="00133D16"/>
    <w:rsid w:val="00135C87"/>
    <w:rsid w:val="001375A4"/>
    <w:rsid w:val="00140EB3"/>
    <w:rsid w:val="00140F99"/>
    <w:rsid w:val="00141F83"/>
    <w:rsid w:val="001421AB"/>
    <w:rsid w:val="001421E1"/>
    <w:rsid w:val="0014238B"/>
    <w:rsid w:val="001424E1"/>
    <w:rsid w:val="001428D8"/>
    <w:rsid w:val="001450BC"/>
    <w:rsid w:val="0014577C"/>
    <w:rsid w:val="001468AF"/>
    <w:rsid w:val="001472CE"/>
    <w:rsid w:val="00150187"/>
    <w:rsid w:val="00151063"/>
    <w:rsid w:val="0015126B"/>
    <w:rsid w:val="00153685"/>
    <w:rsid w:val="00153899"/>
    <w:rsid w:val="001540AC"/>
    <w:rsid w:val="00154B66"/>
    <w:rsid w:val="00155D09"/>
    <w:rsid w:val="001604EA"/>
    <w:rsid w:val="00164AC8"/>
    <w:rsid w:val="001656F6"/>
    <w:rsid w:val="00165FB9"/>
    <w:rsid w:val="00166658"/>
    <w:rsid w:val="0016734A"/>
    <w:rsid w:val="00167CE7"/>
    <w:rsid w:val="0017072B"/>
    <w:rsid w:val="001728C5"/>
    <w:rsid w:val="001731FE"/>
    <w:rsid w:val="00173852"/>
    <w:rsid w:val="001744E2"/>
    <w:rsid w:val="00175444"/>
    <w:rsid w:val="001807A2"/>
    <w:rsid w:val="00181363"/>
    <w:rsid w:val="001854FD"/>
    <w:rsid w:val="0018555A"/>
    <w:rsid w:val="00186C67"/>
    <w:rsid w:val="001875AE"/>
    <w:rsid w:val="001876E5"/>
    <w:rsid w:val="0018797E"/>
    <w:rsid w:val="00187CF4"/>
    <w:rsid w:val="00190B72"/>
    <w:rsid w:val="00190CAF"/>
    <w:rsid w:val="00190DC9"/>
    <w:rsid w:val="00190E9E"/>
    <w:rsid w:val="001945D9"/>
    <w:rsid w:val="00197C4A"/>
    <w:rsid w:val="001A3AFB"/>
    <w:rsid w:val="001A4391"/>
    <w:rsid w:val="001A446C"/>
    <w:rsid w:val="001A6A36"/>
    <w:rsid w:val="001A7ADC"/>
    <w:rsid w:val="001B0457"/>
    <w:rsid w:val="001B076B"/>
    <w:rsid w:val="001B286A"/>
    <w:rsid w:val="001B2CC6"/>
    <w:rsid w:val="001B33F9"/>
    <w:rsid w:val="001B3938"/>
    <w:rsid w:val="001B6724"/>
    <w:rsid w:val="001B697A"/>
    <w:rsid w:val="001B782E"/>
    <w:rsid w:val="001C1812"/>
    <w:rsid w:val="001C1E75"/>
    <w:rsid w:val="001C4693"/>
    <w:rsid w:val="001C73A1"/>
    <w:rsid w:val="001C7A77"/>
    <w:rsid w:val="001D03B7"/>
    <w:rsid w:val="001D0C1C"/>
    <w:rsid w:val="001D0C9C"/>
    <w:rsid w:val="001D0FF5"/>
    <w:rsid w:val="001D1197"/>
    <w:rsid w:val="001D4D90"/>
    <w:rsid w:val="001D4DB1"/>
    <w:rsid w:val="001D5D03"/>
    <w:rsid w:val="001D5F5D"/>
    <w:rsid w:val="001D643B"/>
    <w:rsid w:val="001D69C9"/>
    <w:rsid w:val="001D6BDD"/>
    <w:rsid w:val="001D6EC2"/>
    <w:rsid w:val="001E0665"/>
    <w:rsid w:val="001E2747"/>
    <w:rsid w:val="001E2E76"/>
    <w:rsid w:val="001E341B"/>
    <w:rsid w:val="001E38F8"/>
    <w:rsid w:val="001E5476"/>
    <w:rsid w:val="001E5949"/>
    <w:rsid w:val="001E64E0"/>
    <w:rsid w:val="001E6BF6"/>
    <w:rsid w:val="001E79FB"/>
    <w:rsid w:val="001F252C"/>
    <w:rsid w:val="001F405A"/>
    <w:rsid w:val="001F4809"/>
    <w:rsid w:val="001F5C68"/>
    <w:rsid w:val="001F5CDE"/>
    <w:rsid w:val="001F61C9"/>
    <w:rsid w:val="001F64D2"/>
    <w:rsid w:val="00200A17"/>
    <w:rsid w:val="00201454"/>
    <w:rsid w:val="0020186A"/>
    <w:rsid w:val="0020235C"/>
    <w:rsid w:val="00202BA3"/>
    <w:rsid w:val="002032BA"/>
    <w:rsid w:val="0020330C"/>
    <w:rsid w:val="0020429F"/>
    <w:rsid w:val="0020507C"/>
    <w:rsid w:val="00205521"/>
    <w:rsid w:val="00205FD9"/>
    <w:rsid w:val="0020618D"/>
    <w:rsid w:val="00206B01"/>
    <w:rsid w:val="002070A8"/>
    <w:rsid w:val="002104FB"/>
    <w:rsid w:val="0021151C"/>
    <w:rsid w:val="002118B3"/>
    <w:rsid w:val="00212631"/>
    <w:rsid w:val="00215A0E"/>
    <w:rsid w:val="00215C6A"/>
    <w:rsid w:val="002164F6"/>
    <w:rsid w:val="00216E67"/>
    <w:rsid w:val="0021742D"/>
    <w:rsid w:val="00221AE9"/>
    <w:rsid w:val="002221DF"/>
    <w:rsid w:val="002227AB"/>
    <w:rsid w:val="00222D88"/>
    <w:rsid w:val="002236D4"/>
    <w:rsid w:val="00223BB0"/>
    <w:rsid w:val="002240A6"/>
    <w:rsid w:val="00226469"/>
    <w:rsid w:val="002276C6"/>
    <w:rsid w:val="00230E7D"/>
    <w:rsid w:val="00231345"/>
    <w:rsid w:val="00231559"/>
    <w:rsid w:val="002325D0"/>
    <w:rsid w:val="00240932"/>
    <w:rsid w:val="002418FD"/>
    <w:rsid w:val="00242A49"/>
    <w:rsid w:val="00243AF7"/>
    <w:rsid w:val="00243F47"/>
    <w:rsid w:val="002441C0"/>
    <w:rsid w:val="0024432F"/>
    <w:rsid w:val="002472C2"/>
    <w:rsid w:val="002479EC"/>
    <w:rsid w:val="00247C06"/>
    <w:rsid w:val="00247D11"/>
    <w:rsid w:val="002528FE"/>
    <w:rsid w:val="00252C8D"/>
    <w:rsid w:val="0025306E"/>
    <w:rsid w:val="00253915"/>
    <w:rsid w:val="00253E79"/>
    <w:rsid w:val="00255113"/>
    <w:rsid w:val="0025571A"/>
    <w:rsid w:val="00255F12"/>
    <w:rsid w:val="00257F92"/>
    <w:rsid w:val="00264F97"/>
    <w:rsid w:val="002650B6"/>
    <w:rsid w:val="00265554"/>
    <w:rsid w:val="00267BB9"/>
    <w:rsid w:val="00270838"/>
    <w:rsid w:val="002730F6"/>
    <w:rsid w:val="00273180"/>
    <w:rsid w:val="00274FA8"/>
    <w:rsid w:val="00276821"/>
    <w:rsid w:val="00280626"/>
    <w:rsid w:val="00281526"/>
    <w:rsid w:val="002815D9"/>
    <w:rsid w:val="00281675"/>
    <w:rsid w:val="0028186E"/>
    <w:rsid w:val="00281AAF"/>
    <w:rsid w:val="002824E5"/>
    <w:rsid w:val="002840A7"/>
    <w:rsid w:val="002843B9"/>
    <w:rsid w:val="00284522"/>
    <w:rsid w:val="00285E8C"/>
    <w:rsid w:val="002879CF"/>
    <w:rsid w:val="00290785"/>
    <w:rsid w:val="00290C2A"/>
    <w:rsid w:val="002910EF"/>
    <w:rsid w:val="00291D55"/>
    <w:rsid w:val="00293818"/>
    <w:rsid w:val="00293D66"/>
    <w:rsid w:val="00296305"/>
    <w:rsid w:val="00297B7F"/>
    <w:rsid w:val="002A0FE1"/>
    <w:rsid w:val="002A2B4C"/>
    <w:rsid w:val="002A558E"/>
    <w:rsid w:val="002A5659"/>
    <w:rsid w:val="002A5DCE"/>
    <w:rsid w:val="002A6D21"/>
    <w:rsid w:val="002B0175"/>
    <w:rsid w:val="002B0E5E"/>
    <w:rsid w:val="002B0EE0"/>
    <w:rsid w:val="002B2664"/>
    <w:rsid w:val="002B2E34"/>
    <w:rsid w:val="002B3AFA"/>
    <w:rsid w:val="002C0C76"/>
    <w:rsid w:val="002C0E34"/>
    <w:rsid w:val="002C16FD"/>
    <w:rsid w:val="002C268D"/>
    <w:rsid w:val="002C2BB3"/>
    <w:rsid w:val="002C2C03"/>
    <w:rsid w:val="002C4D22"/>
    <w:rsid w:val="002C524D"/>
    <w:rsid w:val="002C5771"/>
    <w:rsid w:val="002C6693"/>
    <w:rsid w:val="002C67F5"/>
    <w:rsid w:val="002D1480"/>
    <w:rsid w:val="002D1908"/>
    <w:rsid w:val="002D1B2A"/>
    <w:rsid w:val="002D26A0"/>
    <w:rsid w:val="002D3422"/>
    <w:rsid w:val="002D4FDC"/>
    <w:rsid w:val="002D5259"/>
    <w:rsid w:val="002D59A9"/>
    <w:rsid w:val="002D6724"/>
    <w:rsid w:val="002D79BD"/>
    <w:rsid w:val="002D7C54"/>
    <w:rsid w:val="002E03C0"/>
    <w:rsid w:val="002E05D1"/>
    <w:rsid w:val="002E0F39"/>
    <w:rsid w:val="002E10C0"/>
    <w:rsid w:val="002E1473"/>
    <w:rsid w:val="002E190D"/>
    <w:rsid w:val="002E1B8B"/>
    <w:rsid w:val="002E49AA"/>
    <w:rsid w:val="002E4BF2"/>
    <w:rsid w:val="002E55D2"/>
    <w:rsid w:val="002F029C"/>
    <w:rsid w:val="002F09D0"/>
    <w:rsid w:val="002F0B97"/>
    <w:rsid w:val="002F1618"/>
    <w:rsid w:val="002F2F65"/>
    <w:rsid w:val="002F3198"/>
    <w:rsid w:val="002F3693"/>
    <w:rsid w:val="002F47A2"/>
    <w:rsid w:val="002F487A"/>
    <w:rsid w:val="002F4D6F"/>
    <w:rsid w:val="002F503D"/>
    <w:rsid w:val="002F643B"/>
    <w:rsid w:val="002F6459"/>
    <w:rsid w:val="002F6A39"/>
    <w:rsid w:val="002F7760"/>
    <w:rsid w:val="00302533"/>
    <w:rsid w:val="00302DB1"/>
    <w:rsid w:val="00304C84"/>
    <w:rsid w:val="003062FC"/>
    <w:rsid w:val="00307C4C"/>
    <w:rsid w:val="00310439"/>
    <w:rsid w:val="0031218E"/>
    <w:rsid w:val="00312483"/>
    <w:rsid w:val="00312735"/>
    <w:rsid w:val="003137A5"/>
    <w:rsid w:val="00316D08"/>
    <w:rsid w:val="00317C3D"/>
    <w:rsid w:val="00320210"/>
    <w:rsid w:val="00320FD5"/>
    <w:rsid w:val="00321996"/>
    <w:rsid w:val="00322202"/>
    <w:rsid w:val="00323AF1"/>
    <w:rsid w:val="00324469"/>
    <w:rsid w:val="00327456"/>
    <w:rsid w:val="003275C4"/>
    <w:rsid w:val="0032784C"/>
    <w:rsid w:val="003327B0"/>
    <w:rsid w:val="00332E0A"/>
    <w:rsid w:val="003345BA"/>
    <w:rsid w:val="00340617"/>
    <w:rsid w:val="00340F61"/>
    <w:rsid w:val="00343CA3"/>
    <w:rsid w:val="00345536"/>
    <w:rsid w:val="00345C33"/>
    <w:rsid w:val="00346B5E"/>
    <w:rsid w:val="00347A73"/>
    <w:rsid w:val="00347C37"/>
    <w:rsid w:val="00350EAB"/>
    <w:rsid w:val="003513EA"/>
    <w:rsid w:val="003521D4"/>
    <w:rsid w:val="00352A24"/>
    <w:rsid w:val="003532D5"/>
    <w:rsid w:val="003536ED"/>
    <w:rsid w:val="00354E1D"/>
    <w:rsid w:val="0035596B"/>
    <w:rsid w:val="003571D2"/>
    <w:rsid w:val="0035745C"/>
    <w:rsid w:val="00361C6B"/>
    <w:rsid w:val="00362716"/>
    <w:rsid w:val="00362904"/>
    <w:rsid w:val="0036386C"/>
    <w:rsid w:val="00364806"/>
    <w:rsid w:val="003648E2"/>
    <w:rsid w:val="00365233"/>
    <w:rsid w:val="003700F3"/>
    <w:rsid w:val="0037110C"/>
    <w:rsid w:val="003714A7"/>
    <w:rsid w:val="00372AB4"/>
    <w:rsid w:val="00372B4B"/>
    <w:rsid w:val="00373998"/>
    <w:rsid w:val="00374030"/>
    <w:rsid w:val="003741C7"/>
    <w:rsid w:val="003743E3"/>
    <w:rsid w:val="00374B87"/>
    <w:rsid w:val="00375610"/>
    <w:rsid w:val="00376A56"/>
    <w:rsid w:val="0038066F"/>
    <w:rsid w:val="00383E14"/>
    <w:rsid w:val="00385F64"/>
    <w:rsid w:val="00386548"/>
    <w:rsid w:val="003868F2"/>
    <w:rsid w:val="00390B21"/>
    <w:rsid w:val="00390E6D"/>
    <w:rsid w:val="00391DAC"/>
    <w:rsid w:val="00397A76"/>
    <w:rsid w:val="00397D8E"/>
    <w:rsid w:val="003A061F"/>
    <w:rsid w:val="003A11CD"/>
    <w:rsid w:val="003A4B49"/>
    <w:rsid w:val="003A50CF"/>
    <w:rsid w:val="003A7D74"/>
    <w:rsid w:val="003B0850"/>
    <w:rsid w:val="003B0FBF"/>
    <w:rsid w:val="003B2EB9"/>
    <w:rsid w:val="003B4400"/>
    <w:rsid w:val="003B58C3"/>
    <w:rsid w:val="003B6F7C"/>
    <w:rsid w:val="003B7049"/>
    <w:rsid w:val="003B7923"/>
    <w:rsid w:val="003C1050"/>
    <w:rsid w:val="003C155E"/>
    <w:rsid w:val="003C1965"/>
    <w:rsid w:val="003C39F5"/>
    <w:rsid w:val="003C4394"/>
    <w:rsid w:val="003C4E41"/>
    <w:rsid w:val="003C507F"/>
    <w:rsid w:val="003C5D54"/>
    <w:rsid w:val="003C6FED"/>
    <w:rsid w:val="003D01B5"/>
    <w:rsid w:val="003D09A3"/>
    <w:rsid w:val="003D0E68"/>
    <w:rsid w:val="003D1D43"/>
    <w:rsid w:val="003D23F1"/>
    <w:rsid w:val="003D33EC"/>
    <w:rsid w:val="003D4AC0"/>
    <w:rsid w:val="003D54E3"/>
    <w:rsid w:val="003D57BB"/>
    <w:rsid w:val="003D5EE9"/>
    <w:rsid w:val="003D6637"/>
    <w:rsid w:val="003D6744"/>
    <w:rsid w:val="003D696F"/>
    <w:rsid w:val="003D7591"/>
    <w:rsid w:val="003D7E62"/>
    <w:rsid w:val="003E3FAD"/>
    <w:rsid w:val="003E429E"/>
    <w:rsid w:val="003E472D"/>
    <w:rsid w:val="003E5A8F"/>
    <w:rsid w:val="003E6063"/>
    <w:rsid w:val="003E7A3D"/>
    <w:rsid w:val="003F0549"/>
    <w:rsid w:val="003F2136"/>
    <w:rsid w:val="003F21A4"/>
    <w:rsid w:val="003F32AF"/>
    <w:rsid w:val="003F3642"/>
    <w:rsid w:val="003F36AD"/>
    <w:rsid w:val="003F3EB0"/>
    <w:rsid w:val="003F413F"/>
    <w:rsid w:val="003F700A"/>
    <w:rsid w:val="00400F84"/>
    <w:rsid w:val="00400FC2"/>
    <w:rsid w:val="0040121E"/>
    <w:rsid w:val="00401312"/>
    <w:rsid w:val="004016B5"/>
    <w:rsid w:val="004029CF"/>
    <w:rsid w:val="00403428"/>
    <w:rsid w:val="00403C09"/>
    <w:rsid w:val="00403FDF"/>
    <w:rsid w:val="00406A2C"/>
    <w:rsid w:val="00407385"/>
    <w:rsid w:val="00407601"/>
    <w:rsid w:val="0041128F"/>
    <w:rsid w:val="00411B6D"/>
    <w:rsid w:val="00412B7E"/>
    <w:rsid w:val="00413FBB"/>
    <w:rsid w:val="00413FCA"/>
    <w:rsid w:val="0041536E"/>
    <w:rsid w:val="004161BC"/>
    <w:rsid w:val="0042029D"/>
    <w:rsid w:val="004203EB"/>
    <w:rsid w:val="0042064C"/>
    <w:rsid w:val="004209D6"/>
    <w:rsid w:val="00421264"/>
    <w:rsid w:val="00426FE7"/>
    <w:rsid w:val="004301DB"/>
    <w:rsid w:val="004314D5"/>
    <w:rsid w:val="0043174B"/>
    <w:rsid w:val="00432096"/>
    <w:rsid w:val="00432602"/>
    <w:rsid w:val="00432A80"/>
    <w:rsid w:val="00432BB4"/>
    <w:rsid w:val="00432D14"/>
    <w:rsid w:val="004342B8"/>
    <w:rsid w:val="00434BF9"/>
    <w:rsid w:val="004359AB"/>
    <w:rsid w:val="00436D37"/>
    <w:rsid w:val="004378A2"/>
    <w:rsid w:val="00440129"/>
    <w:rsid w:val="004401EE"/>
    <w:rsid w:val="00441200"/>
    <w:rsid w:val="004421B1"/>
    <w:rsid w:val="004446D6"/>
    <w:rsid w:val="00447095"/>
    <w:rsid w:val="00447681"/>
    <w:rsid w:val="004514ED"/>
    <w:rsid w:val="00451881"/>
    <w:rsid w:val="00451F30"/>
    <w:rsid w:val="004524BE"/>
    <w:rsid w:val="00453FE8"/>
    <w:rsid w:val="00454F75"/>
    <w:rsid w:val="00455FB6"/>
    <w:rsid w:val="00461AB8"/>
    <w:rsid w:val="0046234C"/>
    <w:rsid w:val="00463367"/>
    <w:rsid w:val="00464EAD"/>
    <w:rsid w:val="00465176"/>
    <w:rsid w:val="00471051"/>
    <w:rsid w:val="004721EC"/>
    <w:rsid w:val="0047676A"/>
    <w:rsid w:val="00476B86"/>
    <w:rsid w:val="00477641"/>
    <w:rsid w:val="004807D2"/>
    <w:rsid w:val="00481D1C"/>
    <w:rsid w:val="00482640"/>
    <w:rsid w:val="004847FA"/>
    <w:rsid w:val="00485027"/>
    <w:rsid w:val="004867C3"/>
    <w:rsid w:val="00486B7F"/>
    <w:rsid w:val="004902C8"/>
    <w:rsid w:val="00491C3A"/>
    <w:rsid w:val="00492FE4"/>
    <w:rsid w:val="004939F4"/>
    <w:rsid w:val="0049482C"/>
    <w:rsid w:val="00494F19"/>
    <w:rsid w:val="00495F47"/>
    <w:rsid w:val="0049601B"/>
    <w:rsid w:val="0049654E"/>
    <w:rsid w:val="004973C2"/>
    <w:rsid w:val="004A03ED"/>
    <w:rsid w:val="004A0A20"/>
    <w:rsid w:val="004A0C8A"/>
    <w:rsid w:val="004A26A2"/>
    <w:rsid w:val="004A385F"/>
    <w:rsid w:val="004A599C"/>
    <w:rsid w:val="004A6258"/>
    <w:rsid w:val="004A6D55"/>
    <w:rsid w:val="004B08D0"/>
    <w:rsid w:val="004B0DF1"/>
    <w:rsid w:val="004B121E"/>
    <w:rsid w:val="004B2DE9"/>
    <w:rsid w:val="004C0427"/>
    <w:rsid w:val="004C0BAD"/>
    <w:rsid w:val="004C1700"/>
    <w:rsid w:val="004C466C"/>
    <w:rsid w:val="004C4B42"/>
    <w:rsid w:val="004C52D2"/>
    <w:rsid w:val="004C5D8F"/>
    <w:rsid w:val="004C62DE"/>
    <w:rsid w:val="004D153F"/>
    <w:rsid w:val="004D545C"/>
    <w:rsid w:val="004D555A"/>
    <w:rsid w:val="004D5FA9"/>
    <w:rsid w:val="004D654C"/>
    <w:rsid w:val="004E045D"/>
    <w:rsid w:val="004E3B96"/>
    <w:rsid w:val="004E4D2C"/>
    <w:rsid w:val="004E5EDB"/>
    <w:rsid w:val="004E6A3D"/>
    <w:rsid w:val="004E799E"/>
    <w:rsid w:val="004F0659"/>
    <w:rsid w:val="004F07B1"/>
    <w:rsid w:val="004F4919"/>
    <w:rsid w:val="004F4FF7"/>
    <w:rsid w:val="004F5C49"/>
    <w:rsid w:val="004F6426"/>
    <w:rsid w:val="004F752B"/>
    <w:rsid w:val="004F75BD"/>
    <w:rsid w:val="004F7A2E"/>
    <w:rsid w:val="00500C11"/>
    <w:rsid w:val="00501D02"/>
    <w:rsid w:val="00501E6F"/>
    <w:rsid w:val="0050320B"/>
    <w:rsid w:val="00503A04"/>
    <w:rsid w:val="005065DE"/>
    <w:rsid w:val="00506975"/>
    <w:rsid w:val="00506E42"/>
    <w:rsid w:val="00507409"/>
    <w:rsid w:val="00507DD5"/>
    <w:rsid w:val="005100C9"/>
    <w:rsid w:val="005106D7"/>
    <w:rsid w:val="0051151C"/>
    <w:rsid w:val="005128C2"/>
    <w:rsid w:val="0051415F"/>
    <w:rsid w:val="00515830"/>
    <w:rsid w:val="00515ACD"/>
    <w:rsid w:val="00516ADC"/>
    <w:rsid w:val="0051716E"/>
    <w:rsid w:val="005172CA"/>
    <w:rsid w:val="00517391"/>
    <w:rsid w:val="005179AB"/>
    <w:rsid w:val="00517F83"/>
    <w:rsid w:val="005200E9"/>
    <w:rsid w:val="00520AD5"/>
    <w:rsid w:val="0052113E"/>
    <w:rsid w:val="00521D27"/>
    <w:rsid w:val="005245B7"/>
    <w:rsid w:val="0052488A"/>
    <w:rsid w:val="005265E6"/>
    <w:rsid w:val="00527D31"/>
    <w:rsid w:val="00530429"/>
    <w:rsid w:val="00531415"/>
    <w:rsid w:val="00531800"/>
    <w:rsid w:val="00535366"/>
    <w:rsid w:val="00535C0D"/>
    <w:rsid w:val="0053620F"/>
    <w:rsid w:val="00537D20"/>
    <w:rsid w:val="0054056B"/>
    <w:rsid w:val="005409C5"/>
    <w:rsid w:val="00541491"/>
    <w:rsid w:val="00541F3E"/>
    <w:rsid w:val="005421C9"/>
    <w:rsid w:val="005423BC"/>
    <w:rsid w:val="00543E55"/>
    <w:rsid w:val="005505ED"/>
    <w:rsid w:val="005517C4"/>
    <w:rsid w:val="00552260"/>
    <w:rsid w:val="00553841"/>
    <w:rsid w:val="00554537"/>
    <w:rsid w:val="0055530A"/>
    <w:rsid w:val="0055567B"/>
    <w:rsid w:val="00555820"/>
    <w:rsid w:val="0055599E"/>
    <w:rsid w:val="00555CDB"/>
    <w:rsid w:val="005616B7"/>
    <w:rsid w:val="0056180C"/>
    <w:rsid w:val="00563D10"/>
    <w:rsid w:val="005648B5"/>
    <w:rsid w:val="00565F8B"/>
    <w:rsid w:val="00566B19"/>
    <w:rsid w:val="00567081"/>
    <w:rsid w:val="005745D3"/>
    <w:rsid w:val="005758B2"/>
    <w:rsid w:val="00575B22"/>
    <w:rsid w:val="00576164"/>
    <w:rsid w:val="005762BC"/>
    <w:rsid w:val="00580C04"/>
    <w:rsid w:val="00580C72"/>
    <w:rsid w:val="005810F3"/>
    <w:rsid w:val="005813C2"/>
    <w:rsid w:val="0058144E"/>
    <w:rsid w:val="00581672"/>
    <w:rsid w:val="005838E3"/>
    <w:rsid w:val="00586F60"/>
    <w:rsid w:val="00587B1B"/>
    <w:rsid w:val="00587F89"/>
    <w:rsid w:val="00590CAD"/>
    <w:rsid w:val="005911B1"/>
    <w:rsid w:val="0059133F"/>
    <w:rsid w:val="005917D5"/>
    <w:rsid w:val="005919BC"/>
    <w:rsid w:val="005927C5"/>
    <w:rsid w:val="00592C22"/>
    <w:rsid w:val="00592E49"/>
    <w:rsid w:val="00593054"/>
    <w:rsid w:val="00594C30"/>
    <w:rsid w:val="005953BB"/>
    <w:rsid w:val="005961D8"/>
    <w:rsid w:val="005963AD"/>
    <w:rsid w:val="00596921"/>
    <w:rsid w:val="00597ACE"/>
    <w:rsid w:val="005A39D4"/>
    <w:rsid w:val="005A414F"/>
    <w:rsid w:val="005A5043"/>
    <w:rsid w:val="005A6A51"/>
    <w:rsid w:val="005A7BE2"/>
    <w:rsid w:val="005B0847"/>
    <w:rsid w:val="005B5ED4"/>
    <w:rsid w:val="005B7429"/>
    <w:rsid w:val="005C027D"/>
    <w:rsid w:val="005C155D"/>
    <w:rsid w:val="005C1AE2"/>
    <w:rsid w:val="005C30B0"/>
    <w:rsid w:val="005C3D50"/>
    <w:rsid w:val="005C5E9D"/>
    <w:rsid w:val="005C6567"/>
    <w:rsid w:val="005D0579"/>
    <w:rsid w:val="005D08CB"/>
    <w:rsid w:val="005D124E"/>
    <w:rsid w:val="005D245A"/>
    <w:rsid w:val="005D432F"/>
    <w:rsid w:val="005D6077"/>
    <w:rsid w:val="005D7797"/>
    <w:rsid w:val="005E183D"/>
    <w:rsid w:val="005E25C7"/>
    <w:rsid w:val="005E4C63"/>
    <w:rsid w:val="005E6340"/>
    <w:rsid w:val="005E63F5"/>
    <w:rsid w:val="005E758E"/>
    <w:rsid w:val="005E76D9"/>
    <w:rsid w:val="005F0678"/>
    <w:rsid w:val="005F3488"/>
    <w:rsid w:val="005F42F3"/>
    <w:rsid w:val="005F5F28"/>
    <w:rsid w:val="005F7DC3"/>
    <w:rsid w:val="006026FA"/>
    <w:rsid w:val="0060360C"/>
    <w:rsid w:val="0060375A"/>
    <w:rsid w:val="0060425B"/>
    <w:rsid w:val="006042EE"/>
    <w:rsid w:val="006046DD"/>
    <w:rsid w:val="006065A0"/>
    <w:rsid w:val="00606CC3"/>
    <w:rsid w:val="0060729B"/>
    <w:rsid w:val="00611558"/>
    <w:rsid w:val="00611838"/>
    <w:rsid w:val="00611935"/>
    <w:rsid w:val="0061206C"/>
    <w:rsid w:val="00613878"/>
    <w:rsid w:val="0061672D"/>
    <w:rsid w:val="00616AEF"/>
    <w:rsid w:val="006170D4"/>
    <w:rsid w:val="0062084F"/>
    <w:rsid w:val="00620BC8"/>
    <w:rsid w:val="00620E95"/>
    <w:rsid w:val="00621B56"/>
    <w:rsid w:val="00622B0D"/>
    <w:rsid w:val="00622CDA"/>
    <w:rsid w:val="00623587"/>
    <w:rsid w:val="0062645F"/>
    <w:rsid w:val="00626AAB"/>
    <w:rsid w:val="00627667"/>
    <w:rsid w:val="00631EAB"/>
    <w:rsid w:val="00632F4C"/>
    <w:rsid w:val="00633592"/>
    <w:rsid w:val="00633968"/>
    <w:rsid w:val="006352F9"/>
    <w:rsid w:val="00635DE4"/>
    <w:rsid w:val="00635F03"/>
    <w:rsid w:val="00636711"/>
    <w:rsid w:val="00636C22"/>
    <w:rsid w:val="00637A9C"/>
    <w:rsid w:val="006405C8"/>
    <w:rsid w:val="006434B5"/>
    <w:rsid w:val="00643D56"/>
    <w:rsid w:val="006452E5"/>
    <w:rsid w:val="00645398"/>
    <w:rsid w:val="00645C23"/>
    <w:rsid w:val="00646445"/>
    <w:rsid w:val="0065089C"/>
    <w:rsid w:val="00652D51"/>
    <w:rsid w:val="00652FE8"/>
    <w:rsid w:val="00653BAC"/>
    <w:rsid w:val="0065456C"/>
    <w:rsid w:val="006549BB"/>
    <w:rsid w:val="006558A8"/>
    <w:rsid w:val="006559AC"/>
    <w:rsid w:val="00656E8F"/>
    <w:rsid w:val="0065745E"/>
    <w:rsid w:val="00657D70"/>
    <w:rsid w:val="00657FEB"/>
    <w:rsid w:val="00661795"/>
    <w:rsid w:val="00662FC3"/>
    <w:rsid w:val="006635B7"/>
    <w:rsid w:val="006635FD"/>
    <w:rsid w:val="0066402C"/>
    <w:rsid w:val="00664B72"/>
    <w:rsid w:val="006659F5"/>
    <w:rsid w:val="00665FDB"/>
    <w:rsid w:val="00666A92"/>
    <w:rsid w:val="00667258"/>
    <w:rsid w:val="0066790C"/>
    <w:rsid w:val="0067010E"/>
    <w:rsid w:val="0067059C"/>
    <w:rsid w:val="00671B59"/>
    <w:rsid w:val="00671FCA"/>
    <w:rsid w:val="006727A0"/>
    <w:rsid w:val="00672CFC"/>
    <w:rsid w:val="00673B24"/>
    <w:rsid w:val="0067565C"/>
    <w:rsid w:val="00675EE6"/>
    <w:rsid w:val="00676800"/>
    <w:rsid w:val="00677D53"/>
    <w:rsid w:val="0068153E"/>
    <w:rsid w:val="00681D50"/>
    <w:rsid w:val="00684504"/>
    <w:rsid w:val="00685114"/>
    <w:rsid w:val="0068565A"/>
    <w:rsid w:val="00685EA6"/>
    <w:rsid w:val="0069208F"/>
    <w:rsid w:val="00694458"/>
    <w:rsid w:val="006950F1"/>
    <w:rsid w:val="00695732"/>
    <w:rsid w:val="00697960"/>
    <w:rsid w:val="006979EE"/>
    <w:rsid w:val="006A295C"/>
    <w:rsid w:val="006A3EC2"/>
    <w:rsid w:val="006A721D"/>
    <w:rsid w:val="006B318F"/>
    <w:rsid w:val="006B41F8"/>
    <w:rsid w:val="006B429D"/>
    <w:rsid w:val="006B43B7"/>
    <w:rsid w:val="006B7039"/>
    <w:rsid w:val="006C107E"/>
    <w:rsid w:val="006C1877"/>
    <w:rsid w:val="006C491A"/>
    <w:rsid w:val="006C4BCC"/>
    <w:rsid w:val="006C55C0"/>
    <w:rsid w:val="006C731D"/>
    <w:rsid w:val="006C74EA"/>
    <w:rsid w:val="006D3161"/>
    <w:rsid w:val="006D4E8F"/>
    <w:rsid w:val="006D6566"/>
    <w:rsid w:val="006D6BEC"/>
    <w:rsid w:val="006D7EF7"/>
    <w:rsid w:val="006E087B"/>
    <w:rsid w:val="006E0B33"/>
    <w:rsid w:val="006E1AB7"/>
    <w:rsid w:val="006E20FE"/>
    <w:rsid w:val="006E30A0"/>
    <w:rsid w:val="006E568B"/>
    <w:rsid w:val="006F01B8"/>
    <w:rsid w:val="006F069D"/>
    <w:rsid w:val="006F2225"/>
    <w:rsid w:val="006F2939"/>
    <w:rsid w:val="006F3C99"/>
    <w:rsid w:val="006F46BA"/>
    <w:rsid w:val="006F56A7"/>
    <w:rsid w:val="006F64D6"/>
    <w:rsid w:val="006F73B9"/>
    <w:rsid w:val="00700289"/>
    <w:rsid w:val="0070051F"/>
    <w:rsid w:val="007008FD"/>
    <w:rsid w:val="00700929"/>
    <w:rsid w:val="00701518"/>
    <w:rsid w:val="00702280"/>
    <w:rsid w:val="00702A69"/>
    <w:rsid w:val="00703294"/>
    <w:rsid w:val="00703541"/>
    <w:rsid w:val="00703A8F"/>
    <w:rsid w:val="0070731B"/>
    <w:rsid w:val="00711AFE"/>
    <w:rsid w:val="007125A0"/>
    <w:rsid w:val="00712A96"/>
    <w:rsid w:val="00712C72"/>
    <w:rsid w:val="00712EBF"/>
    <w:rsid w:val="0071335E"/>
    <w:rsid w:val="007134A3"/>
    <w:rsid w:val="007152B4"/>
    <w:rsid w:val="0071604E"/>
    <w:rsid w:val="00716D37"/>
    <w:rsid w:val="007224B4"/>
    <w:rsid w:val="00722536"/>
    <w:rsid w:val="00722934"/>
    <w:rsid w:val="00722D87"/>
    <w:rsid w:val="0072322C"/>
    <w:rsid w:val="00723A57"/>
    <w:rsid w:val="00723F55"/>
    <w:rsid w:val="007243B4"/>
    <w:rsid w:val="00724743"/>
    <w:rsid w:val="007254B7"/>
    <w:rsid w:val="007255A7"/>
    <w:rsid w:val="00727D07"/>
    <w:rsid w:val="00730225"/>
    <w:rsid w:val="00731DC4"/>
    <w:rsid w:val="00733228"/>
    <w:rsid w:val="00734232"/>
    <w:rsid w:val="00734A0D"/>
    <w:rsid w:val="00734E1D"/>
    <w:rsid w:val="00735415"/>
    <w:rsid w:val="00735810"/>
    <w:rsid w:val="00735B7F"/>
    <w:rsid w:val="00736055"/>
    <w:rsid w:val="0073625D"/>
    <w:rsid w:val="00736519"/>
    <w:rsid w:val="00736633"/>
    <w:rsid w:val="00737D64"/>
    <w:rsid w:val="0074103E"/>
    <w:rsid w:val="0074166C"/>
    <w:rsid w:val="00741AFF"/>
    <w:rsid w:val="00742E7E"/>
    <w:rsid w:val="00743C90"/>
    <w:rsid w:val="007443D2"/>
    <w:rsid w:val="00745524"/>
    <w:rsid w:val="007456D1"/>
    <w:rsid w:val="007468A2"/>
    <w:rsid w:val="007502DB"/>
    <w:rsid w:val="00750520"/>
    <w:rsid w:val="007531A5"/>
    <w:rsid w:val="007549E8"/>
    <w:rsid w:val="0075572A"/>
    <w:rsid w:val="007561B3"/>
    <w:rsid w:val="00756F76"/>
    <w:rsid w:val="0076025C"/>
    <w:rsid w:val="007607FD"/>
    <w:rsid w:val="00761394"/>
    <w:rsid w:val="00762328"/>
    <w:rsid w:val="007641D2"/>
    <w:rsid w:val="0076470D"/>
    <w:rsid w:val="00773359"/>
    <w:rsid w:val="00774203"/>
    <w:rsid w:val="007756C0"/>
    <w:rsid w:val="00776C98"/>
    <w:rsid w:val="0077712F"/>
    <w:rsid w:val="007776D4"/>
    <w:rsid w:val="007808F7"/>
    <w:rsid w:val="00781C74"/>
    <w:rsid w:val="00781E46"/>
    <w:rsid w:val="00783305"/>
    <w:rsid w:val="007834FB"/>
    <w:rsid w:val="00783CE8"/>
    <w:rsid w:val="00784919"/>
    <w:rsid w:val="0078499A"/>
    <w:rsid w:val="00785D0A"/>
    <w:rsid w:val="0078660C"/>
    <w:rsid w:val="0078685B"/>
    <w:rsid w:val="00790A83"/>
    <w:rsid w:val="00790C6B"/>
    <w:rsid w:val="00792723"/>
    <w:rsid w:val="007949B7"/>
    <w:rsid w:val="00796866"/>
    <w:rsid w:val="007A2B9B"/>
    <w:rsid w:val="007A343F"/>
    <w:rsid w:val="007A3C4C"/>
    <w:rsid w:val="007A3C54"/>
    <w:rsid w:val="007A496C"/>
    <w:rsid w:val="007A57D0"/>
    <w:rsid w:val="007A5A85"/>
    <w:rsid w:val="007A7442"/>
    <w:rsid w:val="007B2B68"/>
    <w:rsid w:val="007B33B4"/>
    <w:rsid w:val="007B4045"/>
    <w:rsid w:val="007B43E0"/>
    <w:rsid w:val="007B594F"/>
    <w:rsid w:val="007B5B1A"/>
    <w:rsid w:val="007B7B0C"/>
    <w:rsid w:val="007C35D4"/>
    <w:rsid w:val="007C429B"/>
    <w:rsid w:val="007C4D94"/>
    <w:rsid w:val="007C517A"/>
    <w:rsid w:val="007C6B7A"/>
    <w:rsid w:val="007C73BF"/>
    <w:rsid w:val="007D1B32"/>
    <w:rsid w:val="007D2711"/>
    <w:rsid w:val="007D3891"/>
    <w:rsid w:val="007D4616"/>
    <w:rsid w:val="007D46F1"/>
    <w:rsid w:val="007D54C0"/>
    <w:rsid w:val="007D5E0E"/>
    <w:rsid w:val="007D616A"/>
    <w:rsid w:val="007D65F7"/>
    <w:rsid w:val="007D6781"/>
    <w:rsid w:val="007D7136"/>
    <w:rsid w:val="007D76AD"/>
    <w:rsid w:val="007E0B37"/>
    <w:rsid w:val="007E196A"/>
    <w:rsid w:val="007E3F8E"/>
    <w:rsid w:val="007E4EAF"/>
    <w:rsid w:val="007E5140"/>
    <w:rsid w:val="007F069E"/>
    <w:rsid w:val="007F25C1"/>
    <w:rsid w:val="007F7F9D"/>
    <w:rsid w:val="00803377"/>
    <w:rsid w:val="00803468"/>
    <w:rsid w:val="008069EB"/>
    <w:rsid w:val="00807258"/>
    <w:rsid w:val="008073A2"/>
    <w:rsid w:val="008076D3"/>
    <w:rsid w:val="00810AC6"/>
    <w:rsid w:val="00810D81"/>
    <w:rsid w:val="008124E1"/>
    <w:rsid w:val="00812C7A"/>
    <w:rsid w:val="00813FD8"/>
    <w:rsid w:val="00814853"/>
    <w:rsid w:val="00817115"/>
    <w:rsid w:val="0082134A"/>
    <w:rsid w:val="008213F6"/>
    <w:rsid w:val="00822216"/>
    <w:rsid w:val="0082336E"/>
    <w:rsid w:val="0082377C"/>
    <w:rsid w:val="00824E47"/>
    <w:rsid w:val="00825CEF"/>
    <w:rsid w:val="0082671E"/>
    <w:rsid w:val="00827A8D"/>
    <w:rsid w:val="00830294"/>
    <w:rsid w:val="00831716"/>
    <w:rsid w:val="008320A3"/>
    <w:rsid w:val="008321AB"/>
    <w:rsid w:val="00834801"/>
    <w:rsid w:val="00834FAE"/>
    <w:rsid w:val="00840901"/>
    <w:rsid w:val="00841A78"/>
    <w:rsid w:val="0084581D"/>
    <w:rsid w:val="008469D0"/>
    <w:rsid w:val="008473DA"/>
    <w:rsid w:val="0085019E"/>
    <w:rsid w:val="00850AE8"/>
    <w:rsid w:val="00850E38"/>
    <w:rsid w:val="008528AD"/>
    <w:rsid w:val="00853825"/>
    <w:rsid w:val="00853D74"/>
    <w:rsid w:val="008579C1"/>
    <w:rsid w:val="008610CF"/>
    <w:rsid w:val="00861DCC"/>
    <w:rsid w:val="00861E2B"/>
    <w:rsid w:val="00862434"/>
    <w:rsid w:val="00862E17"/>
    <w:rsid w:val="00864CD9"/>
    <w:rsid w:val="00866611"/>
    <w:rsid w:val="00866EF7"/>
    <w:rsid w:val="00871E58"/>
    <w:rsid w:val="00872512"/>
    <w:rsid w:val="008727EF"/>
    <w:rsid w:val="008737A9"/>
    <w:rsid w:val="008740BF"/>
    <w:rsid w:val="0087565D"/>
    <w:rsid w:val="00881AFC"/>
    <w:rsid w:val="00881DA5"/>
    <w:rsid w:val="008832F8"/>
    <w:rsid w:val="008833B5"/>
    <w:rsid w:val="00883400"/>
    <w:rsid w:val="00883B55"/>
    <w:rsid w:val="0088458E"/>
    <w:rsid w:val="00886211"/>
    <w:rsid w:val="008869B7"/>
    <w:rsid w:val="00886CD1"/>
    <w:rsid w:val="00887984"/>
    <w:rsid w:val="0089147D"/>
    <w:rsid w:val="008914CC"/>
    <w:rsid w:val="00891DE1"/>
    <w:rsid w:val="0089284E"/>
    <w:rsid w:val="00892DF1"/>
    <w:rsid w:val="008967CD"/>
    <w:rsid w:val="008976D4"/>
    <w:rsid w:val="008979FB"/>
    <w:rsid w:val="008A11A7"/>
    <w:rsid w:val="008A141D"/>
    <w:rsid w:val="008A1D50"/>
    <w:rsid w:val="008A265A"/>
    <w:rsid w:val="008A4323"/>
    <w:rsid w:val="008A4B96"/>
    <w:rsid w:val="008A5891"/>
    <w:rsid w:val="008A6820"/>
    <w:rsid w:val="008A6970"/>
    <w:rsid w:val="008A7F06"/>
    <w:rsid w:val="008B17BB"/>
    <w:rsid w:val="008B19B0"/>
    <w:rsid w:val="008B370E"/>
    <w:rsid w:val="008B3A85"/>
    <w:rsid w:val="008B49C6"/>
    <w:rsid w:val="008B4F6D"/>
    <w:rsid w:val="008B6170"/>
    <w:rsid w:val="008C2FA0"/>
    <w:rsid w:val="008C3C2F"/>
    <w:rsid w:val="008C4930"/>
    <w:rsid w:val="008C7E03"/>
    <w:rsid w:val="008D0FCD"/>
    <w:rsid w:val="008D100F"/>
    <w:rsid w:val="008D112C"/>
    <w:rsid w:val="008D2DFC"/>
    <w:rsid w:val="008D30F0"/>
    <w:rsid w:val="008D4235"/>
    <w:rsid w:val="008D5084"/>
    <w:rsid w:val="008D564E"/>
    <w:rsid w:val="008D6A7A"/>
    <w:rsid w:val="008D7410"/>
    <w:rsid w:val="008E1041"/>
    <w:rsid w:val="008E1E70"/>
    <w:rsid w:val="008E3E8B"/>
    <w:rsid w:val="008E58A5"/>
    <w:rsid w:val="008F142E"/>
    <w:rsid w:val="008F1B73"/>
    <w:rsid w:val="008F28A1"/>
    <w:rsid w:val="008F30CB"/>
    <w:rsid w:val="008F54DB"/>
    <w:rsid w:val="008F5969"/>
    <w:rsid w:val="008F686C"/>
    <w:rsid w:val="008F6B36"/>
    <w:rsid w:val="0090097F"/>
    <w:rsid w:val="00901573"/>
    <w:rsid w:val="0090192E"/>
    <w:rsid w:val="00901DD5"/>
    <w:rsid w:val="00902488"/>
    <w:rsid w:val="00903431"/>
    <w:rsid w:val="00903A53"/>
    <w:rsid w:val="009041D1"/>
    <w:rsid w:val="00905190"/>
    <w:rsid w:val="00905371"/>
    <w:rsid w:val="009055D6"/>
    <w:rsid w:val="00911260"/>
    <w:rsid w:val="00912C9E"/>
    <w:rsid w:val="00915A2A"/>
    <w:rsid w:val="00916585"/>
    <w:rsid w:val="0092018D"/>
    <w:rsid w:val="00921928"/>
    <w:rsid w:val="009219FA"/>
    <w:rsid w:val="00921C0C"/>
    <w:rsid w:val="00921ECB"/>
    <w:rsid w:val="00922AAC"/>
    <w:rsid w:val="00926E20"/>
    <w:rsid w:val="00932C0E"/>
    <w:rsid w:val="00934290"/>
    <w:rsid w:val="00936377"/>
    <w:rsid w:val="00937000"/>
    <w:rsid w:val="00937120"/>
    <w:rsid w:val="009378F6"/>
    <w:rsid w:val="009402C6"/>
    <w:rsid w:val="00940717"/>
    <w:rsid w:val="009409CA"/>
    <w:rsid w:val="00941065"/>
    <w:rsid w:val="009411C9"/>
    <w:rsid w:val="00942246"/>
    <w:rsid w:val="0094274C"/>
    <w:rsid w:val="00942E51"/>
    <w:rsid w:val="009439C9"/>
    <w:rsid w:val="00947ABC"/>
    <w:rsid w:val="00947CF2"/>
    <w:rsid w:val="0095197F"/>
    <w:rsid w:val="009519A5"/>
    <w:rsid w:val="0095269D"/>
    <w:rsid w:val="0095517F"/>
    <w:rsid w:val="00956297"/>
    <w:rsid w:val="0095655B"/>
    <w:rsid w:val="00956C8B"/>
    <w:rsid w:val="00957A30"/>
    <w:rsid w:val="009612D3"/>
    <w:rsid w:val="009629C1"/>
    <w:rsid w:val="009629D2"/>
    <w:rsid w:val="00962D41"/>
    <w:rsid w:val="00963AA7"/>
    <w:rsid w:val="00965145"/>
    <w:rsid w:val="009662C9"/>
    <w:rsid w:val="0096687E"/>
    <w:rsid w:val="00966C20"/>
    <w:rsid w:val="009704DF"/>
    <w:rsid w:val="009705DF"/>
    <w:rsid w:val="00971155"/>
    <w:rsid w:val="009731AC"/>
    <w:rsid w:val="009731E5"/>
    <w:rsid w:val="00973C96"/>
    <w:rsid w:val="00975285"/>
    <w:rsid w:val="00975D27"/>
    <w:rsid w:val="009763D0"/>
    <w:rsid w:val="00976B0E"/>
    <w:rsid w:val="00977969"/>
    <w:rsid w:val="009806C7"/>
    <w:rsid w:val="00981198"/>
    <w:rsid w:val="00987364"/>
    <w:rsid w:val="00987CAC"/>
    <w:rsid w:val="00990345"/>
    <w:rsid w:val="00990DDC"/>
    <w:rsid w:val="00991028"/>
    <w:rsid w:val="00991410"/>
    <w:rsid w:val="00992560"/>
    <w:rsid w:val="0099408E"/>
    <w:rsid w:val="00995AA3"/>
    <w:rsid w:val="00996A57"/>
    <w:rsid w:val="00996D9D"/>
    <w:rsid w:val="00996F99"/>
    <w:rsid w:val="0099756C"/>
    <w:rsid w:val="00997DC3"/>
    <w:rsid w:val="009A1C29"/>
    <w:rsid w:val="009A3D46"/>
    <w:rsid w:val="009A4B5B"/>
    <w:rsid w:val="009A51A1"/>
    <w:rsid w:val="009B2434"/>
    <w:rsid w:val="009B3213"/>
    <w:rsid w:val="009B4C67"/>
    <w:rsid w:val="009B5260"/>
    <w:rsid w:val="009B56A5"/>
    <w:rsid w:val="009B70B0"/>
    <w:rsid w:val="009B7588"/>
    <w:rsid w:val="009C0ADA"/>
    <w:rsid w:val="009C1C1D"/>
    <w:rsid w:val="009C3438"/>
    <w:rsid w:val="009C67A6"/>
    <w:rsid w:val="009C6C6B"/>
    <w:rsid w:val="009C7AAC"/>
    <w:rsid w:val="009C7FE7"/>
    <w:rsid w:val="009D0375"/>
    <w:rsid w:val="009D111A"/>
    <w:rsid w:val="009D4E0B"/>
    <w:rsid w:val="009D5804"/>
    <w:rsid w:val="009E1AAA"/>
    <w:rsid w:val="009E1F73"/>
    <w:rsid w:val="009E281A"/>
    <w:rsid w:val="009E31CC"/>
    <w:rsid w:val="009E4AB0"/>
    <w:rsid w:val="009E4AB3"/>
    <w:rsid w:val="009E520E"/>
    <w:rsid w:val="009E5AE5"/>
    <w:rsid w:val="009E5EC0"/>
    <w:rsid w:val="009F17E6"/>
    <w:rsid w:val="009F2695"/>
    <w:rsid w:val="009F4AC2"/>
    <w:rsid w:val="009F5485"/>
    <w:rsid w:val="009F7B59"/>
    <w:rsid w:val="009F7C4E"/>
    <w:rsid w:val="00A00612"/>
    <w:rsid w:val="00A006D9"/>
    <w:rsid w:val="00A00745"/>
    <w:rsid w:val="00A02FC7"/>
    <w:rsid w:val="00A03DFF"/>
    <w:rsid w:val="00A0471F"/>
    <w:rsid w:val="00A12EBD"/>
    <w:rsid w:val="00A14FBC"/>
    <w:rsid w:val="00A1637D"/>
    <w:rsid w:val="00A20261"/>
    <w:rsid w:val="00A2146E"/>
    <w:rsid w:val="00A221F1"/>
    <w:rsid w:val="00A230D1"/>
    <w:rsid w:val="00A231CE"/>
    <w:rsid w:val="00A24080"/>
    <w:rsid w:val="00A256E3"/>
    <w:rsid w:val="00A264BC"/>
    <w:rsid w:val="00A26716"/>
    <w:rsid w:val="00A30736"/>
    <w:rsid w:val="00A30F95"/>
    <w:rsid w:val="00A323A8"/>
    <w:rsid w:val="00A32F48"/>
    <w:rsid w:val="00A33179"/>
    <w:rsid w:val="00A335CB"/>
    <w:rsid w:val="00A35129"/>
    <w:rsid w:val="00A35194"/>
    <w:rsid w:val="00A3588B"/>
    <w:rsid w:val="00A40C5C"/>
    <w:rsid w:val="00A41B03"/>
    <w:rsid w:val="00A41FB3"/>
    <w:rsid w:val="00A422E9"/>
    <w:rsid w:val="00A4278D"/>
    <w:rsid w:val="00A440FE"/>
    <w:rsid w:val="00A444A9"/>
    <w:rsid w:val="00A44B83"/>
    <w:rsid w:val="00A44FD3"/>
    <w:rsid w:val="00A47E0E"/>
    <w:rsid w:val="00A522DD"/>
    <w:rsid w:val="00A522F6"/>
    <w:rsid w:val="00A52584"/>
    <w:rsid w:val="00A52A7F"/>
    <w:rsid w:val="00A547C1"/>
    <w:rsid w:val="00A55292"/>
    <w:rsid w:val="00A555B3"/>
    <w:rsid w:val="00A60B30"/>
    <w:rsid w:val="00A60C08"/>
    <w:rsid w:val="00A62429"/>
    <w:rsid w:val="00A62D74"/>
    <w:rsid w:val="00A64193"/>
    <w:rsid w:val="00A648E3"/>
    <w:rsid w:val="00A65E83"/>
    <w:rsid w:val="00A70B6C"/>
    <w:rsid w:val="00A71D93"/>
    <w:rsid w:val="00A724BA"/>
    <w:rsid w:val="00A72D88"/>
    <w:rsid w:val="00A745FD"/>
    <w:rsid w:val="00A770AB"/>
    <w:rsid w:val="00A7739C"/>
    <w:rsid w:val="00A80D66"/>
    <w:rsid w:val="00A826FA"/>
    <w:rsid w:val="00A839BF"/>
    <w:rsid w:val="00A83B1D"/>
    <w:rsid w:val="00A84D01"/>
    <w:rsid w:val="00A8602D"/>
    <w:rsid w:val="00A860DC"/>
    <w:rsid w:val="00A87016"/>
    <w:rsid w:val="00A87A0C"/>
    <w:rsid w:val="00A87FA6"/>
    <w:rsid w:val="00A900CC"/>
    <w:rsid w:val="00A90938"/>
    <w:rsid w:val="00A917FC"/>
    <w:rsid w:val="00A9301A"/>
    <w:rsid w:val="00A934F4"/>
    <w:rsid w:val="00A948E2"/>
    <w:rsid w:val="00A94BA9"/>
    <w:rsid w:val="00A9797F"/>
    <w:rsid w:val="00A97AAA"/>
    <w:rsid w:val="00AA0376"/>
    <w:rsid w:val="00AA08AD"/>
    <w:rsid w:val="00AA0A35"/>
    <w:rsid w:val="00AA15B3"/>
    <w:rsid w:val="00AA165F"/>
    <w:rsid w:val="00AA57D7"/>
    <w:rsid w:val="00AA6138"/>
    <w:rsid w:val="00AA7EF0"/>
    <w:rsid w:val="00AB148F"/>
    <w:rsid w:val="00AB174D"/>
    <w:rsid w:val="00AB36A7"/>
    <w:rsid w:val="00AB429A"/>
    <w:rsid w:val="00AB4390"/>
    <w:rsid w:val="00AB56AD"/>
    <w:rsid w:val="00AB582D"/>
    <w:rsid w:val="00AB5C4E"/>
    <w:rsid w:val="00AB6092"/>
    <w:rsid w:val="00AC36EB"/>
    <w:rsid w:val="00AC4A9C"/>
    <w:rsid w:val="00AC52FB"/>
    <w:rsid w:val="00AC552B"/>
    <w:rsid w:val="00AC6123"/>
    <w:rsid w:val="00AC6C78"/>
    <w:rsid w:val="00AC786C"/>
    <w:rsid w:val="00AC7AB8"/>
    <w:rsid w:val="00AD0750"/>
    <w:rsid w:val="00AD2C84"/>
    <w:rsid w:val="00AD66A8"/>
    <w:rsid w:val="00AD6C9C"/>
    <w:rsid w:val="00AD7981"/>
    <w:rsid w:val="00AE07DA"/>
    <w:rsid w:val="00AE1C06"/>
    <w:rsid w:val="00AE2585"/>
    <w:rsid w:val="00AE2818"/>
    <w:rsid w:val="00AE3DE2"/>
    <w:rsid w:val="00AE429D"/>
    <w:rsid w:val="00AE4D37"/>
    <w:rsid w:val="00AE59B9"/>
    <w:rsid w:val="00AE5E09"/>
    <w:rsid w:val="00AE5F6C"/>
    <w:rsid w:val="00AE6924"/>
    <w:rsid w:val="00AE7A2C"/>
    <w:rsid w:val="00AF043F"/>
    <w:rsid w:val="00AF2743"/>
    <w:rsid w:val="00AF49F0"/>
    <w:rsid w:val="00AF6BBF"/>
    <w:rsid w:val="00AF7ABE"/>
    <w:rsid w:val="00B0189C"/>
    <w:rsid w:val="00B025FF"/>
    <w:rsid w:val="00B03F9A"/>
    <w:rsid w:val="00B064C1"/>
    <w:rsid w:val="00B1073B"/>
    <w:rsid w:val="00B112A7"/>
    <w:rsid w:val="00B1154D"/>
    <w:rsid w:val="00B11782"/>
    <w:rsid w:val="00B12FED"/>
    <w:rsid w:val="00B1306A"/>
    <w:rsid w:val="00B133C5"/>
    <w:rsid w:val="00B13A26"/>
    <w:rsid w:val="00B15617"/>
    <w:rsid w:val="00B15739"/>
    <w:rsid w:val="00B158FA"/>
    <w:rsid w:val="00B20665"/>
    <w:rsid w:val="00B20825"/>
    <w:rsid w:val="00B210B8"/>
    <w:rsid w:val="00B245B2"/>
    <w:rsid w:val="00B24ACC"/>
    <w:rsid w:val="00B26FED"/>
    <w:rsid w:val="00B3196E"/>
    <w:rsid w:val="00B33361"/>
    <w:rsid w:val="00B34FD9"/>
    <w:rsid w:val="00B35FC2"/>
    <w:rsid w:val="00B373B4"/>
    <w:rsid w:val="00B37673"/>
    <w:rsid w:val="00B40CD3"/>
    <w:rsid w:val="00B41B01"/>
    <w:rsid w:val="00B41EF2"/>
    <w:rsid w:val="00B4233F"/>
    <w:rsid w:val="00B44EB6"/>
    <w:rsid w:val="00B45C0D"/>
    <w:rsid w:val="00B45E9C"/>
    <w:rsid w:val="00B467A4"/>
    <w:rsid w:val="00B46A77"/>
    <w:rsid w:val="00B46F2C"/>
    <w:rsid w:val="00B502E7"/>
    <w:rsid w:val="00B50BB9"/>
    <w:rsid w:val="00B51A82"/>
    <w:rsid w:val="00B51E79"/>
    <w:rsid w:val="00B527CF"/>
    <w:rsid w:val="00B52951"/>
    <w:rsid w:val="00B54693"/>
    <w:rsid w:val="00B5490B"/>
    <w:rsid w:val="00B5493F"/>
    <w:rsid w:val="00B5603B"/>
    <w:rsid w:val="00B56531"/>
    <w:rsid w:val="00B572A8"/>
    <w:rsid w:val="00B611E0"/>
    <w:rsid w:val="00B655C5"/>
    <w:rsid w:val="00B65898"/>
    <w:rsid w:val="00B74C8A"/>
    <w:rsid w:val="00B754B2"/>
    <w:rsid w:val="00B7586B"/>
    <w:rsid w:val="00B75989"/>
    <w:rsid w:val="00B7676B"/>
    <w:rsid w:val="00B76F32"/>
    <w:rsid w:val="00B813EC"/>
    <w:rsid w:val="00B8177E"/>
    <w:rsid w:val="00B81AF0"/>
    <w:rsid w:val="00B82463"/>
    <w:rsid w:val="00B84222"/>
    <w:rsid w:val="00B857A6"/>
    <w:rsid w:val="00B85B8D"/>
    <w:rsid w:val="00B8799F"/>
    <w:rsid w:val="00B906E5"/>
    <w:rsid w:val="00B90976"/>
    <w:rsid w:val="00B909AE"/>
    <w:rsid w:val="00B90C5D"/>
    <w:rsid w:val="00B91DB6"/>
    <w:rsid w:val="00B94A24"/>
    <w:rsid w:val="00B95B4E"/>
    <w:rsid w:val="00B96C0C"/>
    <w:rsid w:val="00B96D77"/>
    <w:rsid w:val="00B96F41"/>
    <w:rsid w:val="00B97397"/>
    <w:rsid w:val="00BA16A6"/>
    <w:rsid w:val="00BA17BC"/>
    <w:rsid w:val="00BA1C0A"/>
    <w:rsid w:val="00BA2761"/>
    <w:rsid w:val="00BA34D7"/>
    <w:rsid w:val="00BA6E5A"/>
    <w:rsid w:val="00BA74AB"/>
    <w:rsid w:val="00BA7AE0"/>
    <w:rsid w:val="00BB1074"/>
    <w:rsid w:val="00BB15D4"/>
    <w:rsid w:val="00BB278C"/>
    <w:rsid w:val="00BB32E4"/>
    <w:rsid w:val="00BB3818"/>
    <w:rsid w:val="00BB3A0A"/>
    <w:rsid w:val="00BB58AD"/>
    <w:rsid w:val="00BB6079"/>
    <w:rsid w:val="00BC02A4"/>
    <w:rsid w:val="00BC254F"/>
    <w:rsid w:val="00BC26E4"/>
    <w:rsid w:val="00BC32C9"/>
    <w:rsid w:val="00BC3955"/>
    <w:rsid w:val="00BD07BD"/>
    <w:rsid w:val="00BD104F"/>
    <w:rsid w:val="00BD1942"/>
    <w:rsid w:val="00BD294E"/>
    <w:rsid w:val="00BD3F9A"/>
    <w:rsid w:val="00BD5727"/>
    <w:rsid w:val="00BD66E5"/>
    <w:rsid w:val="00BD67F6"/>
    <w:rsid w:val="00BE0D3B"/>
    <w:rsid w:val="00BE0FA0"/>
    <w:rsid w:val="00BE17CC"/>
    <w:rsid w:val="00BE1DD6"/>
    <w:rsid w:val="00BE2618"/>
    <w:rsid w:val="00BE28BD"/>
    <w:rsid w:val="00BE3A1F"/>
    <w:rsid w:val="00BF0137"/>
    <w:rsid w:val="00BF2B4D"/>
    <w:rsid w:val="00BF4184"/>
    <w:rsid w:val="00BF4719"/>
    <w:rsid w:val="00BF59B0"/>
    <w:rsid w:val="00BF786E"/>
    <w:rsid w:val="00BF79F8"/>
    <w:rsid w:val="00C00A57"/>
    <w:rsid w:val="00C017F0"/>
    <w:rsid w:val="00C03103"/>
    <w:rsid w:val="00C0362E"/>
    <w:rsid w:val="00C037C1"/>
    <w:rsid w:val="00C03ED6"/>
    <w:rsid w:val="00C048B5"/>
    <w:rsid w:val="00C04E1A"/>
    <w:rsid w:val="00C0510D"/>
    <w:rsid w:val="00C05E2F"/>
    <w:rsid w:val="00C0680F"/>
    <w:rsid w:val="00C06AE5"/>
    <w:rsid w:val="00C06C45"/>
    <w:rsid w:val="00C070BE"/>
    <w:rsid w:val="00C0712D"/>
    <w:rsid w:val="00C10190"/>
    <w:rsid w:val="00C124C8"/>
    <w:rsid w:val="00C12638"/>
    <w:rsid w:val="00C12718"/>
    <w:rsid w:val="00C13BE3"/>
    <w:rsid w:val="00C1556D"/>
    <w:rsid w:val="00C158FB"/>
    <w:rsid w:val="00C16141"/>
    <w:rsid w:val="00C20150"/>
    <w:rsid w:val="00C205B9"/>
    <w:rsid w:val="00C216CD"/>
    <w:rsid w:val="00C219D1"/>
    <w:rsid w:val="00C221C5"/>
    <w:rsid w:val="00C22BF0"/>
    <w:rsid w:val="00C2368C"/>
    <w:rsid w:val="00C2447E"/>
    <w:rsid w:val="00C2545B"/>
    <w:rsid w:val="00C30757"/>
    <w:rsid w:val="00C30C62"/>
    <w:rsid w:val="00C31D5E"/>
    <w:rsid w:val="00C326AE"/>
    <w:rsid w:val="00C32D74"/>
    <w:rsid w:val="00C336E8"/>
    <w:rsid w:val="00C350BC"/>
    <w:rsid w:val="00C3581D"/>
    <w:rsid w:val="00C35841"/>
    <w:rsid w:val="00C35E82"/>
    <w:rsid w:val="00C3689A"/>
    <w:rsid w:val="00C37503"/>
    <w:rsid w:val="00C37AD7"/>
    <w:rsid w:val="00C37E9D"/>
    <w:rsid w:val="00C405A1"/>
    <w:rsid w:val="00C412B5"/>
    <w:rsid w:val="00C41513"/>
    <w:rsid w:val="00C4218D"/>
    <w:rsid w:val="00C42BC8"/>
    <w:rsid w:val="00C50002"/>
    <w:rsid w:val="00C506B2"/>
    <w:rsid w:val="00C5296C"/>
    <w:rsid w:val="00C5489C"/>
    <w:rsid w:val="00C56610"/>
    <w:rsid w:val="00C569D4"/>
    <w:rsid w:val="00C56A45"/>
    <w:rsid w:val="00C5713A"/>
    <w:rsid w:val="00C604D8"/>
    <w:rsid w:val="00C60C5A"/>
    <w:rsid w:val="00C60E01"/>
    <w:rsid w:val="00C61E6D"/>
    <w:rsid w:val="00C62DF7"/>
    <w:rsid w:val="00C652F4"/>
    <w:rsid w:val="00C66E4E"/>
    <w:rsid w:val="00C675CF"/>
    <w:rsid w:val="00C706B8"/>
    <w:rsid w:val="00C71574"/>
    <w:rsid w:val="00C72636"/>
    <w:rsid w:val="00C7274D"/>
    <w:rsid w:val="00C727EE"/>
    <w:rsid w:val="00C73389"/>
    <w:rsid w:val="00C74ADC"/>
    <w:rsid w:val="00C7657C"/>
    <w:rsid w:val="00C776D3"/>
    <w:rsid w:val="00C80351"/>
    <w:rsid w:val="00C8051A"/>
    <w:rsid w:val="00C8066A"/>
    <w:rsid w:val="00C80A98"/>
    <w:rsid w:val="00C80DB9"/>
    <w:rsid w:val="00C81B9F"/>
    <w:rsid w:val="00C81C17"/>
    <w:rsid w:val="00C8273D"/>
    <w:rsid w:val="00C82CD2"/>
    <w:rsid w:val="00C8326F"/>
    <w:rsid w:val="00C83A54"/>
    <w:rsid w:val="00C83BA6"/>
    <w:rsid w:val="00C8451D"/>
    <w:rsid w:val="00C84690"/>
    <w:rsid w:val="00C85687"/>
    <w:rsid w:val="00C86739"/>
    <w:rsid w:val="00C87943"/>
    <w:rsid w:val="00C902FE"/>
    <w:rsid w:val="00C907E9"/>
    <w:rsid w:val="00C91E2F"/>
    <w:rsid w:val="00C92DB8"/>
    <w:rsid w:val="00C94208"/>
    <w:rsid w:val="00C96AF4"/>
    <w:rsid w:val="00C97164"/>
    <w:rsid w:val="00CA12A3"/>
    <w:rsid w:val="00CA22F2"/>
    <w:rsid w:val="00CA3C62"/>
    <w:rsid w:val="00CA543F"/>
    <w:rsid w:val="00CA75D7"/>
    <w:rsid w:val="00CB13E3"/>
    <w:rsid w:val="00CB2263"/>
    <w:rsid w:val="00CB2CE9"/>
    <w:rsid w:val="00CB2E65"/>
    <w:rsid w:val="00CB341E"/>
    <w:rsid w:val="00CB3B00"/>
    <w:rsid w:val="00CB3C6A"/>
    <w:rsid w:val="00CB4CF2"/>
    <w:rsid w:val="00CB4EAE"/>
    <w:rsid w:val="00CB519F"/>
    <w:rsid w:val="00CC1862"/>
    <w:rsid w:val="00CC1985"/>
    <w:rsid w:val="00CC3C5F"/>
    <w:rsid w:val="00CC4C31"/>
    <w:rsid w:val="00CC5343"/>
    <w:rsid w:val="00CC5675"/>
    <w:rsid w:val="00CC669F"/>
    <w:rsid w:val="00CC695E"/>
    <w:rsid w:val="00CD0C11"/>
    <w:rsid w:val="00CD0F5D"/>
    <w:rsid w:val="00CD2E84"/>
    <w:rsid w:val="00CD3EDA"/>
    <w:rsid w:val="00CD3F0D"/>
    <w:rsid w:val="00CD4F46"/>
    <w:rsid w:val="00CD5A25"/>
    <w:rsid w:val="00CD5C85"/>
    <w:rsid w:val="00CD7F06"/>
    <w:rsid w:val="00CE06F4"/>
    <w:rsid w:val="00CE1DCA"/>
    <w:rsid w:val="00CE27BE"/>
    <w:rsid w:val="00CE48C6"/>
    <w:rsid w:val="00CE756B"/>
    <w:rsid w:val="00CF2EA8"/>
    <w:rsid w:val="00CF3314"/>
    <w:rsid w:val="00CF33A5"/>
    <w:rsid w:val="00CF3D0C"/>
    <w:rsid w:val="00CF4529"/>
    <w:rsid w:val="00CF505E"/>
    <w:rsid w:val="00CF6BD7"/>
    <w:rsid w:val="00CF6F99"/>
    <w:rsid w:val="00D01653"/>
    <w:rsid w:val="00D02B6F"/>
    <w:rsid w:val="00D02CEE"/>
    <w:rsid w:val="00D02D99"/>
    <w:rsid w:val="00D02EE8"/>
    <w:rsid w:val="00D032C4"/>
    <w:rsid w:val="00D037AB"/>
    <w:rsid w:val="00D03821"/>
    <w:rsid w:val="00D04BD0"/>
    <w:rsid w:val="00D056C1"/>
    <w:rsid w:val="00D062CD"/>
    <w:rsid w:val="00D0691C"/>
    <w:rsid w:val="00D07D28"/>
    <w:rsid w:val="00D110EB"/>
    <w:rsid w:val="00D11441"/>
    <w:rsid w:val="00D11985"/>
    <w:rsid w:val="00D14206"/>
    <w:rsid w:val="00D14F01"/>
    <w:rsid w:val="00D2049F"/>
    <w:rsid w:val="00D2320C"/>
    <w:rsid w:val="00D24876"/>
    <w:rsid w:val="00D250A4"/>
    <w:rsid w:val="00D2513A"/>
    <w:rsid w:val="00D265F0"/>
    <w:rsid w:val="00D27216"/>
    <w:rsid w:val="00D27923"/>
    <w:rsid w:val="00D27D0D"/>
    <w:rsid w:val="00D303B2"/>
    <w:rsid w:val="00D309C1"/>
    <w:rsid w:val="00D314D1"/>
    <w:rsid w:val="00D31693"/>
    <w:rsid w:val="00D32ED9"/>
    <w:rsid w:val="00D33C82"/>
    <w:rsid w:val="00D34BD8"/>
    <w:rsid w:val="00D34CCD"/>
    <w:rsid w:val="00D356D2"/>
    <w:rsid w:val="00D359A9"/>
    <w:rsid w:val="00D362E1"/>
    <w:rsid w:val="00D37DC2"/>
    <w:rsid w:val="00D40D63"/>
    <w:rsid w:val="00D41342"/>
    <w:rsid w:val="00D42330"/>
    <w:rsid w:val="00D43B0C"/>
    <w:rsid w:val="00D44A0B"/>
    <w:rsid w:val="00D45E93"/>
    <w:rsid w:val="00D46249"/>
    <w:rsid w:val="00D466B4"/>
    <w:rsid w:val="00D50084"/>
    <w:rsid w:val="00D50F85"/>
    <w:rsid w:val="00D526CB"/>
    <w:rsid w:val="00D52FA6"/>
    <w:rsid w:val="00D53BEF"/>
    <w:rsid w:val="00D53F1B"/>
    <w:rsid w:val="00D54AB7"/>
    <w:rsid w:val="00D56F69"/>
    <w:rsid w:val="00D600FE"/>
    <w:rsid w:val="00D606A5"/>
    <w:rsid w:val="00D60D27"/>
    <w:rsid w:val="00D60D96"/>
    <w:rsid w:val="00D60E2A"/>
    <w:rsid w:val="00D62529"/>
    <w:rsid w:val="00D663AC"/>
    <w:rsid w:val="00D66EFD"/>
    <w:rsid w:val="00D7058A"/>
    <w:rsid w:val="00D715CC"/>
    <w:rsid w:val="00D73411"/>
    <w:rsid w:val="00D76F6B"/>
    <w:rsid w:val="00D83166"/>
    <w:rsid w:val="00D83CAF"/>
    <w:rsid w:val="00D845F3"/>
    <w:rsid w:val="00D8487C"/>
    <w:rsid w:val="00D84E8B"/>
    <w:rsid w:val="00D85A1A"/>
    <w:rsid w:val="00D86A51"/>
    <w:rsid w:val="00D86AA6"/>
    <w:rsid w:val="00D87431"/>
    <w:rsid w:val="00D87D8E"/>
    <w:rsid w:val="00D915E9"/>
    <w:rsid w:val="00D926E9"/>
    <w:rsid w:val="00D95BA8"/>
    <w:rsid w:val="00D95E67"/>
    <w:rsid w:val="00D97064"/>
    <w:rsid w:val="00DA0C27"/>
    <w:rsid w:val="00DA0F0D"/>
    <w:rsid w:val="00DA0F4E"/>
    <w:rsid w:val="00DA20FA"/>
    <w:rsid w:val="00DA210C"/>
    <w:rsid w:val="00DA2289"/>
    <w:rsid w:val="00DA3E84"/>
    <w:rsid w:val="00DA4C17"/>
    <w:rsid w:val="00DA541F"/>
    <w:rsid w:val="00DA725A"/>
    <w:rsid w:val="00DB11CF"/>
    <w:rsid w:val="00DB17A1"/>
    <w:rsid w:val="00DB4044"/>
    <w:rsid w:val="00DB7135"/>
    <w:rsid w:val="00DB71A2"/>
    <w:rsid w:val="00DB7724"/>
    <w:rsid w:val="00DC07C0"/>
    <w:rsid w:val="00DC0C57"/>
    <w:rsid w:val="00DC0DAF"/>
    <w:rsid w:val="00DC110E"/>
    <w:rsid w:val="00DC16C6"/>
    <w:rsid w:val="00DC245E"/>
    <w:rsid w:val="00DC26FB"/>
    <w:rsid w:val="00DC521D"/>
    <w:rsid w:val="00DC612B"/>
    <w:rsid w:val="00DC6FF3"/>
    <w:rsid w:val="00DC78CE"/>
    <w:rsid w:val="00DD01A8"/>
    <w:rsid w:val="00DD1254"/>
    <w:rsid w:val="00DD1613"/>
    <w:rsid w:val="00DD32FA"/>
    <w:rsid w:val="00DD350C"/>
    <w:rsid w:val="00DD4547"/>
    <w:rsid w:val="00DD4C21"/>
    <w:rsid w:val="00DD69CA"/>
    <w:rsid w:val="00DD7642"/>
    <w:rsid w:val="00DD797B"/>
    <w:rsid w:val="00DE2D97"/>
    <w:rsid w:val="00DE36D8"/>
    <w:rsid w:val="00DE5FA2"/>
    <w:rsid w:val="00DF0189"/>
    <w:rsid w:val="00DF02BF"/>
    <w:rsid w:val="00DF16DD"/>
    <w:rsid w:val="00DF191D"/>
    <w:rsid w:val="00DF2A55"/>
    <w:rsid w:val="00DF3542"/>
    <w:rsid w:val="00DF3A1C"/>
    <w:rsid w:val="00DF3E63"/>
    <w:rsid w:val="00DF72A9"/>
    <w:rsid w:val="00DF753B"/>
    <w:rsid w:val="00DF78E5"/>
    <w:rsid w:val="00E01522"/>
    <w:rsid w:val="00E0200D"/>
    <w:rsid w:val="00E02483"/>
    <w:rsid w:val="00E02A64"/>
    <w:rsid w:val="00E035F7"/>
    <w:rsid w:val="00E04354"/>
    <w:rsid w:val="00E0488E"/>
    <w:rsid w:val="00E057B0"/>
    <w:rsid w:val="00E06369"/>
    <w:rsid w:val="00E063C4"/>
    <w:rsid w:val="00E07464"/>
    <w:rsid w:val="00E07849"/>
    <w:rsid w:val="00E1063B"/>
    <w:rsid w:val="00E10A86"/>
    <w:rsid w:val="00E10B98"/>
    <w:rsid w:val="00E13E68"/>
    <w:rsid w:val="00E149C0"/>
    <w:rsid w:val="00E14C66"/>
    <w:rsid w:val="00E1539F"/>
    <w:rsid w:val="00E157C8"/>
    <w:rsid w:val="00E16FBD"/>
    <w:rsid w:val="00E20219"/>
    <w:rsid w:val="00E226E6"/>
    <w:rsid w:val="00E23B51"/>
    <w:rsid w:val="00E23B5A"/>
    <w:rsid w:val="00E23DF0"/>
    <w:rsid w:val="00E24B15"/>
    <w:rsid w:val="00E25B75"/>
    <w:rsid w:val="00E30F1A"/>
    <w:rsid w:val="00E3259E"/>
    <w:rsid w:val="00E3294A"/>
    <w:rsid w:val="00E33901"/>
    <w:rsid w:val="00E33E17"/>
    <w:rsid w:val="00E340A9"/>
    <w:rsid w:val="00E34D7A"/>
    <w:rsid w:val="00E352B0"/>
    <w:rsid w:val="00E35FF0"/>
    <w:rsid w:val="00E36B11"/>
    <w:rsid w:val="00E37E4E"/>
    <w:rsid w:val="00E40F87"/>
    <w:rsid w:val="00E43CA0"/>
    <w:rsid w:val="00E4457B"/>
    <w:rsid w:val="00E45824"/>
    <w:rsid w:val="00E46548"/>
    <w:rsid w:val="00E4722A"/>
    <w:rsid w:val="00E47313"/>
    <w:rsid w:val="00E478EF"/>
    <w:rsid w:val="00E503EF"/>
    <w:rsid w:val="00E52165"/>
    <w:rsid w:val="00E527D4"/>
    <w:rsid w:val="00E527E3"/>
    <w:rsid w:val="00E562FB"/>
    <w:rsid w:val="00E5728D"/>
    <w:rsid w:val="00E60134"/>
    <w:rsid w:val="00E6023A"/>
    <w:rsid w:val="00E6240E"/>
    <w:rsid w:val="00E626F7"/>
    <w:rsid w:val="00E635DF"/>
    <w:rsid w:val="00E63608"/>
    <w:rsid w:val="00E647A4"/>
    <w:rsid w:val="00E64B8F"/>
    <w:rsid w:val="00E64D8C"/>
    <w:rsid w:val="00E64E33"/>
    <w:rsid w:val="00E65385"/>
    <w:rsid w:val="00E658D3"/>
    <w:rsid w:val="00E66986"/>
    <w:rsid w:val="00E67AE5"/>
    <w:rsid w:val="00E700A8"/>
    <w:rsid w:val="00E71E64"/>
    <w:rsid w:val="00E72C46"/>
    <w:rsid w:val="00E72F96"/>
    <w:rsid w:val="00E73107"/>
    <w:rsid w:val="00E73299"/>
    <w:rsid w:val="00E73473"/>
    <w:rsid w:val="00E73989"/>
    <w:rsid w:val="00E75654"/>
    <w:rsid w:val="00E76167"/>
    <w:rsid w:val="00E76328"/>
    <w:rsid w:val="00E76922"/>
    <w:rsid w:val="00E76CF3"/>
    <w:rsid w:val="00E8162D"/>
    <w:rsid w:val="00E82F11"/>
    <w:rsid w:val="00E84310"/>
    <w:rsid w:val="00E8441D"/>
    <w:rsid w:val="00E84B06"/>
    <w:rsid w:val="00E87474"/>
    <w:rsid w:val="00E87992"/>
    <w:rsid w:val="00E87CE9"/>
    <w:rsid w:val="00E93C63"/>
    <w:rsid w:val="00E97DA2"/>
    <w:rsid w:val="00EA1403"/>
    <w:rsid w:val="00EA1438"/>
    <w:rsid w:val="00EA2805"/>
    <w:rsid w:val="00EA2D11"/>
    <w:rsid w:val="00EA30BC"/>
    <w:rsid w:val="00EA3349"/>
    <w:rsid w:val="00EA3C67"/>
    <w:rsid w:val="00EA3F60"/>
    <w:rsid w:val="00EA4858"/>
    <w:rsid w:val="00EA58E1"/>
    <w:rsid w:val="00EA5B87"/>
    <w:rsid w:val="00EA606E"/>
    <w:rsid w:val="00EA66EC"/>
    <w:rsid w:val="00EA6974"/>
    <w:rsid w:val="00EA6B7D"/>
    <w:rsid w:val="00EA7900"/>
    <w:rsid w:val="00EB0663"/>
    <w:rsid w:val="00EB0CA0"/>
    <w:rsid w:val="00EB1D5C"/>
    <w:rsid w:val="00EB1F7A"/>
    <w:rsid w:val="00EB2352"/>
    <w:rsid w:val="00EB28E8"/>
    <w:rsid w:val="00EB2FC9"/>
    <w:rsid w:val="00EB338F"/>
    <w:rsid w:val="00EB4C0E"/>
    <w:rsid w:val="00EB529A"/>
    <w:rsid w:val="00EB5AD5"/>
    <w:rsid w:val="00EB6796"/>
    <w:rsid w:val="00EB6FC5"/>
    <w:rsid w:val="00EC0C8A"/>
    <w:rsid w:val="00EC1F69"/>
    <w:rsid w:val="00EC299C"/>
    <w:rsid w:val="00EC2B82"/>
    <w:rsid w:val="00EC4CBA"/>
    <w:rsid w:val="00EC52CC"/>
    <w:rsid w:val="00EC7028"/>
    <w:rsid w:val="00EC7A8A"/>
    <w:rsid w:val="00ED161B"/>
    <w:rsid w:val="00ED1A5E"/>
    <w:rsid w:val="00ED30F9"/>
    <w:rsid w:val="00ED49CC"/>
    <w:rsid w:val="00ED4D57"/>
    <w:rsid w:val="00ED5D52"/>
    <w:rsid w:val="00ED7D6E"/>
    <w:rsid w:val="00EE1180"/>
    <w:rsid w:val="00EE2EED"/>
    <w:rsid w:val="00EE5B41"/>
    <w:rsid w:val="00EE7218"/>
    <w:rsid w:val="00EF11B5"/>
    <w:rsid w:val="00EF1D5F"/>
    <w:rsid w:val="00EF1FFE"/>
    <w:rsid w:val="00EF22E7"/>
    <w:rsid w:val="00EF3E4E"/>
    <w:rsid w:val="00EF483C"/>
    <w:rsid w:val="00EF49E9"/>
    <w:rsid w:val="00EF5D40"/>
    <w:rsid w:val="00EF7352"/>
    <w:rsid w:val="00EF7417"/>
    <w:rsid w:val="00F00546"/>
    <w:rsid w:val="00F059FE"/>
    <w:rsid w:val="00F103E7"/>
    <w:rsid w:val="00F11521"/>
    <w:rsid w:val="00F11B41"/>
    <w:rsid w:val="00F13599"/>
    <w:rsid w:val="00F144E3"/>
    <w:rsid w:val="00F14C27"/>
    <w:rsid w:val="00F16AA1"/>
    <w:rsid w:val="00F16DBB"/>
    <w:rsid w:val="00F179BC"/>
    <w:rsid w:val="00F200EA"/>
    <w:rsid w:val="00F214CC"/>
    <w:rsid w:val="00F21504"/>
    <w:rsid w:val="00F221D6"/>
    <w:rsid w:val="00F22705"/>
    <w:rsid w:val="00F22BCB"/>
    <w:rsid w:val="00F23526"/>
    <w:rsid w:val="00F23DE7"/>
    <w:rsid w:val="00F24AD8"/>
    <w:rsid w:val="00F24F9A"/>
    <w:rsid w:val="00F2640F"/>
    <w:rsid w:val="00F26733"/>
    <w:rsid w:val="00F268AE"/>
    <w:rsid w:val="00F27CC0"/>
    <w:rsid w:val="00F30B31"/>
    <w:rsid w:val="00F31B47"/>
    <w:rsid w:val="00F32504"/>
    <w:rsid w:val="00F34E76"/>
    <w:rsid w:val="00F3628B"/>
    <w:rsid w:val="00F37FEC"/>
    <w:rsid w:val="00F401C5"/>
    <w:rsid w:val="00F4144C"/>
    <w:rsid w:val="00F44337"/>
    <w:rsid w:val="00F4513D"/>
    <w:rsid w:val="00F4525E"/>
    <w:rsid w:val="00F4548E"/>
    <w:rsid w:val="00F45DFA"/>
    <w:rsid w:val="00F471E3"/>
    <w:rsid w:val="00F47351"/>
    <w:rsid w:val="00F47C2B"/>
    <w:rsid w:val="00F47E59"/>
    <w:rsid w:val="00F52583"/>
    <w:rsid w:val="00F5328C"/>
    <w:rsid w:val="00F53A8E"/>
    <w:rsid w:val="00F60772"/>
    <w:rsid w:val="00F61FD6"/>
    <w:rsid w:val="00F62713"/>
    <w:rsid w:val="00F649EE"/>
    <w:rsid w:val="00F66034"/>
    <w:rsid w:val="00F66FA0"/>
    <w:rsid w:val="00F70DBE"/>
    <w:rsid w:val="00F71145"/>
    <w:rsid w:val="00F72D58"/>
    <w:rsid w:val="00F72DA4"/>
    <w:rsid w:val="00F7656E"/>
    <w:rsid w:val="00F76C8C"/>
    <w:rsid w:val="00F77673"/>
    <w:rsid w:val="00F80B3D"/>
    <w:rsid w:val="00F80E53"/>
    <w:rsid w:val="00F8137A"/>
    <w:rsid w:val="00F83A2D"/>
    <w:rsid w:val="00F84059"/>
    <w:rsid w:val="00F9069E"/>
    <w:rsid w:val="00F91265"/>
    <w:rsid w:val="00F913BE"/>
    <w:rsid w:val="00F92432"/>
    <w:rsid w:val="00F93236"/>
    <w:rsid w:val="00F933CD"/>
    <w:rsid w:val="00F94260"/>
    <w:rsid w:val="00F94658"/>
    <w:rsid w:val="00F94A7D"/>
    <w:rsid w:val="00F971B1"/>
    <w:rsid w:val="00F972E7"/>
    <w:rsid w:val="00F97B1F"/>
    <w:rsid w:val="00FA1596"/>
    <w:rsid w:val="00FA1ACB"/>
    <w:rsid w:val="00FA23D4"/>
    <w:rsid w:val="00FA2F50"/>
    <w:rsid w:val="00FA333A"/>
    <w:rsid w:val="00FA363D"/>
    <w:rsid w:val="00FA3738"/>
    <w:rsid w:val="00FA4D5A"/>
    <w:rsid w:val="00FA4F8F"/>
    <w:rsid w:val="00FA61BF"/>
    <w:rsid w:val="00FA6BE9"/>
    <w:rsid w:val="00FA6FB3"/>
    <w:rsid w:val="00FB1185"/>
    <w:rsid w:val="00FB12A1"/>
    <w:rsid w:val="00FB1875"/>
    <w:rsid w:val="00FB1D5B"/>
    <w:rsid w:val="00FB1DB8"/>
    <w:rsid w:val="00FB4DE2"/>
    <w:rsid w:val="00FB50FF"/>
    <w:rsid w:val="00FB6508"/>
    <w:rsid w:val="00FB7F59"/>
    <w:rsid w:val="00FC0086"/>
    <w:rsid w:val="00FC0EE0"/>
    <w:rsid w:val="00FC1DB7"/>
    <w:rsid w:val="00FC3163"/>
    <w:rsid w:val="00FC3F8B"/>
    <w:rsid w:val="00FC6D21"/>
    <w:rsid w:val="00FC75CF"/>
    <w:rsid w:val="00FC7DFE"/>
    <w:rsid w:val="00FD0A2C"/>
    <w:rsid w:val="00FD3CD8"/>
    <w:rsid w:val="00FD51C6"/>
    <w:rsid w:val="00FD6F1C"/>
    <w:rsid w:val="00FD7134"/>
    <w:rsid w:val="00FD7645"/>
    <w:rsid w:val="00FD7D25"/>
    <w:rsid w:val="00FE00CF"/>
    <w:rsid w:val="00FE05BE"/>
    <w:rsid w:val="00FE06DE"/>
    <w:rsid w:val="00FE0724"/>
    <w:rsid w:val="00FE0A8E"/>
    <w:rsid w:val="00FE0E3F"/>
    <w:rsid w:val="00FE489C"/>
    <w:rsid w:val="00FE705A"/>
    <w:rsid w:val="00FE715A"/>
    <w:rsid w:val="00FE7AF7"/>
    <w:rsid w:val="00FF2B5F"/>
    <w:rsid w:val="00FF36F6"/>
    <w:rsid w:val="00FF3780"/>
    <w:rsid w:val="00FF3C51"/>
    <w:rsid w:val="00FF5340"/>
    <w:rsid w:val="00FF6F21"/>
    <w:rsid w:val="0CDA69EE"/>
    <w:rsid w:val="21C04DD5"/>
    <w:rsid w:val="33AE0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F5253"/>
  <w15:chartTrackingRefBased/>
  <w15:docId w15:val="{5D316AD4-D203-4325-B792-E31ECAF8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20B"/>
    <w:pPr>
      <w:widowControl w:val="0"/>
      <w:jc w:val="both"/>
    </w:pPr>
  </w:style>
  <w:style w:type="paragraph" w:styleId="1">
    <w:name w:val="heading 1"/>
    <w:basedOn w:val="a"/>
    <w:next w:val="a"/>
    <w:link w:val="10"/>
    <w:uiPriority w:val="9"/>
    <w:qFormat/>
    <w:rsid w:val="00B2082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2082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2082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2082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2082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2082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2082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82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2082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Odstavec se seznamem1,Bullet List,FooterText,List Paragraph1,numbered,Paragraphe de liste1,Bulletr List Paragraph,列出段落,列出段落1,List Paragraph2,List Paragraph21,Parágrafo da Lista1,リスト段落1,List Paragraph11,Listeafsnit1,Bullet,Bullet1"/>
    <w:basedOn w:val="a"/>
    <w:link w:val="a4"/>
    <w:uiPriority w:val="34"/>
    <w:qFormat/>
    <w:rsid w:val="0050320B"/>
    <w:pPr>
      <w:ind w:firstLineChars="200" w:firstLine="420"/>
    </w:pPr>
  </w:style>
  <w:style w:type="character" w:customStyle="1" w:styleId="10">
    <w:name w:val="标题 1 字符"/>
    <w:basedOn w:val="a0"/>
    <w:link w:val="1"/>
    <w:uiPriority w:val="9"/>
    <w:rsid w:val="00B2082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2082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2082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20825"/>
    <w:rPr>
      <w:rFonts w:cstheme="majorBidi"/>
      <w:color w:val="0F4761" w:themeColor="accent1" w:themeShade="BF"/>
      <w:sz w:val="28"/>
      <w:szCs w:val="28"/>
    </w:rPr>
  </w:style>
  <w:style w:type="character" w:customStyle="1" w:styleId="50">
    <w:name w:val="标题 5 字符"/>
    <w:basedOn w:val="a0"/>
    <w:link w:val="5"/>
    <w:uiPriority w:val="9"/>
    <w:semiHidden/>
    <w:rsid w:val="00B20825"/>
    <w:rPr>
      <w:rFonts w:cstheme="majorBidi"/>
      <w:color w:val="0F4761" w:themeColor="accent1" w:themeShade="BF"/>
      <w:sz w:val="24"/>
      <w:szCs w:val="24"/>
    </w:rPr>
  </w:style>
  <w:style w:type="character" w:customStyle="1" w:styleId="60">
    <w:name w:val="标题 6 字符"/>
    <w:basedOn w:val="a0"/>
    <w:link w:val="6"/>
    <w:uiPriority w:val="9"/>
    <w:semiHidden/>
    <w:rsid w:val="00B20825"/>
    <w:rPr>
      <w:rFonts w:cstheme="majorBidi"/>
      <w:b/>
      <w:bCs/>
      <w:color w:val="0F4761" w:themeColor="accent1" w:themeShade="BF"/>
    </w:rPr>
  </w:style>
  <w:style w:type="character" w:customStyle="1" w:styleId="70">
    <w:name w:val="标题 7 字符"/>
    <w:basedOn w:val="a0"/>
    <w:link w:val="7"/>
    <w:uiPriority w:val="9"/>
    <w:semiHidden/>
    <w:rsid w:val="00B20825"/>
    <w:rPr>
      <w:rFonts w:cstheme="majorBidi"/>
      <w:b/>
      <w:bCs/>
      <w:color w:val="595959" w:themeColor="text1" w:themeTint="A6"/>
    </w:rPr>
  </w:style>
  <w:style w:type="character" w:customStyle="1" w:styleId="80">
    <w:name w:val="标题 8 字符"/>
    <w:basedOn w:val="a0"/>
    <w:link w:val="8"/>
    <w:uiPriority w:val="9"/>
    <w:semiHidden/>
    <w:rsid w:val="00B20825"/>
    <w:rPr>
      <w:rFonts w:cstheme="majorBidi"/>
      <w:color w:val="595959" w:themeColor="text1" w:themeTint="A6"/>
    </w:rPr>
  </w:style>
  <w:style w:type="character" w:customStyle="1" w:styleId="90">
    <w:name w:val="标题 9 字符"/>
    <w:basedOn w:val="a0"/>
    <w:link w:val="9"/>
    <w:uiPriority w:val="9"/>
    <w:semiHidden/>
    <w:rsid w:val="00B20825"/>
    <w:rPr>
      <w:rFonts w:eastAsiaTheme="majorEastAsia" w:cstheme="majorBidi"/>
      <w:color w:val="595959" w:themeColor="text1" w:themeTint="A6"/>
    </w:rPr>
  </w:style>
  <w:style w:type="paragraph" w:styleId="a5">
    <w:name w:val="Title"/>
    <w:basedOn w:val="a"/>
    <w:next w:val="a"/>
    <w:link w:val="a6"/>
    <w:uiPriority w:val="10"/>
    <w:qFormat/>
    <w:rsid w:val="00B20825"/>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B20825"/>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B208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B20825"/>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B20825"/>
    <w:pPr>
      <w:spacing w:before="160" w:after="160"/>
      <w:jc w:val="center"/>
    </w:pPr>
    <w:rPr>
      <w:i/>
      <w:iCs/>
      <w:color w:val="404040" w:themeColor="text1" w:themeTint="BF"/>
    </w:rPr>
  </w:style>
  <w:style w:type="character" w:customStyle="1" w:styleId="aa">
    <w:name w:val="引用 字符"/>
    <w:basedOn w:val="a0"/>
    <w:link w:val="a9"/>
    <w:uiPriority w:val="29"/>
    <w:rsid w:val="00B20825"/>
    <w:rPr>
      <w:i/>
      <w:iCs/>
      <w:color w:val="404040" w:themeColor="text1" w:themeTint="BF"/>
    </w:rPr>
  </w:style>
  <w:style w:type="character" w:styleId="ab">
    <w:name w:val="Intense Emphasis"/>
    <w:basedOn w:val="a0"/>
    <w:uiPriority w:val="21"/>
    <w:qFormat/>
    <w:rsid w:val="00B20825"/>
    <w:rPr>
      <w:i/>
      <w:iCs/>
      <w:color w:val="0F4761" w:themeColor="accent1" w:themeShade="BF"/>
    </w:rPr>
  </w:style>
  <w:style w:type="paragraph" w:styleId="ac">
    <w:name w:val="Intense Quote"/>
    <w:basedOn w:val="a"/>
    <w:next w:val="a"/>
    <w:link w:val="ad"/>
    <w:uiPriority w:val="30"/>
    <w:qFormat/>
    <w:rsid w:val="00B20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B20825"/>
    <w:rPr>
      <w:i/>
      <w:iCs/>
      <w:color w:val="0F4761" w:themeColor="accent1" w:themeShade="BF"/>
    </w:rPr>
  </w:style>
  <w:style w:type="character" w:styleId="ae">
    <w:name w:val="Intense Reference"/>
    <w:basedOn w:val="a0"/>
    <w:uiPriority w:val="32"/>
    <w:qFormat/>
    <w:rsid w:val="00B20825"/>
    <w:rPr>
      <w:b/>
      <w:bCs/>
      <w:smallCaps/>
      <w:color w:val="0F4761" w:themeColor="accent1" w:themeShade="BF"/>
      <w:spacing w:val="5"/>
    </w:rPr>
  </w:style>
  <w:style w:type="paragraph" w:styleId="af">
    <w:name w:val="header"/>
    <w:basedOn w:val="a"/>
    <w:link w:val="af0"/>
    <w:uiPriority w:val="99"/>
    <w:unhideWhenUsed/>
    <w:rsid w:val="00045FAD"/>
    <w:pPr>
      <w:tabs>
        <w:tab w:val="center" w:pos="4153"/>
        <w:tab w:val="right" w:pos="8306"/>
      </w:tabs>
      <w:snapToGrid w:val="0"/>
      <w:jc w:val="center"/>
    </w:pPr>
    <w:rPr>
      <w:sz w:val="18"/>
      <w:szCs w:val="18"/>
    </w:rPr>
  </w:style>
  <w:style w:type="character" w:customStyle="1" w:styleId="af0">
    <w:name w:val="页眉 字符"/>
    <w:basedOn w:val="a0"/>
    <w:link w:val="af"/>
    <w:uiPriority w:val="99"/>
    <w:rsid w:val="00045FAD"/>
    <w:rPr>
      <w:sz w:val="18"/>
      <w:szCs w:val="18"/>
    </w:rPr>
  </w:style>
  <w:style w:type="paragraph" w:styleId="af1">
    <w:name w:val="footer"/>
    <w:basedOn w:val="a"/>
    <w:link w:val="af2"/>
    <w:uiPriority w:val="99"/>
    <w:unhideWhenUsed/>
    <w:rsid w:val="00045FAD"/>
    <w:pPr>
      <w:tabs>
        <w:tab w:val="center" w:pos="4153"/>
        <w:tab w:val="right" w:pos="8306"/>
      </w:tabs>
      <w:snapToGrid w:val="0"/>
      <w:jc w:val="left"/>
    </w:pPr>
    <w:rPr>
      <w:sz w:val="18"/>
      <w:szCs w:val="18"/>
    </w:rPr>
  </w:style>
  <w:style w:type="character" w:customStyle="1" w:styleId="af2">
    <w:name w:val="页脚 字符"/>
    <w:basedOn w:val="a0"/>
    <w:link w:val="af1"/>
    <w:uiPriority w:val="99"/>
    <w:rsid w:val="00045FAD"/>
    <w:rPr>
      <w:sz w:val="18"/>
      <w:szCs w:val="18"/>
    </w:rPr>
  </w:style>
  <w:style w:type="character" w:customStyle="1" w:styleId="a4">
    <w:name w:val="列表段落 字符"/>
    <w:aliases w:val="Bullets 字符,Odstavec se seznamem1 字符,Bullet List 字符,FooterText 字符,List Paragraph1 字符,numbered 字符,Paragraphe de liste1 字符,Bulletr List Paragraph 字符,列出段落 字符,列出段落1 字符,List Paragraph2 字符,List Paragraph21 字符,Parágrafo da Lista1 字符,リスト段落1 字符,Bullet 字符"/>
    <w:basedOn w:val="a0"/>
    <w:link w:val="a3"/>
    <w:uiPriority w:val="34"/>
    <w:qFormat/>
    <w:locked/>
    <w:rsid w:val="008D2DFC"/>
  </w:style>
  <w:style w:type="character" w:styleId="af3">
    <w:name w:val="annotation reference"/>
    <w:basedOn w:val="a0"/>
    <w:uiPriority w:val="99"/>
    <w:semiHidden/>
    <w:unhideWhenUsed/>
    <w:rsid w:val="00E64E33"/>
    <w:rPr>
      <w:sz w:val="21"/>
      <w:szCs w:val="21"/>
    </w:rPr>
  </w:style>
  <w:style w:type="paragraph" w:styleId="af4">
    <w:name w:val="annotation text"/>
    <w:basedOn w:val="a"/>
    <w:link w:val="af5"/>
    <w:uiPriority w:val="99"/>
    <w:unhideWhenUsed/>
    <w:rsid w:val="00E64E33"/>
    <w:pPr>
      <w:jc w:val="left"/>
    </w:pPr>
  </w:style>
  <w:style w:type="character" w:customStyle="1" w:styleId="af5">
    <w:name w:val="批注文字 字符"/>
    <w:basedOn w:val="a0"/>
    <w:link w:val="af4"/>
    <w:uiPriority w:val="99"/>
    <w:rsid w:val="00E64E33"/>
  </w:style>
  <w:style w:type="paragraph" w:styleId="af6">
    <w:name w:val="annotation subject"/>
    <w:basedOn w:val="af4"/>
    <w:next w:val="af4"/>
    <w:link w:val="af7"/>
    <w:uiPriority w:val="99"/>
    <w:semiHidden/>
    <w:unhideWhenUsed/>
    <w:rsid w:val="00E64E33"/>
    <w:rPr>
      <w:b/>
      <w:bCs/>
    </w:rPr>
  </w:style>
  <w:style w:type="character" w:customStyle="1" w:styleId="af7">
    <w:name w:val="批注主题 字符"/>
    <w:basedOn w:val="af5"/>
    <w:link w:val="af6"/>
    <w:uiPriority w:val="99"/>
    <w:semiHidden/>
    <w:rsid w:val="00E64E33"/>
    <w:rPr>
      <w:b/>
      <w:bCs/>
    </w:rPr>
  </w:style>
  <w:style w:type="paragraph" w:styleId="af8">
    <w:name w:val="Revision"/>
    <w:hidden/>
    <w:uiPriority w:val="99"/>
    <w:semiHidden/>
    <w:rsid w:val="00334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0182">
      <w:bodyDiv w:val="1"/>
      <w:marLeft w:val="0"/>
      <w:marRight w:val="0"/>
      <w:marTop w:val="0"/>
      <w:marBottom w:val="0"/>
      <w:divBdr>
        <w:top w:val="none" w:sz="0" w:space="0" w:color="auto"/>
        <w:left w:val="none" w:sz="0" w:space="0" w:color="auto"/>
        <w:bottom w:val="none" w:sz="0" w:space="0" w:color="auto"/>
        <w:right w:val="none" w:sz="0" w:space="0" w:color="auto"/>
      </w:divBdr>
      <w:divsChild>
        <w:div w:id="931933557">
          <w:marLeft w:val="0"/>
          <w:marRight w:val="0"/>
          <w:marTop w:val="0"/>
          <w:marBottom w:val="0"/>
          <w:divBdr>
            <w:top w:val="none" w:sz="0" w:space="0" w:color="auto"/>
            <w:left w:val="none" w:sz="0" w:space="0" w:color="auto"/>
            <w:bottom w:val="none" w:sz="0" w:space="0" w:color="auto"/>
            <w:right w:val="none" w:sz="0" w:space="0" w:color="auto"/>
          </w:divBdr>
        </w:div>
        <w:div w:id="1078140481">
          <w:marLeft w:val="0"/>
          <w:marRight w:val="0"/>
          <w:marTop w:val="0"/>
          <w:marBottom w:val="240"/>
          <w:divBdr>
            <w:top w:val="none" w:sz="0" w:space="0" w:color="auto"/>
            <w:left w:val="none" w:sz="0" w:space="0" w:color="auto"/>
            <w:bottom w:val="none" w:sz="0" w:space="0" w:color="auto"/>
            <w:right w:val="none" w:sz="0" w:space="0" w:color="auto"/>
          </w:divBdr>
        </w:div>
      </w:divsChild>
    </w:div>
    <w:div w:id="346686019">
      <w:bodyDiv w:val="1"/>
      <w:marLeft w:val="0"/>
      <w:marRight w:val="0"/>
      <w:marTop w:val="0"/>
      <w:marBottom w:val="0"/>
      <w:divBdr>
        <w:top w:val="none" w:sz="0" w:space="0" w:color="auto"/>
        <w:left w:val="none" w:sz="0" w:space="0" w:color="auto"/>
        <w:bottom w:val="none" w:sz="0" w:space="0" w:color="auto"/>
        <w:right w:val="none" w:sz="0" w:space="0" w:color="auto"/>
      </w:divBdr>
      <w:divsChild>
        <w:div w:id="81073076">
          <w:marLeft w:val="0"/>
          <w:marRight w:val="0"/>
          <w:marTop w:val="0"/>
          <w:marBottom w:val="240"/>
          <w:divBdr>
            <w:top w:val="none" w:sz="0" w:space="0" w:color="auto"/>
            <w:left w:val="none" w:sz="0" w:space="0" w:color="auto"/>
            <w:bottom w:val="none" w:sz="0" w:space="0" w:color="auto"/>
            <w:right w:val="none" w:sz="0" w:space="0" w:color="auto"/>
          </w:divBdr>
        </w:div>
        <w:div w:id="86736794">
          <w:marLeft w:val="0"/>
          <w:marRight w:val="0"/>
          <w:marTop w:val="0"/>
          <w:marBottom w:val="240"/>
          <w:divBdr>
            <w:top w:val="none" w:sz="0" w:space="0" w:color="auto"/>
            <w:left w:val="none" w:sz="0" w:space="0" w:color="auto"/>
            <w:bottom w:val="none" w:sz="0" w:space="0" w:color="auto"/>
            <w:right w:val="none" w:sz="0" w:space="0" w:color="auto"/>
          </w:divBdr>
        </w:div>
        <w:div w:id="375010133">
          <w:marLeft w:val="0"/>
          <w:marRight w:val="0"/>
          <w:marTop w:val="0"/>
          <w:marBottom w:val="240"/>
          <w:divBdr>
            <w:top w:val="none" w:sz="0" w:space="0" w:color="auto"/>
            <w:left w:val="none" w:sz="0" w:space="0" w:color="auto"/>
            <w:bottom w:val="none" w:sz="0" w:space="0" w:color="auto"/>
            <w:right w:val="none" w:sz="0" w:space="0" w:color="auto"/>
          </w:divBdr>
        </w:div>
        <w:div w:id="599333375">
          <w:marLeft w:val="0"/>
          <w:marRight w:val="0"/>
          <w:marTop w:val="0"/>
          <w:marBottom w:val="240"/>
          <w:divBdr>
            <w:top w:val="none" w:sz="0" w:space="0" w:color="auto"/>
            <w:left w:val="none" w:sz="0" w:space="0" w:color="auto"/>
            <w:bottom w:val="none" w:sz="0" w:space="0" w:color="auto"/>
            <w:right w:val="none" w:sz="0" w:space="0" w:color="auto"/>
          </w:divBdr>
        </w:div>
        <w:div w:id="1242644542">
          <w:marLeft w:val="0"/>
          <w:marRight w:val="0"/>
          <w:marTop w:val="0"/>
          <w:marBottom w:val="0"/>
          <w:divBdr>
            <w:top w:val="none" w:sz="0" w:space="0" w:color="auto"/>
            <w:left w:val="none" w:sz="0" w:space="0" w:color="auto"/>
            <w:bottom w:val="none" w:sz="0" w:space="0" w:color="auto"/>
            <w:right w:val="none" w:sz="0" w:space="0" w:color="auto"/>
          </w:divBdr>
        </w:div>
        <w:div w:id="1368528184">
          <w:marLeft w:val="0"/>
          <w:marRight w:val="0"/>
          <w:marTop w:val="0"/>
          <w:marBottom w:val="240"/>
          <w:divBdr>
            <w:top w:val="none" w:sz="0" w:space="0" w:color="auto"/>
            <w:left w:val="none" w:sz="0" w:space="0" w:color="auto"/>
            <w:bottom w:val="none" w:sz="0" w:space="0" w:color="auto"/>
            <w:right w:val="none" w:sz="0" w:space="0" w:color="auto"/>
          </w:divBdr>
        </w:div>
        <w:div w:id="1439332395">
          <w:marLeft w:val="0"/>
          <w:marRight w:val="0"/>
          <w:marTop w:val="0"/>
          <w:marBottom w:val="240"/>
          <w:divBdr>
            <w:top w:val="none" w:sz="0" w:space="0" w:color="auto"/>
            <w:left w:val="none" w:sz="0" w:space="0" w:color="auto"/>
            <w:bottom w:val="none" w:sz="0" w:space="0" w:color="auto"/>
            <w:right w:val="none" w:sz="0" w:space="0" w:color="auto"/>
          </w:divBdr>
        </w:div>
        <w:div w:id="1449936580">
          <w:marLeft w:val="0"/>
          <w:marRight w:val="0"/>
          <w:marTop w:val="0"/>
          <w:marBottom w:val="240"/>
          <w:divBdr>
            <w:top w:val="none" w:sz="0" w:space="0" w:color="auto"/>
            <w:left w:val="none" w:sz="0" w:space="0" w:color="auto"/>
            <w:bottom w:val="none" w:sz="0" w:space="0" w:color="auto"/>
            <w:right w:val="none" w:sz="0" w:space="0" w:color="auto"/>
          </w:divBdr>
        </w:div>
        <w:div w:id="1517114531">
          <w:marLeft w:val="0"/>
          <w:marRight w:val="0"/>
          <w:marTop w:val="0"/>
          <w:marBottom w:val="240"/>
          <w:divBdr>
            <w:top w:val="none" w:sz="0" w:space="0" w:color="auto"/>
            <w:left w:val="none" w:sz="0" w:space="0" w:color="auto"/>
            <w:bottom w:val="none" w:sz="0" w:space="0" w:color="auto"/>
            <w:right w:val="none" w:sz="0" w:space="0" w:color="auto"/>
          </w:divBdr>
        </w:div>
        <w:div w:id="1552881863">
          <w:marLeft w:val="0"/>
          <w:marRight w:val="0"/>
          <w:marTop w:val="0"/>
          <w:marBottom w:val="240"/>
          <w:divBdr>
            <w:top w:val="none" w:sz="0" w:space="0" w:color="auto"/>
            <w:left w:val="none" w:sz="0" w:space="0" w:color="auto"/>
            <w:bottom w:val="none" w:sz="0" w:space="0" w:color="auto"/>
            <w:right w:val="none" w:sz="0" w:space="0" w:color="auto"/>
          </w:divBdr>
        </w:div>
        <w:div w:id="1637107093">
          <w:marLeft w:val="0"/>
          <w:marRight w:val="0"/>
          <w:marTop w:val="0"/>
          <w:marBottom w:val="240"/>
          <w:divBdr>
            <w:top w:val="none" w:sz="0" w:space="0" w:color="auto"/>
            <w:left w:val="none" w:sz="0" w:space="0" w:color="auto"/>
            <w:bottom w:val="none" w:sz="0" w:space="0" w:color="auto"/>
            <w:right w:val="none" w:sz="0" w:space="0" w:color="auto"/>
          </w:divBdr>
        </w:div>
        <w:div w:id="1667513320">
          <w:marLeft w:val="0"/>
          <w:marRight w:val="0"/>
          <w:marTop w:val="0"/>
          <w:marBottom w:val="240"/>
          <w:divBdr>
            <w:top w:val="none" w:sz="0" w:space="0" w:color="auto"/>
            <w:left w:val="none" w:sz="0" w:space="0" w:color="auto"/>
            <w:bottom w:val="none" w:sz="0" w:space="0" w:color="auto"/>
            <w:right w:val="none" w:sz="0" w:space="0" w:color="auto"/>
          </w:divBdr>
        </w:div>
        <w:div w:id="1812747009">
          <w:marLeft w:val="0"/>
          <w:marRight w:val="0"/>
          <w:marTop w:val="0"/>
          <w:marBottom w:val="240"/>
          <w:divBdr>
            <w:top w:val="none" w:sz="0" w:space="0" w:color="auto"/>
            <w:left w:val="none" w:sz="0" w:space="0" w:color="auto"/>
            <w:bottom w:val="none" w:sz="0" w:space="0" w:color="auto"/>
            <w:right w:val="none" w:sz="0" w:space="0" w:color="auto"/>
          </w:divBdr>
        </w:div>
        <w:div w:id="1833595354">
          <w:marLeft w:val="0"/>
          <w:marRight w:val="0"/>
          <w:marTop w:val="0"/>
          <w:marBottom w:val="240"/>
          <w:divBdr>
            <w:top w:val="none" w:sz="0" w:space="0" w:color="auto"/>
            <w:left w:val="none" w:sz="0" w:space="0" w:color="auto"/>
            <w:bottom w:val="none" w:sz="0" w:space="0" w:color="auto"/>
            <w:right w:val="none" w:sz="0" w:space="0" w:color="auto"/>
          </w:divBdr>
        </w:div>
        <w:div w:id="1953659791">
          <w:marLeft w:val="0"/>
          <w:marRight w:val="0"/>
          <w:marTop w:val="0"/>
          <w:marBottom w:val="240"/>
          <w:divBdr>
            <w:top w:val="none" w:sz="0" w:space="0" w:color="auto"/>
            <w:left w:val="none" w:sz="0" w:space="0" w:color="auto"/>
            <w:bottom w:val="none" w:sz="0" w:space="0" w:color="auto"/>
            <w:right w:val="none" w:sz="0" w:space="0" w:color="auto"/>
          </w:divBdr>
        </w:div>
        <w:div w:id="2051100551">
          <w:marLeft w:val="0"/>
          <w:marRight w:val="0"/>
          <w:marTop w:val="0"/>
          <w:marBottom w:val="240"/>
          <w:divBdr>
            <w:top w:val="none" w:sz="0" w:space="0" w:color="auto"/>
            <w:left w:val="none" w:sz="0" w:space="0" w:color="auto"/>
            <w:bottom w:val="none" w:sz="0" w:space="0" w:color="auto"/>
            <w:right w:val="none" w:sz="0" w:space="0" w:color="auto"/>
          </w:divBdr>
        </w:div>
        <w:div w:id="2131701261">
          <w:marLeft w:val="0"/>
          <w:marRight w:val="0"/>
          <w:marTop w:val="0"/>
          <w:marBottom w:val="240"/>
          <w:divBdr>
            <w:top w:val="none" w:sz="0" w:space="0" w:color="auto"/>
            <w:left w:val="none" w:sz="0" w:space="0" w:color="auto"/>
            <w:bottom w:val="none" w:sz="0" w:space="0" w:color="auto"/>
            <w:right w:val="none" w:sz="0" w:space="0" w:color="auto"/>
          </w:divBdr>
        </w:div>
        <w:div w:id="2139181374">
          <w:marLeft w:val="0"/>
          <w:marRight w:val="0"/>
          <w:marTop w:val="0"/>
          <w:marBottom w:val="240"/>
          <w:divBdr>
            <w:top w:val="none" w:sz="0" w:space="0" w:color="auto"/>
            <w:left w:val="none" w:sz="0" w:space="0" w:color="auto"/>
            <w:bottom w:val="none" w:sz="0" w:space="0" w:color="auto"/>
            <w:right w:val="none" w:sz="0" w:space="0" w:color="auto"/>
          </w:divBdr>
        </w:div>
      </w:divsChild>
    </w:div>
    <w:div w:id="679697034">
      <w:bodyDiv w:val="1"/>
      <w:marLeft w:val="0"/>
      <w:marRight w:val="0"/>
      <w:marTop w:val="0"/>
      <w:marBottom w:val="0"/>
      <w:divBdr>
        <w:top w:val="none" w:sz="0" w:space="0" w:color="auto"/>
        <w:left w:val="none" w:sz="0" w:space="0" w:color="auto"/>
        <w:bottom w:val="none" w:sz="0" w:space="0" w:color="auto"/>
        <w:right w:val="none" w:sz="0" w:space="0" w:color="auto"/>
      </w:divBdr>
    </w:div>
    <w:div w:id="705058017">
      <w:bodyDiv w:val="1"/>
      <w:marLeft w:val="0"/>
      <w:marRight w:val="0"/>
      <w:marTop w:val="0"/>
      <w:marBottom w:val="0"/>
      <w:divBdr>
        <w:top w:val="none" w:sz="0" w:space="0" w:color="auto"/>
        <w:left w:val="none" w:sz="0" w:space="0" w:color="auto"/>
        <w:bottom w:val="none" w:sz="0" w:space="0" w:color="auto"/>
        <w:right w:val="none" w:sz="0" w:space="0" w:color="auto"/>
      </w:divBdr>
      <w:divsChild>
        <w:div w:id="35082628">
          <w:marLeft w:val="0"/>
          <w:marRight w:val="0"/>
          <w:marTop w:val="0"/>
          <w:marBottom w:val="240"/>
          <w:divBdr>
            <w:top w:val="none" w:sz="0" w:space="0" w:color="auto"/>
            <w:left w:val="none" w:sz="0" w:space="0" w:color="auto"/>
            <w:bottom w:val="none" w:sz="0" w:space="0" w:color="auto"/>
            <w:right w:val="none" w:sz="0" w:space="0" w:color="auto"/>
          </w:divBdr>
        </w:div>
        <w:div w:id="209804772">
          <w:marLeft w:val="0"/>
          <w:marRight w:val="0"/>
          <w:marTop w:val="0"/>
          <w:marBottom w:val="240"/>
          <w:divBdr>
            <w:top w:val="none" w:sz="0" w:space="0" w:color="auto"/>
            <w:left w:val="none" w:sz="0" w:space="0" w:color="auto"/>
            <w:bottom w:val="none" w:sz="0" w:space="0" w:color="auto"/>
            <w:right w:val="none" w:sz="0" w:space="0" w:color="auto"/>
          </w:divBdr>
        </w:div>
        <w:div w:id="221185260">
          <w:marLeft w:val="0"/>
          <w:marRight w:val="0"/>
          <w:marTop w:val="0"/>
          <w:marBottom w:val="240"/>
          <w:divBdr>
            <w:top w:val="none" w:sz="0" w:space="0" w:color="auto"/>
            <w:left w:val="none" w:sz="0" w:space="0" w:color="auto"/>
            <w:bottom w:val="none" w:sz="0" w:space="0" w:color="auto"/>
            <w:right w:val="none" w:sz="0" w:space="0" w:color="auto"/>
          </w:divBdr>
        </w:div>
        <w:div w:id="356201143">
          <w:marLeft w:val="0"/>
          <w:marRight w:val="0"/>
          <w:marTop w:val="0"/>
          <w:marBottom w:val="240"/>
          <w:divBdr>
            <w:top w:val="none" w:sz="0" w:space="0" w:color="auto"/>
            <w:left w:val="none" w:sz="0" w:space="0" w:color="auto"/>
            <w:bottom w:val="none" w:sz="0" w:space="0" w:color="auto"/>
            <w:right w:val="none" w:sz="0" w:space="0" w:color="auto"/>
          </w:divBdr>
        </w:div>
        <w:div w:id="516696781">
          <w:marLeft w:val="0"/>
          <w:marRight w:val="0"/>
          <w:marTop w:val="0"/>
          <w:marBottom w:val="240"/>
          <w:divBdr>
            <w:top w:val="none" w:sz="0" w:space="0" w:color="auto"/>
            <w:left w:val="none" w:sz="0" w:space="0" w:color="auto"/>
            <w:bottom w:val="none" w:sz="0" w:space="0" w:color="auto"/>
            <w:right w:val="none" w:sz="0" w:space="0" w:color="auto"/>
          </w:divBdr>
        </w:div>
        <w:div w:id="946545143">
          <w:marLeft w:val="0"/>
          <w:marRight w:val="0"/>
          <w:marTop w:val="0"/>
          <w:marBottom w:val="240"/>
          <w:divBdr>
            <w:top w:val="none" w:sz="0" w:space="0" w:color="auto"/>
            <w:left w:val="none" w:sz="0" w:space="0" w:color="auto"/>
            <w:bottom w:val="none" w:sz="0" w:space="0" w:color="auto"/>
            <w:right w:val="none" w:sz="0" w:space="0" w:color="auto"/>
          </w:divBdr>
        </w:div>
        <w:div w:id="960919046">
          <w:marLeft w:val="0"/>
          <w:marRight w:val="0"/>
          <w:marTop w:val="0"/>
          <w:marBottom w:val="240"/>
          <w:divBdr>
            <w:top w:val="none" w:sz="0" w:space="0" w:color="auto"/>
            <w:left w:val="none" w:sz="0" w:space="0" w:color="auto"/>
            <w:bottom w:val="none" w:sz="0" w:space="0" w:color="auto"/>
            <w:right w:val="none" w:sz="0" w:space="0" w:color="auto"/>
          </w:divBdr>
        </w:div>
        <w:div w:id="1144466200">
          <w:marLeft w:val="0"/>
          <w:marRight w:val="0"/>
          <w:marTop w:val="0"/>
          <w:marBottom w:val="240"/>
          <w:divBdr>
            <w:top w:val="none" w:sz="0" w:space="0" w:color="auto"/>
            <w:left w:val="none" w:sz="0" w:space="0" w:color="auto"/>
            <w:bottom w:val="none" w:sz="0" w:space="0" w:color="auto"/>
            <w:right w:val="none" w:sz="0" w:space="0" w:color="auto"/>
          </w:divBdr>
        </w:div>
        <w:div w:id="1311443468">
          <w:marLeft w:val="0"/>
          <w:marRight w:val="0"/>
          <w:marTop w:val="0"/>
          <w:marBottom w:val="240"/>
          <w:divBdr>
            <w:top w:val="none" w:sz="0" w:space="0" w:color="auto"/>
            <w:left w:val="none" w:sz="0" w:space="0" w:color="auto"/>
            <w:bottom w:val="none" w:sz="0" w:space="0" w:color="auto"/>
            <w:right w:val="none" w:sz="0" w:space="0" w:color="auto"/>
          </w:divBdr>
        </w:div>
        <w:div w:id="1338923857">
          <w:marLeft w:val="0"/>
          <w:marRight w:val="0"/>
          <w:marTop w:val="0"/>
          <w:marBottom w:val="240"/>
          <w:divBdr>
            <w:top w:val="none" w:sz="0" w:space="0" w:color="auto"/>
            <w:left w:val="none" w:sz="0" w:space="0" w:color="auto"/>
            <w:bottom w:val="none" w:sz="0" w:space="0" w:color="auto"/>
            <w:right w:val="none" w:sz="0" w:space="0" w:color="auto"/>
          </w:divBdr>
        </w:div>
        <w:div w:id="1412846916">
          <w:marLeft w:val="0"/>
          <w:marRight w:val="0"/>
          <w:marTop w:val="0"/>
          <w:marBottom w:val="240"/>
          <w:divBdr>
            <w:top w:val="none" w:sz="0" w:space="0" w:color="auto"/>
            <w:left w:val="none" w:sz="0" w:space="0" w:color="auto"/>
            <w:bottom w:val="none" w:sz="0" w:space="0" w:color="auto"/>
            <w:right w:val="none" w:sz="0" w:space="0" w:color="auto"/>
          </w:divBdr>
        </w:div>
        <w:div w:id="1433548090">
          <w:marLeft w:val="0"/>
          <w:marRight w:val="0"/>
          <w:marTop w:val="0"/>
          <w:marBottom w:val="240"/>
          <w:divBdr>
            <w:top w:val="none" w:sz="0" w:space="0" w:color="auto"/>
            <w:left w:val="none" w:sz="0" w:space="0" w:color="auto"/>
            <w:bottom w:val="none" w:sz="0" w:space="0" w:color="auto"/>
            <w:right w:val="none" w:sz="0" w:space="0" w:color="auto"/>
          </w:divBdr>
        </w:div>
        <w:div w:id="1438596048">
          <w:marLeft w:val="0"/>
          <w:marRight w:val="0"/>
          <w:marTop w:val="0"/>
          <w:marBottom w:val="0"/>
          <w:divBdr>
            <w:top w:val="none" w:sz="0" w:space="0" w:color="auto"/>
            <w:left w:val="none" w:sz="0" w:space="0" w:color="auto"/>
            <w:bottom w:val="none" w:sz="0" w:space="0" w:color="auto"/>
            <w:right w:val="none" w:sz="0" w:space="0" w:color="auto"/>
          </w:divBdr>
        </w:div>
        <w:div w:id="1597203610">
          <w:marLeft w:val="0"/>
          <w:marRight w:val="0"/>
          <w:marTop w:val="0"/>
          <w:marBottom w:val="240"/>
          <w:divBdr>
            <w:top w:val="none" w:sz="0" w:space="0" w:color="auto"/>
            <w:left w:val="none" w:sz="0" w:space="0" w:color="auto"/>
            <w:bottom w:val="none" w:sz="0" w:space="0" w:color="auto"/>
            <w:right w:val="none" w:sz="0" w:space="0" w:color="auto"/>
          </w:divBdr>
        </w:div>
        <w:div w:id="1672368797">
          <w:marLeft w:val="0"/>
          <w:marRight w:val="0"/>
          <w:marTop w:val="0"/>
          <w:marBottom w:val="240"/>
          <w:divBdr>
            <w:top w:val="none" w:sz="0" w:space="0" w:color="auto"/>
            <w:left w:val="none" w:sz="0" w:space="0" w:color="auto"/>
            <w:bottom w:val="none" w:sz="0" w:space="0" w:color="auto"/>
            <w:right w:val="none" w:sz="0" w:space="0" w:color="auto"/>
          </w:divBdr>
        </w:div>
        <w:div w:id="1719819977">
          <w:marLeft w:val="0"/>
          <w:marRight w:val="0"/>
          <w:marTop w:val="0"/>
          <w:marBottom w:val="240"/>
          <w:divBdr>
            <w:top w:val="none" w:sz="0" w:space="0" w:color="auto"/>
            <w:left w:val="none" w:sz="0" w:space="0" w:color="auto"/>
            <w:bottom w:val="none" w:sz="0" w:space="0" w:color="auto"/>
            <w:right w:val="none" w:sz="0" w:space="0" w:color="auto"/>
          </w:divBdr>
        </w:div>
        <w:div w:id="1771777583">
          <w:marLeft w:val="0"/>
          <w:marRight w:val="0"/>
          <w:marTop w:val="0"/>
          <w:marBottom w:val="240"/>
          <w:divBdr>
            <w:top w:val="none" w:sz="0" w:space="0" w:color="auto"/>
            <w:left w:val="none" w:sz="0" w:space="0" w:color="auto"/>
            <w:bottom w:val="none" w:sz="0" w:space="0" w:color="auto"/>
            <w:right w:val="none" w:sz="0" w:space="0" w:color="auto"/>
          </w:divBdr>
        </w:div>
        <w:div w:id="2014188053">
          <w:marLeft w:val="0"/>
          <w:marRight w:val="0"/>
          <w:marTop w:val="0"/>
          <w:marBottom w:val="240"/>
          <w:divBdr>
            <w:top w:val="none" w:sz="0" w:space="0" w:color="auto"/>
            <w:left w:val="none" w:sz="0" w:space="0" w:color="auto"/>
            <w:bottom w:val="none" w:sz="0" w:space="0" w:color="auto"/>
            <w:right w:val="none" w:sz="0" w:space="0" w:color="auto"/>
          </w:divBdr>
        </w:div>
      </w:divsChild>
    </w:div>
    <w:div w:id="800659202">
      <w:bodyDiv w:val="1"/>
      <w:marLeft w:val="0"/>
      <w:marRight w:val="0"/>
      <w:marTop w:val="0"/>
      <w:marBottom w:val="0"/>
      <w:divBdr>
        <w:top w:val="none" w:sz="0" w:space="0" w:color="auto"/>
        <w:left w:val="none" w:sz="0" w:space="0" w:color="auto"/>
        <w:bottom w:val="none" w:sz="0" w:space="0" w:color="auto"/>
        <w:right w:val="none" w:sz="0" w:space="0" w:color="auto"/>
      </w:divBdr>
    </w:div>
    <w:div w:id="1025402545">
      <w:bodyDiv w:val="1"/>
      <w:marLeft w:val="0"/>
      <w:marRight w:val="0"/>
      <w:marTop w:val="0"/>
      <w:marBottom w:val="0"/>
      <w:divBdr>
        <w:top w:val="none" w:sz="0" w:space="0" w:color="auto"/>
        <w:left w:val="none" w:sz="0" w:space="0" w:color="auto"/>
        <w:bottom w:val="none" w:sz="0" w:space="0" w:color="auto"/>
        <w:right w:val="none" w:sz="0" w:space="0" w:color="auto"/>
      </w:divBdr>
      <w:divsChild>
        <w:div w:id="1007711032">
          <w:marLeft w:val="0"/>
          <w:marRight w:val="0"/>
          <w:marTop w:val="0"/>
          <w:marBottom w:val="240"/>
          <w:divBdr>
            <w:top w:val="none" w:sz="0" w:space="0" w:color="auto"/>
            <w:left w:val="none" w:sz="0" w:space="0" w:color="auto"/>
            <w:bottom w:val="none" w:sz="0" w:space="0" w:color="auto"/>
            <w:right w:val="none" w:sz="0" w:space="0" w:color="auto"/>
          </w:divBdr>
        </w:div>
        <w:div w:id="1667899409">
          <w:marLeft w:val="0"/>
          <w:marRight w:val="0"/>
          <w:marTop w:val="0"/>
          <w:marBottom w:val="0"/>
          <w:divBdr>
            <w:top w:val="none" w:sz="0" w:space="0" w:color="auto"/>
            <w:left w:val="none" w:sz="0" w:space="0" w:color="auto"/>
            <w:bottom w:val="none" w:sz="0" w:space="0" w:color="auto"/>
            <w:right w:val="none" w:sz="0" w:space="0" w:color="auto"/>
          </w:divBdr>
        </w:div>
      </w:divsChild>
    </w:div>
    <w:div w:id="1035272394">
      <w:bodyDiv w:val="1"/>
      <w:marLeft w:val="0"/>
      <w:marRight w:val="0"/>
      <w:marTop w:val="0"/>
      <w:marBottom w:val="0"/>
      <w:divBdr>
        <w:top w:val="none" w:sz="0" w:space="0" w:color="auto"/>
        <w:left w:val="none" w:sz="0" w:space="0" w:color="auto"/>
        <w:bottom w:val="none" w:sz="0" w:space="0" w:color="auto"/>
        <w:right w:val="none" w:sz="0" w:space="0" w:color="auto"/>
      </w:divBdr>
    </w:div>
    <w:div w:id="2044748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A6DE-FBA7-499D-BE00-A814DE97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1668</Words>
  <Characters>9512</Characters>
  <Application>Microsoft Office Word</Application>
  <DocSecurity>0</DocSecurity>
  <Lines>79</Lines>
  <Paragraphs>22</Paragraphs>
  <ScaleCrop>false</ScaleCrop>
  <Company>BeiGene</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Zou</dc:creator>
  <cp:keywords/>
  <dc:description/>
  <cp:lastModifiedBy>Xiangkun Wang</cp:lastModifiedBy>
  <cp:revision>5</cp:revision>
  <dcterms:created xsi:type="dcterms:W3CDTF">2025-05-09T09:10:00Z</dcterms:created>
  <dcterms:modified xsi:type="dcterms:W3CDTF">2025-05-09T09:26:00Z</dcterms:modified>
</cp:coreProperties>
</file>