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B52CD" w14:textId="77777777" w:rsidR="005100C9" w:rsidRPr="005100C9" w:rsidRDefault="005100C9" w:rsidP="005100C9">
      <w:pPr>
        <w:adjustRightInd w:val="0"/>
        <w:snapToGrid w:val="0"/>
        <w:spacing w:line="600" w:lineRule="exact"/>
        <w:rPr>
          <w:rFonts w:ascii="Times New Roman" w:eastAsia="宋体" w:hAnsi="Times New Roman" w:cs="Times New Roman"/>
          <w:sz w:val="24"/>
          <w:szCs w:val="24"/>
          <w14:ligatures w14:val="none"/>
        </w:rPr>
      </w:pP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>A</w:t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>股代码：</w:t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688235 </w:t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  <w:t>A</w:t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>股简称：百济神州</w:t>
      </w:r>
    </w:p>
    <w:p w14:paraId="63643E57" w14:textId="77777777" w:rsidR="005100C9" w:rsidRPr="005100C9" w:rsidRDefault="005100C9" w:rsidP="005100C9">
      <w:pPr>
        <w:adjustRightInd w:val="0"/>
        <w:snapToGrid w:val="0"/>
        <w:spacing w:line="600" w:lineRule="exact"/>
        <w:rPr>
          <w:rFonts w:ascii="Times New Roman" w:eastAsia="宋体" w:hAnsi="Times New Roman" w:cs="Times New Roman"/>
          <w:sz w:val="24"/>
          <w:szCs w:val="24"/>
          <w14:ligatures w14:val="none"/>
        </w:rPr>
      </w:pP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>港股代码：</w:t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 xml:space="preserve">06160 </w:t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ab/>
      </w: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>港股简称：百济神州</w:t>
      </w:r>
    </w:p>
    <w:p w14:paraId="17B86E78" w14:textId="77777777" w:rsidR="005100C9" w:rsidRPr="005100C9" w:rsidRDefault="005100C9" w:rsidP="005100C9">
      <w:pPr>
        <w:adjustRightInd w:val="0"/>
        <w:snapToGrid w:val="0"/>
        <w:spacing w:line="600" w:lineRule="exact"/>
        <w:rPr>
          <w:rFonts w:ascii="Times New Roman" w:eastAsia="宋体" w:hAnsi="Times New Roman" w:cs="Times New Roman"/>
          <w:sz w:val="24"/>
          <w:szCs w:val="24"/>
          <w14:ligatures w14:val="none"/>
        </w:rPr>
      </w:pPr>
      <w:r w:rsidRPr="005100C9">
        <w:rPr>
          <w:rFonts w:ascii="Times New Roman" w:eastAsia="宋体" w:hAnsi="Times New Roman" w:cs="Times New Roman"/>
          <w:sz w:val="24"/>
          <w:szCs w:val="24"/>
          <w14:ligatures w14:val="none"/>
        </w:rPr>
        <w:t>美股代码：</w:t>
      </w:r>
      <w:r w:rsidRPr="005100C9">
        <w:rPr>
          <w:rFonts w:ascii="Times New Roman" w:eastAsia="宋体" w:hAnsi="Times New Roman" w:cs="Times New Roman" w:hint="eastAsia"/>
          <w:sz w:val="24"/>
          <w:szCs w:val="24"/>
          <w14:ligatures w14:val="none"/>
        </w:rPr>
        <w:t>ONC</w:t>
      </w:r>
    </w:p>
    <w:p w14:paraId="1972A36C" w14:textId="77777777" w:rsidR="005100C9" w:rsidRPr="005100C9" w:rsidRDefault="005100C9" w:rsidP="005100C9">
      <w:pPr>
        <w:adjustRightInd w:val="0"/>
        <w:snapToGrid w:val="0"/>
        <w:spacing w:beforeLines="50" w:before="156" w:line="600" w:lineRule="exact"/>
        <w:jc w:val="center"/>
        <w:rPr>
          <w:rFonts w:ascii="Times New Roman" w:eastAsia="宋体" w:hAnsi="Times New Roman" w:cs="Times New Roman"/>
          <w:b/>
          <w:sz w:val="36"/>
          <w:szCs w:val="36"/>
          <w14:ligatures w14:val="none"/>
        </w:rPr>
      </w:pPr>
      <w:r w:rsidRPr="005100C9">
        <w:rPr>
          <w:rFonts w:ascii="Times New Roman" w:eastAsia="宋体" w:hAnsi="Times New Roman" w:cs="Times New Roman"/>
          <w:b/>
          <w:sz w:val="36"/>
          <w:szCs w:val="36"/>
          <w14:ligatures w14:val="none"/>
        </w:rPr>
        <w:t>百济神州有限公司</w:t>
      </w:r>
    </w:p>
    <w:p w14:paraId="5DF4380E" w14:textId="77777777" w:rsidR="005100C9" w:rsidRPr="005100C9" w:rsidRDefault="005100C9" w:rsidP="005100C9">
      <w:pPr>
        <w:adjustRightInd w:val="0"/>
        <w:snapToGrid w:val="0"/>
        <w:spacing w:line="500" w:lineRule="exact"/>
        <w:jc w:val="center"/>
        <w:rPr>
          <w:rFonts w:ascii="Times New Roman" w:eastAsia="宋体" w:hAnsi="Times New Roman" w:cs="Times New Roman"/>
          <w:b/>
          <w:sz w:val="36"/>
          <w:szCs w:val="36"/>
          <w14:ligatures w14:val="none"/>
        </w:rPr>
      </w:pPr>
      <w:r w:rsidRPr="005100C9">
        <w:rPr>
          <w:rFonts w:ascii="Times New Roman" w:eastAsia="宋体" w:hAnsi="Times New Roman" w:cs="Times New Roman"/>
          <w:b/>
          <w:sz w:val="36"/>
          <w:szCs w:val="36"/>
          <w14:ligatures w14:val="none"/>
        </w:rPr>
        <w:t>投资者关系活动记录表</w:t>
      </w:r>
    </w:p>
    <w:p w14:paraId="7D175869" w14:textId="77777777" w:rsidR="005100C9" w:rsidRPr="005100C9" w:rsidRDefault="005100C9" w:rsidP="005100C9">
      <w:pPr>
        <w:adjustRightInd w:val="0"/>
        <w:snapToGrid w:val="0"/>
        <w:spacing w:line="500" w:lineRule="exact"/>
        <w:jc w:val="center"/>
        <w:rPr>
          <w:rFonts w:ascii="Times New Roman" w:eastAsia="宋体" w:hAnsi="Times New Roman" w:cs="Times New Roman"/>
          <w:sz w:val="24"/>
          <w:szCs w:val="36"/>
          <w14:ligatures w14:val="none"/>
        </w:rPr>
      </w:pPr>
      <w:r w:rsidRPr="005100C9">
        <w:rPr>
          <w:rFonts w:ascii="Times New Roman" w:eastAsia="宋体" w:hAnsi="Times New Roman" w:cs="Times New Roman"/>
          <w:sz w:val="24"/>
          <w:szCs w:val="36"/>
          <w14:ligatures w14:val="none"/>
        </w:rPr>
        <w:t>（</w:t>
      </w:r>
      <w:r w:rsidRPr="005100C9">
        <w:rPr>
          <w:rFonts w:ascii="Times New Roman" w:eastAsia="宋体" w:hAnsi="Times New Roman" w:cs="Times New Roman"/>
          <w:sz w:val="24"/>
          <w:szCs w:val="36"/>
          <w14:ligatures w14:val="none"/>
        </w:rPr>
        <w:t>202</w:t>
      </w:r>
      <w:r w:rsidRPr="005100C9">
        <w:rPr>
          <w:rFonts w:ascii="Times New Roman" w:eastAsia="宋体" w:hAnsi="Times New Roman" w:cs="Times New Roman" w:hint="eastAsia"/>
          <w:sz w:val="24"/>
          <w:szCs w:val="36"/>
          <w14:ligatures w14:val="none"/>
        </w:rPr>
        <w:t>5</w:t>
      </w:r>
      <w:r w:rsidRPr="005100C9">
        <w:rPr>
          <w:rFonts w:ascii="Times New Roman" w:eastAsia="宋体" w:hAnsi="Times New Roman" w:cs="Times New Roman"/>
          <w:sz w:val="24"/>
          <w:szCs w:val="36"/>
          <w14:ligatures w14:val="none"/>
        </w:rPr>
        <w:t>年</w:t>
      </w:r>
      <w:r w:rsidRPr="005100C9">
        <w:rPr>
          <w:rFonts w:ascii="Times New Roman" w:eastAsia="宋体" w:hAnsi="Times New Roman" w:cs="Times New Roman" w:hint="eastAsia"/>
          <w:sz w:val="24"/>
          <w:szCs w:val="36"/>
          <w14:ligatures w14:val="none"/>
        </w:rPr>
        <w:t>5</w:t>
      </w:r>
      <w:r w:rsidRPr="005100C9">
        <w:rPr>
          <w:rFonts w:ascii="Times New Roman" w:eastAsia="宋体" w:hAnsi="Times New Roman" w:cs="Times New Roman"/>
          <w:sz w:val="24"/>
          <w:szCs w:val="36"/>
          <w14:ligatures w14:val="none"/>
        </w:rPr>
        <w:t>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7045"/>
      </w:tblGrid>
      <w:tr w:rsidR="005100C9" w:rsidRPr="005100C9" w14:paraId="104A91D2" w14:textId="77777777" w:rsidTr="338F8E0A">
        <w:trPr>
          <w:jc w:val="center"/>
        </w:trPr>
        <w:tc>
          <w:tcPr>
            <w:tcW w:w="1526" w:type="dxa"/>
          </w:tcPr>
          <w:p w14:paraId="03A7A07F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投资者关系活动类别</w:t>
            </w:r>
          </w:p>
        </w:tc>
        <w:tc>
          <w:tcPr>
            <w:tcW w:w="7238" w:type="dxa"/>
          </w:tcPr>
          <w:p w14:paraId="50C4CE6D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□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特定对象调研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 xml:space="preserve">             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分析师会议</w:t>
            </w:r>
          </w:p>
          <w:p w14:paraId="292FFE78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bookmarkStart w:id="0" w:name="OLE_LINK188"/>
            <w:bookmarkStart w:id="1" w:name="OLE_LINK189"/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□</w:t>
            </w:r>
            <w:bookmarkEnd w:id="0"/>
            <w:bookmarkEnd w:id="1"/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媒体采访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 xml:space="preserve">                 √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业绩说明会</w:t>
            </w:r>
          </w:p>
          <w:p w14:paraId="31421763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□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新闻发布会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 xml:space="preserve">               □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路演活动</w:t>
            </w:r>
          </w:p>
          <w:p w14:paraId="4F8809FB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□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现场参观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 xml:space="preserve">                 □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一对一沟通</w:t>
            </w:r>
          </w:p>
          <w:p w14:paraId="30F3B3EE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□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其他（电话会议）</w:t>
            </w:r>
          </w:p>
        </w:tc>
      </w:tr>
      <w:tr w:rsidR="005100C9" w:rsidRPr="005100C9" w14:paraId="740534A9" w14:textId="77777777" w:rsidTr="338F8E0A">
        <w:trPr>
          <w:trHeight w:val="938"/>
          <w:jc w:val="center"/>
        </w:trPr>
        <w:tc>
          <w:tcPr>
            <w:tcW w:w="1526" w:type="dxa"/>
          </w:tcPr>
          <w:p w14:paraId="17C8EF65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参与单位</w:t>
            </w:r>
          </w:p>
          <w:p w14:paraId="1294C1D2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及人员</w:t>
            </w:r>
          </w:p>
        </w:tc>
        <w:tc>
          <w:tcPr>
            <w:tcW w:w="7238" w:type="dxa"/>
          </w:tcPr>
          <w:p w14:paraId="6FDC5DBE" w14:textId="2CE0BF97" w:rsidR="005100C9" w:rsidRPr="005100C9" w:rsidRDefault="00274DAD" w:rsidP="338F8E0A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12" w:lineRule="auto"/>
              <w:contextualSpacing/>
              <w:rPr>
                <w:rFonts w:ascii="Times New Roman" w:eastAsia="宋体" w:hAnsi="Times New Roman" w:cs="Times New Roman"/>
                <w:sz w:val="22"/>
                <w14:ligatures w14:val="none"/>
              </w:rPr>
            </w:pPr>
            <w:proofErr w:type="spellStart"/>
            <w:r w:rsidRPr="338F8E0A">
              <w:rPr>
                <w:rFonts w:ascii="Times New Roman" w:eastAsia="宋体" w:hAnsi="Times New Roman" w:cs="Times New Roman"/>
                <w:sz w:val="22"/>
              </w:rPr>
              <w:t>Ariose</w:t>
            </w:r>
            <w:proofErr w:type="spellEnd"/>
            <w:r w:rsidRPr="338F8E0A">
              <w:rPr>
                <w:rFonts w:ascii="Times New Roman" w:eastAsia="宋体" w:hAnsi="Times New Roman" w:cs="Times New Roman"/>
                <w:sz w:val="22"/>
              </w:rPr>
              <w:t xml:space="preserve"> Capital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proofErr w:type="spellStart"/>
            <w:r w:rsidRPr="338F8E0A">
              <w:rPr>
                <w:rFonts w:ascii="Times New Roman" w:eastAsia="宋体" w:hAnsi="Times New Roman" w:cs="Times New Roman"/>
                <w:sz w:val="22"/>
              </w:rPr>
              <w:t>Azimut</w:t>
            </w:r>
            <w:proofErr w:type="spellEnd"/>
            <w:r w:rsidRPr="338F8E0A">
              <w:rPr>
                <w:rFonts w:ascii="Times New Roman" w:eastAsia="宋体" w:hAnsi="Times New Roman" w:cs="Times New Roman"/>
                <w:sz w:val="22"/>
              </w:rPr>
              <w:t xml:space="preserve"> Investment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Baillie Gifford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Capital Group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Chino Asset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proofErr w:type="spellStart"/>
            <w:r w:rsidRPr="338F8E0A">
              <w:rPr>
                <w:rFonts w:ascii="Times New Roman" w:eastAsia="宋体" w:hAnsi="Times New Roman" w:cs="Times New Roman"/>
                <w:sz w:val="22"/>
              </w:rPr>
              <w:t>Eastspring</w:t>
            </w:r>
            <w:proofErr w:type="spellEnd"/>
            <w:r w:rsidRPr="338F8E0A">
              <w:rPr>
                <w:rFonts w:ascii="Times New Roman" w:eastAsia="宋体" w:hAnsi="Times New Roman" w:cs="Times New Roman"/>
                <w:sz w:val="22"/>
              </w:rPr>
              <w:t xml:space="preserve"> Investment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proofErr w:type="spellStart"/>
            <w:r w:rsidRPr="338F8E0A">
              <w:rPr>
                <w:rFonts w:ascii="Times New Roman" w:eastAsia="宋体" w:hAnsi="Times New Roman" w:cs="Times New Roman"/>
                <w:sz w:val="22"/>
              </w:rPr>
              <w:t>Fountaincap</w:t>
            </w:r>
            <w:proofErr w:type="spellEnd"/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proofErr w:type="spellStart"/>
            <w:r w:rsidRPr="338F8E0A">
              <w:rPr>
                <w:rFonts w:ascii="Times New Roman" w:eastAsia="宋体" w:hAnsi="Times New Roman" w:cs="Times New Roman"/>
                <w:sz w:val="22"/>
              </w:rPr>
              <w:t>Greencourt</w:t>
            </w:r>
            <w:proofErr w:type="spellEnd"/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New Silk Road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Sage Partners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UBS Am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Yong Rong Asset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t>、安信基金、宝盈基金、保银投资、北京鑫翰投资有限公司、北京永域资产管理有限公司、贝莱德基金、彼得明奇、博道基金、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博衍基金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、财通基金、崇山投资、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创金合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信基金、淳厚基金、大家资产、大朴资产、大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筝资管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、德邦证券、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东财基金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、东方阿尔法基金、东方国际、东方红资管、东吴基金、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敦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和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资管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、法国巴黎资产管理、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沣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谊投资、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峰境基金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、高毅资产、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观富资产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光证资管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、广东正圆私募基金管理有限公司、广发基金、国海富兰克林、国寿养老、国泰海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通资管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国投瑞银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基金、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国证资管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、韩国投信、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和谐汇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一、和谐健康保险、红筹投资、宏道投资、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泓澄投资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泓德基金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、湖南医药基金、华安基金、华宝基金、华能贵诚信托有限公司、华夏久盈、华夏未来资本、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汇添富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基金、惠升基金、混沌天成、混沌投资、嘉实基金、建信基金、交银基金、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交银施罗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德、金鹰基金、景领投资、景泰资本集团、君和资本、开源证券、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凯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昇投资、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瓴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仁投资、领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骥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资本、明河投资、摩根基金、摩根士丹利基金、南京泰诚投资有限公司、南土资产、鹏华基金、平安养老、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浦银安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盛基金、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浦银国际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、青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骊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投资、清池资本、人保资产、瑞华投资、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润晖投资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、上海博润投资管理有限公司、上海峰境基金、上海希瓦、上海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易正朗投资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、上海易正朗投资管理有限公司、上海楹联健康投资、上海紫阁投资管理有限公司、深圳市华夏复利私募证券基金管理有限公司、深圳市千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榕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资产管理有限公</w:t>
            </w:r>
            <w:r w:rsidRPr="338F8E0A">
              <w:rPr>
                <w:rFonts w:ascii="Times New Roman" w:eastAsia="宋体" w:hAnsi="Times New Roman" w:cs="Times New Roman"/>
                <w:sz w:val="22"/>
              </w:rPr>
              <w:lastRenderedPageBreak/>
              <w:t>司、深圳市深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汕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特别合作区智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汕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引导基金投资有限公司、深圳市兴海荣投资有限公司、深圳中欧瑞博投资、拾贝投资、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世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诚投资、太保资产、太平基金、太平养老保险股份有限公司、太平资产管理有限公司、泰康基金、泰康资产管理有限责任公司、天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瓴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投资、</w:t>
            </w:r>
            <w:proofErr w:type="gramStart"/>
            <w:r w:rsidRPr="338F8E0A">
              <w:rPr>
                <w:rFonts w:ascii="Times New Roman" w:eastAsia="宋体" w:hAnsi="Times New Roman" w:cs="Times New Roman"/>
                <w:sz w:val="22"/>
              </w:rPr>
              <w:t>彤</w:t>
            </w:r>
            <w:proofErr w:type="gramEnd"/>
            <w:r w:rsidRPr="338F8E0A">
              <w:rPr>
                <w:rFonts w:ascii="Times New Roman" w:eastAsia="宋体" w:hAnsi="Times New Roman" w:cs="Times New Roman"/>
                <w:sz w:val="22"/>
              </w:rPr>
              <w:t>源投资、潼骁投资、沃霖资产、西部利得基金、禧弘基金、仙人掌基金、湘禾投资、谢诺辰阳、新华基金、新华资产、鑫焱创投、信达澳亚、兴合基金、兴银理财、兴证全球基金管理有限公司、亚太财险、阳光保险资管、易方达、英大基金、英大信托、甬兴证券、煜德投资、圆信永丰、圆信永丰基金、远信投资、长城基金、长江养老、长盛基金、长信基金、招商基金、招银理财、浙商证券、臻宜投资、正奇资本、正心谷资本、致顺投资、中国人寿资产、中金公司、中欧基金、中泰证券、中天国富证券、中信保诚基金、中信证券、中信资管、中银基金、中银资管、中再资产、重阳投资等。</w:t>
            </w:r>
          </w:p>
        </w:tc>
      </w:tr>
      <w:tr w:rsidR="005100C9" w:rsidRPr="005100C9" w14:paraId="0B6DD5B0" w14:textId="77777777" w:rsidTr="338F8E0A">
        <w:trPr>
          <w:trHeight w:val="544"/>
          <w:jc w:val="center"/>
        </w:trPr>
        <w:tc>
          <w:tcPr>
            <w:tcW w:w="1526" w:type="dxa"/>
          </w:tcPr>
          <w:p w14:paraId="06C2344E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lastRenderedPageBreak/>
              <w:t>时间</w:t>
            </w:r>
          </w:p>
        </w:tc>
        <w:tc>
          <w:tcPr>
            <w:tcW w:w="7238" w:type="dxa"/>
            <w:vAlign w:val="center"/>
          </w:tcPr>
          <w:p w14:paraId="635D4004" w14:textId="17C6D106" w:rsidR="005100C9" w:rsidRPr="005100C9" w:rsidRDefault="005100C9" w:rsidP="005100C9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12" w:lineRule="auto"/>
              <w:contextualSpacing/>
              <w:rPr>
                <w:rFonts w:ascii="Times New Roman" w:eastAsia="宋体" w:hAnsi="Times New Roman" w:cs="Times New Roman"/>
                <w:sz w:val="22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2"/>
                <w14:ligatures w14:val="none"/>
              </w:rPr>
              <w:t>202</w:t>
            </w:r>
            <w:r w:rsidRPr="005100C9">
              <w:rPr>
                <w:rFonts w:ascii="Times New Roman" w:eastAsia="宋体" w:hAnsi="Times New Roman" w:cs="Times New Roman" w:hint="eastAsia"/>
                <w:sz w:val="22"/>
                <w14:ligatures w14:val="none"/>
              </w:rPr>
              <w:t>5</w:t>
            </w:r>
            <w:r w:rsidRPr="005100C9">
              <w:rPr>
                <w:rFonts w:ascii="Times New Roman" w:eastAsia="宋体" w:hAnsi="Times New Roman" w:cs="Times New Roman"/>
                <w:sz w:val="22"/>
                <w14:ligatures w14:val="none"/>
              </w:rPr>
              <w:t>年</w:t>
            </w:r>
            <w:r w:rsidRPr="005100C9">
              <w:rPr>
                <w:rFonts w:ascii="Times New Roman" w:eastAsia="宋体" w:hAnsi="Times New Roman" w:cs="Times New Roman" w:hint="eastAsia"/>
                <w:sz w:val="22"/>
                <w14:ligatures w14:val="none"/>
              </w:rPr>
              <w:t>5</w:t>
            </w:r>
            <w:r w:rsidRPr="005100C9">
              <w:rPr>
                <w:rFonts w:ascii="Times New Roman" w:eastAsia="宋体" w:hAnsi="Times New Roman" w:cs="Times New Roman"/>
                <w:sz w:val="22"/>
                <w14:ligatures w14:val="none"/>
              </w:rPr>
              <w:t>月</w:t>
            </w:r>
            <w:r w:rsidR="00DC7CD0">
              <w:rPr>
                <w:rFonts w:ascii="Times New Roman" w:eastAsia="宋体" w:hAnsi="Times New Roman" w:cs="Times New Roman" w:hint="eastAsia"/>
                <w:sz w:val="22"/>
                <w14:ligatures w14:val="none"/>
              </w:rPr>
              <w:t>8</w:t>
            </w:r>
            <w:r w:rsidRPr="005100C9">
              <w:rPr>
                <w:rFonts w:ascii="Times New Roman" w:eastAsia="宋体" w:hAnsi="Times New Roman" w:cs="Times New Roman"/>
                <w:sz w:val="22"/>
                <w14:ligatures w14:val="none"/>
              </w:rPr>
              <w:t>日</w:t>
            </w:r>
          </w:p>
        </w:tc>
      </w:tr>
      <w:tr w:rsidR="005100C9" w:rsidRPr="005100C9" w14:paraId="78092122" w14:textId="77777777" w:rsidTr="338F8E0A">
        <w:trPr>
          <w:jc w:val="center"/>
        </w:trPr>
        <w:tc>
          <w:tcPr>
            <w:tcW w:w="1526" w:type="dxa"/>
          </w:tcPr>
          <w:p w14:paraId="0FAB7A90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地点</w:t>
            </w:r>
          </w:p>
        </w:tc>
        <w:tc>
          <w:tcPr>
            <w:tcW w:w="7238" w:type="dxa"/>
          </w:tcPr>
          <w:p w14:paraId="40898D93" w14:textId="77777777" w:rsidR="005100C9" w:rsidRPr="005100C9" w:rsidRDefault="005100C9" w:rsidP="005100C9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2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2"/>
                <w14:ligatures w14:val="none"/>
              </w:rPr>
              <w:t>电话会议</w:t>
            </w:r>
          </w:p>
        </w:tc>
      </w:tr>
      <w:tr w:rsidR="005100C9" w:rsidRPr="005100C9" w14:paraId="1CF5B540" w14:textId="77777777" w:rsidTr="338F8E0A">
        <w:trPr>
          <w:jc w:val="center"/>
        </w:trPr>
        <w:tc>
          <w:tcPr>
            <w:tcW w:w="1526" w:type="dxa"/>
          </w:tcPr>
          <w:p w14:paraId="1149024D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接待人员</w:t>
            </w:r>
          </w:p>
        </w:tc>
        <w:tc>
          <w:tcPr>
            <w:tcW w:w="7238" w:type="dxa"/>
          </w:tcPr>
          <w:p w14:paraId="25E49E9F" w14:textId="27C17313" w:rsidR="00FB1185" w:rsidRDefault="00940717" w:rsidP="005100C9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2"/>
                <w14:ligatures w14:val="none"/>
              </w:rPr>
            </w:pPr>
            <w:r w:rsidRPr="00940717">
              <w:rPr>
                <w:rFonts w:ascii="Times New Roman" w:eastAsia="宋体" w:hAnsi="Times New Roman" w:cs="Times New Roman" w:hint="eastAsia"/>
                <w:sz w:val="22"/>
                <w14:ligatures w14:val="none"/>
              </w:rPr>
              <w:t>总裁兼首席运营官</w:t>
            </w:r>
            <w:r>
              <w:rPr>
                <w:rFonts w:ascii="Times New Roman" w:eastAsia="宋体" w:hAnsi="Times New Roman" w:cs="Times New Roman" w:hint="eastAsia"/>
                <w:sz w:val="22"/>
                <w14:ligatures w14:val="none"/>
              </w:rPr>
              <w:t>：</w:t>
            </w:r>
            <w:r w:rsidR="004F6426" w:rsidRPr="004F6426">
              <w:rPr>
                <w:rFonts w:ascii="Times New Roman" w:eastAsia="宋体" w:hAnsi="Times New Roman" w:cs="Times New Roman" w:hint="eastAsia"/>
                <w:sz w:val="22"/>
                <w14:ligatures w14:val="none"/>
              </w:rPr>
              <w:t>吴晓滨</w:t>
            </w:r>
          </w:p>
          <w:p w14:paraId="0367C136" w14:textId="4F9F1B3C" w:rsidR="005100C9" w:rsidRPr="005100C9" w:rsidRDefault="005100C9" w:rsidP="005100C9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2"/>
                <w14:ligatures w14:val="none"/>
              </w:rPr>
            </w:pPr>
            <w:r w:rsidRPr="005100C9">
              <w:rPr>
                <w:rFonts w:ascii="Times New Roman" w:eastAsia="宋体" w:hAnsi="Times New Roman" w:cs="Times New Roman" w:hint="eastAsia"/>
                <w:sz w:val="22"/>
                <w14:ligatures w14:val="none"/>
              </w:rPr>
              <w:t>高级副总裁、全球研发负责人：汪来</w:t>
            </w:r>
          </w:p>
          <w:p w14:paraId="4C8B7433" w14:textId="19F960EE" w:rsidR="005100C9" w:rsidRPr="005100C9" w:rsidRDefault="00590BA4" w:rsidP="005100C9">
            <w:pPr>
              <w:tabs>
                <w:tab w:val="left" w:pos="1014"/>
                <w:tab w:val="left" w:pos="4360"/>
                <w:tab w:val="left" w:pos="5704"/>
              </w:tabs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2"/>
                <w14:ligatures w14:val="none"/>
              </w:rPr>
            </w:pPr>
            <w:r w:rsidRPr="00590BA4">
              <w:rPr>
                <w:rFonts w:ascii="Times New Roman" w:eastAsia="宋体" w:hAnsi="Times New Roman" w:cs="Times New Roman" w:hint="eastAsia"/>
                <w:sz w:val="22"/>
                <w14:ligatures w14:val="none"/>
              </w:rPr>
              <w:t>亚太区投资者关系负责人及信息披露境内代表：周密</w:t>
            </w:r>
          </w:p>
        </w:tc>
      </w:tr>
      <w:tr w:rsidR="005100C9" w:rsidRPr="005100C9" w14:paraId="7386E02C" w14:textId="77777777" w:rsidTr="338F8E0A">
        <w:trPr>
          <w:jc w:val="center"/>
        </w:trPr>
        <w:tc>
          <w:tcPr>
            <w:tcW w:w="1526" w:type="dxa"/>
          </w:tcPr>
          <w:p w14:paraId="1937213C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jc w:val="left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投资者关系活动主要内容介绍</w:t>
            </w:r>
          </w:p>
        </w:tc>
        <w:tc>
          <w:tcPr>
            <w:tcW w:w="7238" w:type="dxa"/>
          </w:tcPr>
          <w:p w14:paraId="5D3F4BC8" w14:textId="652E08E3" w:rsidR="00612C8F" w:rsidRDefault="00612C8F" w:rsidP="00470BA9">
            <w:pPr>
              <w:widowControl/>
              <w:spacing w:line="360" w:lineRule="auto"/>
              <w:ind w:firstLineChars="200" w:firstLine="440"/>
              <w:contextualSpacing/>
              <w:jc w:val="left"/>
              <w:rPr>
                <w:rFonts w:ascii="宋体" w:eastAsia="宋体" w:hAnsi="宋体" w:cs="Times New Roman" w:hint="eastAsia"/>
                <w:b/>
                <w:sz w:val="22"/>
              </w:rPr>
            </w:pPr>
            <w:r w:rsidRPr="00E8241E">
              <w:rPr>
                <w:rFonts w:ascii="宋体" w:eastAsia="宋体" w:hAnsi="宋体" w:cs="Times New Roman" w:hint="eastAsia"/>
                <w:sz w:val="22"/>
              </w:rPr>
              <w:t>公司管理层就近期业务进展与参会投资机构进行沟通，并就参会</w:t>
            </w:r>
            <w:r w:rsidRPr="00E8241E">
              <w:rPr>
                <w:rFonts w:ascii="宋体" w:eastAsia="宋体" w:hAnsi="宋体" w:cs="Times New Roman" w:hint="eastAsia"/>
                <w:bCs/>
                <w:sz w:val="22"/>
              </w:rPr>
              <w:t>人员相关</w:t>
            </w:r>
            <w:r w:rsidRPr="00E8241E">
              <w:rPr>
                <w:rFonts w:ascii="宋体" w:eastAsia="宋体" w:hAnsi="宋体" w:cs="Times New Roman" w:hint="eastAsia"/>
                <w:sz w:val="22"/>
              </w:rPr>
              <w:t>问题进行回复。</w:t>
            </w:r>
          </w:p>
          <w:p w14:paraId="3B3E630F" w14:textId="77777777" w:rsidR="00612C8F" w:rsidRDefault="00612C8F" w:rsidP="005953BB">
            <w:pPr>
              <w:widowControl/>
              <w:spacing w:after="160" w:line="259" w:lineRule="auto"/>
              <w:contextualSpacing/>
              <w:jc w:val="left"/>
              <w:rPr>
                <w:rFonts w:ascii="宋体" w:eastAsia="宋体" w:hAnsi="宋体" w:cs="Times New Roman" w:hint="eastAsia"/>
                <w:b/>
                <w:sz w:val="22"/>
              </w:rPr>
            </w:pPr>
          </w:p>
          <w:p w14:paraId="26689636" w14:textId="604B13AB" w:rsidR="005953BB" w:rsidRDefault="005953BB" w:rsidP="005953BB">
            <w:pPr>
              <w:widowControl/>
              <w:spacing w:after="160" w:line="259" w:lineRule="auto"/>
              <w:contextualSpacing/>
              <w:jc w:val="left"/>
              <w:rPr>
                <w:rFonts w:eastAsiaTheme="minorHAnsi" w:hint="eastAsia"/>
              </w:rPr>
            </w:pPr>
            <w:r w:rsidRPr="00934290">
              <w:rPr>
                <w:rFonts w:ascii="宋体" w:eastAsia="宋体" w:hAnsi="宋体" w:cs="Times New Roman" w:hint="eastAsia"/>
                <w:b/>
                <w:sz w:val="22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sz w:val="22"/>
              </w:rPr>
              <w:t>总裁</w:t>
            </w:r>
            <w:r w:rsidRPr="00934290">
              <w:rPr>
                <w:rFonts w:ascii="宋体" w:eastAsia="宋体" w:hAnsi="宋体" w:cs="Times New Roman" w:hint="eastAsia"/>
                <w:b/>
                <w:sz w:val="22"/>
              </w:rPr>
              <w:t>兼首席</w:t>
            </w:r>
            <w:r>
              <w:rPr>
                <w:rFonts w:ascii="宋体" w:eastAsia="宋体" w:hAnsi="宋体" w:cs="Times New Roman" w:hint="eastAsia"/>
                <w:b/>
                <w:sz w:val="22"/>
              </w:rPr>
              <w:t>运营</w:t>
            </w:r>
            <w:r w:rsidRPr="00934290">
              <w:rPr>
                <w:rFonts w:ascii="宋体" w:eastAsia="宋体" w:hAnsi="宋体" w:cs="Times New Roman" w:hint="eastAsia"/>
                <w:b/>
                <w:sz w:val="22"/>
              </w:rPr>
              <w:t>官</w:t>
            </w:r>
            <w:r>
              <w:rPr>
                <w:rFonts w:ascii="宋体" w:eastAsia="宋体" w:hAnsi="宋体" w:cs="Times New Roman" w:hint="eastAsia"/>
                <w:b/>
                <w:sz w:val="22"/>
              </w:rPr>
              <w:t>吴晓滨博士介绍全球商业化进展</w:t>
            </w:r>
            <w:r w:rsidRPr="00934290">
              <w:rPr>
                <w:rFonts w:ascii="宋体" w:eastAsia="宋体" w:hAnsi="宋体" w:cs="Times New Roman" w:hint="eastAsia"/>
                <w:b/>
                <w:sz w:val="22"/>
              </w:rPr>
              <w:t>：</w:t>
            </w:r>
          </w:p>
          <w:p w14:paraId="3D81FB61" w14:textId="77777777" w:rsidR="00C5365F" w:rsidRDefault="00F038C4" w:rsidP="00F038C4">
            <w:pPr>
              <w:spacing w:line="360" w:lineRule="auto"/>
              <w:ind w:firstLineChars="200" w:firstLine="440"/>
              <w:rPr>
                <w:rFonts w:ascii="宋体" w:eastAsia="宋体" w:hAnsi="宋体" w:cs="Times New Roman" w:hint="eastAsia"/>
                <w:sz w:val="22"/>
              </w:rPr>
            </w:pPr>
            <w:r w:rsidRPr="00F038C4">
              <w:rPr>
                <w:rFonts w:ascii="宋体" w:eastAsia="宋体" w:hAnsi="宋体" w:cs="Times New Roman"/>
                <w:sz w:val="22"/>
              </w:rPr>
              <w:t>2025年第一季度产品收入为79.85亿元，上年同期产品收入为53.25亿元，产品收入的增长主要得益于公司自</w:t>
            </w:r>
            <w:proofErr w:type="gramStart"/>
            <w:r w:rsidRPr="00F038C4">
              <w:rPr>
                <w:rFonts w:ascii="宋体" w:eastAsia="宋体" w:hAnsi="宋体" w:cs="Times New Roman"/>
                <w:sz w:val="22"/>
              </w:rPr>
              <w:t>研</w:t>
            </w:r>
            <w:proofErr w:type="gramEnd"/>
            <w:r w:rsidRPr="00F038C4">
              <w:rPr>
                <w:rFonts w:ascii="宋体" w:eastAsia="宋体" w:hAnsi="宋体" w:cs="Times New Roman"/>
                <w:sz w:val="22"/>
              </w:rPr>
              <w:t>产品百悦泽</w:t>
            </w:r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F038C4">
              <w:rPr>
                <w:rFonts w:ascii="宋体" w:eastAsia="宋体" w:hAnsi="宋体" w:cs="Times New Roman"/>
                <w:sz w:val="22"/>
              </w:rPr>
              <w:t>（泽</w:t>
            </w:r>
            <w:proofErr w:type="gramStart"/>
            <w:r w:rsidRPr="00F038C4">
              <w:rPr>
                <w:rFonts w:ascii="宋体" w:eastAsia="宋体" w:hAnsi="宋体" w:cs="Times New Roman"/>
                <w:sz w:val="22"/>
              </w:rPr>
              <w:t>布替尼</w:t>
            </w:r>
            <w:proofErr w:type="gramEnd"/>
            <w:r w:rsidRPr="00F038C4">
              <w:rPr>
                <w:rFonts w:ascii="宋体" w:eastAsia="宋体" w:hAnsi="宋体" w:cs="Times New Roman"/>
                <w:sz w:val="22"/>
              </w:rPr>
              <w:t>胶囊）,</w:t>
            </w:r>
            <w:proofErr w:type="gramStart"/>
            <w:r w:rsidRPr="00F038C4">
              <w:rPr>
                <w:rFonts w:ascii="宋体" w:eastAsia="宋体" w:hAnsi="宋体" w:cs="Times New Roman"/>
                <w:sz w:val="22"/>
              </w:rPr>
              <w:t>以及百泽安</w:t>
            </w:r>
            <w:proofErr w:type="gramEnd"/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F038C4">
              <w:rPr>
                <w:rFonts w:ascii="宋体" w:eastAsia="宋体" w:hAnsi="宋体" w:cs="Times New Roman"/>
                <w:sz w:val="22"/>
              </w:rPr>
              <w:t>（</w:t>
            </w:r>
            <w:proofErr w:type="gramStart"/>
            <w:r w:rsidRPr="00F038C4">
              <w:rPr>
                <w:rFonts w:ascii="宋体" w:eastAsia="宋体" w:hAnsi="宋体" w:cs="Times New Roman"/>
                <w:sz w:val="22"/>
              </w:rPr>
              <w:t>替雷利珠单</w:t>
            </w:r>
            <w:proofErr w:type="gramEnd"/>
            <w:r w:rsidRPr="00F038C4">
              <w:rPr>
                <w:rFonts w:ascii="宋体" w:eastAsia="宋体" w:hAnsi="宋体" w:cs="Times New Roman"/>
                <w:sz w:val="22"/>
              </w:rPr>
              <w:t xml:space="preserve">抗）和安进授权产品的销售增长。 </w:t>
            </w:r>
            <w:r w:rsidR="00C5365F">
              <w:rPr>
                <w:rFonts w:ascii="宋体" w:eastAsia="宋体" w:hAnsi="宋体" w:cs="Times New Roman" w:hint="eastAsia"/>
                <w:sz w:val="22"/>
              </w:rPr>
              <w:t xml:space="preserve"> </w:t>
            </w:r>
          </w:p>
          <w:p w14:paraId="248A5B4A" w14:textId="77777777" w:rsidR="00470BA9" w:rsidRDefault="00F038C4" w:rsidP="00F038C4">
            <w:pPr>
              <w:spacing w:line="360" w:lineRule="auto"/>
              <w:ind w:firstLineChars="200" w:firstLine="440"/>
              <w:rPr>
                <w:rFonts w:ascii="宋体" w:eastAsia="宋体" w:hAnsi="宋体" w:cs="Times New Roman" w:hint="eastAsia"/>
                <w:sz w:val="22"/>
              </w:rPr>
            </w:pPr>
            <w:r w:rsidRPr="00F038C4">
              <w:rPr>
                <w:rFonts w:ascii="宋体" w:eastAsia="宋体" w:hAnsi="宋体" w:cs="Times New Roman"/>
                <w:sz w:val="22"/>
              </w:rPr>
              <w:t>2025年第一季度，百悦泽</w:t>
            </w:r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F038C4">
              <w:rPr>
                <w:rFonts w:ascii="宋体" w:eastAsia="宋体" w:hAnsi="宋体" w:cs="Times New Roman"/>
                <w:sz w:val="22"/>
              </w:rPr>
              <w:t>全球销售额总计56.92亿元，同比增长63.7%，在血液肿瘤领域进一步巩固领导地位。其中，美国销售额总计40.41亿元，同比增长61.9%，主要得益于需求的增长，其中超过60%的</w:t>
            </w:r>
            <w:proofErr w:type="gramStart"/>
            <w:r w:rsidRPr="00F038C4">
              <w:rPr>
                <w:rFonts w:ascii="宋体" w:eastAsia="宋体" w:hAnsi="宋体" w:cs="Times New Roman"/>
                <w:sz w:val="22"/>
              </w:rPr>
              <w:t>季度环</w:t>
            </w:r>
            <w:proofErr w:type="gramEnd"/>
            <w:r w:rsidRPr="00F038C4">
              <w:rPr>
                <w:rFonts w:ascii="宋体" w:eastAsia="宋体" w:hAnsi="宋体" w:cs="Times New Roman"/>
                <w:sz w:val="22"/>
              </w:rPr>
              <w:t>比增长来自于在慢性淋巴细胞白血病（CLL）适应症中使用的扩大，因为该产品在美国是CLL和所有其他已获批适应症新增患者治疗领域的领导者，且市场份额持续提升。欧洲销售额总计8.36亿元，同比增长75.4%，主要得益于该产品在所有欧洲主要市场的市场份额提升，其中包括德国、意大利、西班牙、法国和英国。中国销售额总计5.90亿元，同比增长43.1%，主要得益于该产品在已获批适应症领域的销售</w:t>
            </w:r>
            <w:r w:rsidRPr="00F038C4">
              <w:rPr>
                <w:rFonts w:ascii="宋体" w:eastAsia="宋体" w:hAnsi="宋体" w:cs="Times New Roman"/>
                <w:sz w:val="22"/>
              </w:rPr>
              <w:lastRenderedPageBreak/>
              <w:t>增长。公司在中国BTK抑制剂市场的市场份额持续保持领导地位。目前，百悦泽</w:t>
            </w:r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F038C4">
              <w:rPr>
                <w:rFonts w:ascii="宋体" w:eastAsia="宋体" w:hAnsi="宋体" w:cs="Times New Roman"/>
                <w:sz w:val="22"/>
              </w:rPr>
              <w:t>在中国获批的四项适应症均已纳入《国家基本医疗保险、工伤保险和生育保险药品目录》（“国家</w:t>
            </w:r>
            <w:proofErr w:type="gramStart"/>
            <w:r w:rsidRPr="00F038C4">
              <w:rPr>
                <w:rFonts w:ascii="宋体" w:eastAsia="宋体" w:hAnsi="宋体" w:cs="Times New Roman"/>
                <w:sz w:val="22"/>
              </w:rPr>
              <w:t>医</w:t>
            </w:r>
            <w:proofErr w:type="gramEnd"/>
            <w:r w:rsidRPr="00F038C4">
              <w:rPr>
                <w:rFonts w:ascii="宋体" w:eastAsia="宋体" w:hAnsi="宋体" w:cs="Times New Roman"/>
                <w:sz w:val="22"/>
              </w:rPr>
              <w:t>保目录”）。</w:t>
            </w:r>
          </w:p>
          <w:p w14:paraId="24786950" w14:textId="3529ED88" w:rsidR="00F038C4" w:rsidRDefault="00F038C4" w:rsidP="00F038C4">
            <w:pPr>
              <w:spacing w:line="360" w:lineRule="auto"/>
              <w:ind w:firstLineChars="200" w:firstLine="440"/>
              <w:rPr>
                <w:rFonts w:ascii="宋体" w:eastAsia="宋体" w:hAnsi="宋体" w:cs="Times New Roman" w:hint="eastAsia"/>
                <w:sz w:val="22"/>
              </w:rPr>
            </w:pPr>
            <w:r w:rsidRPr="00F038C4">
              <w:rPr>
                <w:rFonts w:ascii="宋体" w:eastAsia="宋体" w:hAnsi="宋体" w:cs="Times New Roman"/>
                <w:sz w:val="22"/>
              </w:rPr>
              <w:t>2025年第一季度，</w:t>
            </w:r>
            <w:proofErr w:type="gramStart"/>
            <w:r w:rsidRPr="00F038C4">
              <w:rPr>
                <w:rFonts w:ascii="宋体" w:eastAsia="宋体" w:hAnsi="宋体" w:cs="Times New Roman"/>
                <w:sz w:val="22"/>
              </w:rPr>
              <w:t>百泽安</w:t>
            </w:r>
            <w:proofErr w:type="gramEnd"/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F038C4">
              <w:rPr>
                <w:rFonts w:ascii="宋体" w:eastAsia="宋体" w:hAnsi="宋体" w:cs="Times New Roman"/>
                <w:sz w:val="22"/>
              </w:rPr>
              <w:t>的销售额总计12.45亿元，同比增长19.3%。</w:t>
            </w:r>
            <w:proofErr w:type="gramStart"/>
            <w:r w:rsidRPr="00F038C4">
              <w:rPr>
                <w:rFonts w:ascii="宋体" w:eastAsia="宋体" w:hAnsi="宋体" w:cs="Times New Roman"/>
                <w:sz w:val="22"/>
              </w:rPr>
              <w:t>百泽安</w:t>
            </w:r>
            <w:proofErr w:type="gramEnd"/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F038C4">
              <w:rPr>
                <w:rFonts w:ascii="宋体" w:eastAsia="宋体" w:hAnsi="宋体" w:cs="Times New Roman"/>
                <w:sz w:val="22"/>
              </w:rPr>
              <w:t>销售额的增长，主要得益于在中国获批新适应症纳入</w:t>
            </w:r>
            <w:proofErr w:type="gramStart"/>
            <w:r w:rsidRPr="00F038C4">
              <w:rPr>
                <w:rFonts w:ascii="宋体" w:eastAsia="宋体" w:hAnsi="宋体" w:cs="Times New Roman"/>
                <w:sz w:val="22"/>
              </w:rPr>
              <w:t>医</w:t>
            </w:r>
            <w:proofErr w:type="gramEnd"/>
            <w:r w:rsidRPr="00F038C4">
              <w:rPr>
                <w:rFonts w:ascii="宋体" w:eastAsia="宋体" w:hAnsi="宋体" w:cs="Times New Roman"/>
                <w:sz w:val="22"/>
              </w:rPr>
              <w:t>保所带来的新增患者需求以及药品进院数量的增加。</w:t>
            </w:r>
            <w:proofErr w:type="gramStart"/>
            <w:r w:rsidRPr="00F038C4">
              <w:rPr>
                <w:rFonts w:ascii="宋体" w:eastAsia="宋体" w:hAnsi="宋体" w:cs="Times New Roman"/>
                <w:sz w:val="22"/>
              </w:rPr>
              <w:t>百泽安</w:t>
            </w:r>
            <w:proofErr w:type="gramEnd"/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F038C4">
              <w:rPr>
                <w:rFonts w:ascii="宋体" w:eastAsia="宋体" w:hAnsi="宋体" w:cs="Times New Roman"/>
                <w:sz w:val="22"/>
              </w:rPr>
              <w:t>已在中国PD-1市场取得领先的市场份额。目前，</w:t>
            </w:r>
            <w:proofErr w:type="gramStart"/>
            <w:r w:rsidRPr="00F038C4">
              <w:rPr>
                <w:rFonts w:ascii="宋体" w:eastAsia="宋体" w:hAnsi="宋体" w:cs="Times New Roman"/>
                <w:sz w:val="22"/>
              </w:rPr>
              <w:t>百泽安</w:t>
            </w:r>
            <w:proofErr w:type="gramEnd"/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F038C4">
              <w:rPr>
                <w:rFonts w:ascii="宋体" w:eastAsia="宋体" w:hAnsi="宋体" w:cs="Times New Roman"/>
                <w:sz w:val="22"/>
              </w:rPr>
              <w:t>在中国获批14项适应症，其中符合纳入条件的13项适应症已纳入国家</w:t>
            </w:r>
            <w:proofErr w:type="gramStart"/>
            <w:r w:rsidRPr="00F038C4">
              <w:rPr>
                <w:rFonts w:ascii="宋体" w:eastAsia="宋体" w:hAnsi="宋体" w:cs="Times New Roman"/>
                <w:sz w:val="22"/>
              </w:rPr>
              <w:t>医</w:t>
            </w:r>
            <w:proofErr w:type="gramEnd"/>
            <w:r w:rsidRPr="00F038C4">
              <w:rPr>
                <w:rFonts w:ascii="宋体" w:eastAsia="宋体" w:hAnsi="宋体" w:cs="Times New Roman"/>
                <w:sz w:val="22"/>
              </w:rPr>
              <w:t>保目录。</w:t>
            </w:r>
          </w:p>
          <w:p w14:paraId="372B3F04" w14:textId="5A33C9AB" w:rsidR="00660E4C" w:rsidRDefault="00660E4C" w:rsidP="00F038C4">
            <w:pPr>
              <w:spacing w:line="360" w:lineRule="auto"/>
              <w:ind w:firstLineChars="200" w:firstLine="440"/>
              <w:rPr>
                <w:rFonts w:ascii="宋体" w:eastAsia="宋体" w:hAnsi="宋体" w:cs="Times New Roman" w:hint="eastAsia"/>
                <w:sz w:val="22"/>
              </w:rPr>
            </w:pPr>
            <w:r w:rsidRPr="00660E4C">
              <w:rPr>
                <w:rFonts w:ascii="宋体" w:eastAsia="宋体" w:hAnsi="宋体" w:cs="Times New Roman"/>
                <w:sz w:val="22"/>
              </w:rPr>
              <w:t xml:space="preserve">在企业发展方面，公司于 2025 年 4 月 28 </w:t>
            </w:r>
            <w:proofErr w:type="gramStart"/>
            <w:r w:rsidRPr="00660E4C">
              <w:rPr>
                <w:rFonts w:ascii="宋体" w:eastAsia="宋体" w:hAnsi="宋体" w:cs="Times New Roman"/>
                <w:sz w:val="22"/>
              </w:rPr>
              <w:t>日获得</w:t>
            </w:r>
            <w:proofErr w:type="gramEnd"/>
            <w:r w:rsidRPr="00660E4C">
              <w:rPr>
                <w:rFonts w:ascii="宋体" w:eastAsia="宋体" w:hAnsi="宋体" w:cs="Times New Roman"/>
                <w:sz w:val="22"/>
              </w:rPr>
              <w:t>股东批准，将启用新英文名称</w:t>
            </w:r>
            <w:proofErr w:type="spellStart"/>
            <w:r w:rsidRPr="00660E4C">
              <w:rPr>
                <w:rFonts w:ascii="宋体" w:eastAsia="宋体" w:hAnsi="宋体" w:cs="Times New Roman"/>
                <w:sz w:val="22"/>
              </w:rPr>
              <w:t>BeOne</w:t>
            </w:r>
            <w:proofErr w:type="spellEnd"/>
            <w:r w:rsidRPr="00660E4C">
              <w:rPr>
                <w:rFonts w:ascii="宋体" w:eastAsia="宋体" w:hAnsi="宋体" w:cs="Times New Roman"/>
                <w:sz w:val="22"/>
              </w:rPr>
              <w:t xml:space="preserve"> Medicines Ltd.，并将注册地迁至瑞士，该事项预计于今年晚些时候完成。</w:t>
            </w:r>
          </w:p>
          <w:p w14:paraId="5C3E276C" w14:textId="77777777" w:rsidR="00F038C4" w:rsidRDefault="00F038C4" w:rsidP="005953BB">
            <w:pPr>
              <w:spacing w:line="360" w:lineRule="auto"/>
              <w:rPr>
                <w:rFonts w:ascii="宋体" w:eastAsia="宋体" w:hAnsi="宋体" w:cs="Times New Roman" w:hint="eastAsia"/>
                <w:sz w:val="22"/>
              </w:rPr>
            </w:pPr>
          </w:p>
          <w:p w14:paraId="038936DB" w14:textId="1C614FC6" w:rsidR="005953BB" w:rsidRPr="000D65A7" w:rsidRDefault="005953BB" w:rsidP="005953BB">
            <w:pPr>
              <w:spacing w:line="360" w:lineRule="auto"/>
              <w:rPr>
                <w:rFonts w:ascii="宋体" w:eastAsia="宋体" w:hAnsi="宋体" w:cs="Times New Roman" w:hint="eastAsia"/>
                <w:b/>
                <w:sz w:val="22"/>
              </w:rPr>
            </w:pPr>
            <w:r w:rsidRPr="00934290">
              <w:rPr>
                <w:rFonts w:ascii="宋体" w:eastAsia="宋体" w:hAnsi="宋体" w:cs="Times New Roman" w:hint="eastAsia"/>
                <w:b/>
                <w:sz w:val="22"/>
              </w:rPr>
              <w:t>公司高级副总裁、全球研发负责人汪来</w:t>
            </w:r>
            <w:r>
              <w:rPr>
                <w:rFonts w:ascii="宋体" w:eastAsia="宋体" w:hAnsi="宋体" w:cs="Times New Roman" w:hint="eastAsia"/>
                <w:b/>
                <w:sz w:val="22"/>
              </w:rPr>
              <w:t>博士</w:t>
            </w:r>
            <w:r w:rsidRPr="00934290">
              <w:rPr>
                <w:rFonts w:ascii="宋体" w:eastAsia="宋体" w:hAnsi="宋体" w:cs="Times New Roman" w:hint="eastAsia"/>
                <w:b/>
                <w:sz w:val="22"/>
              </w:rPr>
              <w:t>介绍公司研发及管线进展：</w:t>
            </w:r>
          </w:p>
          <w:p w14:paraId="07E55B8D" w14:textId="0267F31E" w:rsidR="00D62695" w:rsidRDefault="00EF37FC" w:rsidP="00EF37FC">
            <w:pPr>
              <w:spacing w:line="360" w:lineRule="auto"/>
              <w:ind w:firstLineChars="200" w:firstLine="440"/>
              <w:rPr>
                <w:rFonts w:ascii="宋体" w:eastAsia="宋体" w:hAnsi="宋体" w:cs="Times New Roman" w:hint="eastAsia"/>
                <w:sz w:val="22"/>
              </w:rPr>
            </w:pPr>
            <w:r w:rsidRPr="00EF37FC">
              <w:rPr>
                <w:rFonts w:ascii="宋体" w:eastAsia="宋体" w:hAnsi="宋体" w:cs="Times New Roman"/>
                <w:sz w:val="22"/>
              </w:rPr>
              <w:t>公司自主研发的BTK抑制剂百悦泽</w:t>
            </w:r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EF37FC">
              <w:rPr>
                <w:rFonts w:ascii="宋体" w:eastAsia="宋体" w:hAnsi="宋体" w:cs="Times New Roman"/>
                <w:sz w:val="22"/>
              </w:rPr>
              <w:t>是</w:t>
            </w:r>
            <w:proofErr w:type="gramStart"/>
            <w:r w:rsidRPr="00EF37FC">
              <w:rPr>
                <w:rFonts w:ascii="宋体" w:eastAsia="宋体" w:hAnsi="宋体" w:cs="Times New Roman"/>
                <w:sz w:val="22"/>
              </w:rPr>
              <w:t>全球获</w:t>
            </w:r>
            <w:proofErr w:type="gramEnd"/>
            <w:r w:rsidRPr="00EF37FC">
              <w:rPr>
                <w:rFonts w:ascii="宋体" w:eastAsia="宋体" w:hAnsi="宋体" w:cs="Times New Roman"/>
                <w:sz w:val="22"/>
              </w:rPr>
              <w:t>批适应症最广泛的BTK抑制剂。它同时也是唯一一款给药灵活，可每日一次或每日两次的BTK抑制剂。百悦泽</w:t>
            </w:r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EF37FC">
              <w:rPr>
                <w:rFonts w:ascii="宋体" w:eastAsia="宋体" w:hAnsi="宋体" w:cs="Times New Roman"/>
                <w:sz w:val="22"/>
              </w:rPr>
              <w:t>临床开发项目迄今已在全球超过30个国家和地区开展超过35项试验，入组约7,100例患者。百悦泽</w:t>
            </w:r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EF37FC">
              <w:rPr>
                <w:rFonts w:ascii="宋体" w:eastAsia="宋体" w:hAnsi="宋体" w:cs="Times New Roman"/>
                <w:sz w:val="22"/>
              </w:rPr>
              <w:t>目前已在全球75个市场获批，本季度在11个市场新增纳入或扩大报销范围，包括日本、欧洲和巴西。百悦泽</w:t>
            </w:r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EF37FC">
              <w:rPr>
                <w:rFonts w:ascii="宋体" w:eastAsia="宋体" w:hAnsi="宋体" w:cs="Times New Roman"/>
                <w:sz w:val="22"/>
              </w:rPr>
              <w:t>获得美国食品药品监督管理局（FDA）批准用于治疗CLL/SLL、华氏巨球蛋白血症（WM）、R/R套细胞淋巴瘤（MCL）、R/R边缘区淋巴瘤（MZL）和R/R滤泡性淋巴瘤（FL）；获得欧盟委员会（EC）批准用于治疗CLL/SLL、WM、</w:t>
            </w:r>
            <w:r w:rsidR="00D62695" w:rsidRPr="00D62695">
              <w:rPr>
                <w:rFonts w:ascii="宋体" w:eastAsia="宋体" w:hAnsi="宋体" w:cs="Times New Roman"/>
                <w:sz w:val="22"/>
              </w:rPr>
              <w:t>R/R MZL和R/R FL；获得中国国家药品监督管理局（NMPA）批准用于治疗CLL/SLL、WM、R/R MCL和R/R FL。百悦泽</w:t>
            </w:r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="00D62695" w:rsidRPr="00D62695">
              <w:rPr>
                <w:rFonts w:ascii="宋体" w:eastAsia="宋体" w:hAnsi="宋体" w:cs="Times New Roman"/>
                <w:sz w:val="22"/>
              </w:rPr>
              <w:t>是目前分别在美国和中国获批适应症最多的BTK抑制剂。公司正持续推动自主研发药物的全球化进展，为更多的患者改善治疗效果、提高药物可及性，公司将继续拓展百悦泽</w:t>
            </w:r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="00D62695" w:rsidRPr="00D62695">
              <w:rPr>
                <w:rFonts w:ascii="宋体" w:eastAsia="宋体" w:hAnsi="宋体" w:cs="Times New Roman"/>
                <w:sz w:val="22"/>
              </w:rPr>
              <w:t>的全球药政注册项目。公司预计将于2025年下半年取得美国FDA和EC对百悦泽</w:t>
            </w:r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="00D62695" w:rsidRPr="00D62695">
              <w:rPr>
                <w:rFonts w:ascii="宋体" w:eastAsia="宋体" w:hAnsi="宋体" w:cs="Times New Roman"/>
                <w:sz w:val="22"/>
              </w:rPr>
              <w:t>片剂新剂型上市申请的批准。此外，公司已获得欧洲药品管理局批准，将瑞士公司Siegfried增列为百悦泽</w:t>
            </w:r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="00D62695" w:rsidRPr="00D62695">
              <w:rPr>
                <w:rFonts w:ascii="宋体" w:eastAsia="宋体" w:hAnsi="宋体" w:cs="Times New Roman"/>
                <w:sz w:val="22"/>
              </w:rPr>
              <w:t>的原料药生产商。</w:t>
            </w:r>
            <w:r w:rsidR="00D62695">
              <w:rPr>
                <w:rFonts w:ascii="宋体" w:eastAsia="宋体" w:hAnsi="宋体" w:cs="Times New Roman" w:hint="eastAsia"/>
                <w:sz w:val="22"/>
              </w:rPr>
              <w:t xml:space="preserve"> </w:t>
            </w:r>
          </w:p>
          <w:p w14:paraId="08206380" w14:textId="71CECCD0" w:rsidR="00F7481E" w:rsidRDefault="00D62695" w:rsidP="00EF37FC">
            <w:pPr>
              <w:spacing w:line="360" w:lineRule="auto"/>
              <w:ind w:firstLineChars="200" w:firstLine="440"/>
              <w:rPr>
                <w:rFonts w:ascii="宋体" w:eastAsia="宋体" w:hAnsi="宋体" w:cs="Times New Roman" w:hint="eastAsia"/>
                <w:sz w:val="22"/>
              </w:rPr>
            </w:pPr>
            <w:proofErr w:type="gramStart"/>
            <w:r w:rsidRPr="00D62695">
              <w:rPr>
                <w:rFonts w:ascii="宋体" w:eastAsia="宋体" w:hAnsi="宋体" w:cs="Times New Roman"/>
                <w:sz w:val="22"/>
              </w:rPr>
              <w:t>百泽安</w:t>
            </w:r>
            <w:proofErr w:type="gramEnd"/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D62695">
              <w:rPr>
                <w:rFonts w:ascii="宋体" w:eastAsia="宋体" w:hAnsi="宋体" w:cs="Times New Roman"/>
                <w:sz w:val="22"/>
              </w:rPr>
              <w:t>是公司实体瘤产品组合的基石产品，已在多种肿瘤类型和疾病领域中显示出潜力。</w:t>
            </w:r>
            <w:proofErr w:type="gramStart"/>
            <w:r w:rsidRPr="00D62695">
              <w:rPr>
                <w:rFonts w:ascii="宋体" w:eastAsia="宋体" w:hAnsi="宋体" w:cs="Times New Roman"/>
                <w:sz w:val="22"/>
              </w:rPr>
              <w:t>百泽安</w:t>
            </w:r>
            <w:proofErr w:type="gramEnd"/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D62695">
              <w:rPr>
                <w:rFonts w:ascii="宋体" w:eastAsia="宋体" w:hAnsi="宋体" w:cs="Times New Roman"/>
                <w:sz w:val="22"/>
              </w:rPr>
              <w:t>临床开发项目迄今已在全球35个国家</w:t>
            </w:r>
            <w:r w:rsidRPr="00D62695">
              <w:rPr>
                <w:rFonts w:ascii="宋体" w:eastAsia="宋体" w:hAnsi="宋体" w:cs="Times New Roman"/>
                <w:sz w:val="22"/>
              </w:rPr>
              <w:lastRenderedPageBreak/>
              <w:t>和地区开展70项试验，包括21项注册可用研究，入组约14,000例受试者。</w:t>
            </w:r>
            <w:proofErr w:type="gramStart"/>
            <w:r w:rsidRPr="00D62695">
              <w:rPr>
                <w:rFonts w:ascii="宋体" w:eastAsia="宋体" w:hAnsi="宋体" w:cs="Times New Roman"/>
                <w:sz w:val="22"/>
              </w:rPr>
              <w:t>百泽安</w:t>
            </w:r>
            <w:proofErr w:type="gramEnd"/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D62695">
              <w:rPr>
                <w:rFonts w:ascii="宋体" w:eastAsia="宋体" w:hAnsi="宋体" w:cs="Times New Roman"/>
                <w:sz w:val="22"/>
              </w:rPr>
              <w:t>目前已在全球46个市场获批，本季度在11个市场新增纳入报销范围，包括美国、欧洲和中国等。</w:t>
            </w:r>
            <w:proofErr w:type="gramStart"/>
            <w:r w:rsidRPr="00D62695">
              <w:rPr>
                <w:rFonts w:ascii="宋体" w:eastAsia="宋体" w:hAnsi="宋体" w:cs="Times New Roman"/>
                <w:sz w:val="22"/>
              </w:rPr>
              <w:t>百泽安</w:t>
            </w:r>
            <w:proofErr w:type="gramEnd"/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D62695">
              <w:rPr>
                <w:rFonts w:ascii="宋体" w:eastAsia="宋体" w:hAnsi="宋体" w:cs="Times New Roman"/>
                <w:sz w:val="22"/>
              </w:rPr>
              <w:t>已在美国获</w:t>
            </w:r>
            <w:proofErr w:type="gramStart"/>
            <w:r w:rsidRPr="00D62695">
              <w:rPr>
                <w:rFonts w:ascii="宋体" w:eastAsia="宋体" w:hAnsi="宋体" w:cs="Times New Roman"/>
                <w:sz w:val="22"/>
              </w:rPr>
              <w:t>批用于</w:t>
            </w:r>
            <w:proofErr w:type="gramEnd"/>
            <w:r w:rsidRPr="00D62695">
              <w:rPr>
                <w:rFonts w:ascii="宋体" w:eastAsia="宋体" w:hAnsi="宋体" w:cs="Times New Roman"/>
                <w:sz w:val="22"/>
              </w:rPr>
              <w:t>胃或胃食管结合部（G/GEJ）腺癌患者的一线治疗以及食管鳞状细胞癌（ESCC）患者的一线和二线治疗，除已获批的每三周200毫克给药方案外，每两周150毫克和每四周300毫克的给药方案也获得美国FDA批准；已在欧洲获</w:t>
            </w:r>
            <w:proofErr w:type="gramStart"/>
            <w:r w:rsidRPr="00D62695">
              <w:rPr>
                <w:rFonts w:ascii="宋体" w:eastAsia="宋体" w:hAnsi="宋体" w:cs="Times New Roman"/>
                <w:sz w:val="22"/>
              </w:rPr>
              <w:t>批用于</w:t>
            </w:r>
            <w:proofErr w:type="gramEnd"/>
            <w:r w:rsidRPr="00D62695">
              <w:rPr>
                <w:rFonts w:ascii="宋体" w:eastAsia="宋体" w:hAnsi="宋体" w:cs="Times New Roman"/>
                <w:sz w:val="22"/>
              </w:rPr>
              <w:t>G/GEJ腺癌患者的一线治疗、ESCC患者的一线和二线治疗、非小细胞肺癌（NSCLC）患者的一线和二线治疗以及广泛期小细胞肺癌患者的一线治疗；已在日本获</w:t>
            </w:r>
            <w:proofErr w:type="gramStart"/>
            <w:r w:rsidRPr="00D62695">
              <w:rPr>
                <w:rFonts w:ascii="宋体" w:eastAsia="宋体" w:hAnsi="宋体" w:cs="Times New Roman"/>
                <w:sz w:val="22"/>
              </w:rPr>
              <w:t>批联合含</w:t>
            </w:r>
            <w:proofErr w:type="gramEnd"/>
            <w:r w:rsidRPr="00D62695">
              <w:rPr>
                <w:rFonts w:ascii="宋体" w:eastAsia="宋体" w:hAnsi="宋体" w:cs="Times New Roman"/>
                <w:sz w:val="22"/>
              </w:rPr>
              <w:t>铂化疗用于不可切除或转移性ESCC成人患者的一线及二线治疗；并已在中国获</w:t>
            </w:r>
            <w:proofErr w:type="gramStart"/>
            <w:r w:rsidRPr="00D62695">
              <w:rPr>
                <w:rFonts w:ascii="宋体" w:eastAsia="宋体" w:hAnsi="宋体" w:cs="Times New Roman"/>
                <w:sz w:val="22"/>
              </w:rPr>
              <w:t>批用于</w:t>
            </w:r>
            <w:proofErr w:type="gramEnd"/>
            <w:r w:rsidRPr="00D62695">
              <w:rPr>
                <w:rFonts w:ascii="宋体" w:eastAsia="宋体" w:hAnsi="宋体" w:cs="Times New Roman"/>
                <w:sz w:val="22"/>
              </w:rPr>
              <w:t>14项适应症。公司持续</w:t>
            </w:r>
            <w:proofErr w:type="gramStart"/>
            <w:r w:rsidRPr="00D62695">
              <w:rPr>
                <w:rFonts w:ascii="宋体" w:eastAsia="宋体" w:hAnsi="宋体" w:cs="Times New Roman"/>
                <w:sz w:val="22"/>
              </w:rPr>
              <w:t>推进百泽安</w:t>
            </w:r>
            <w:proofErr w:type="gramEnd"/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D62695">
              <w:rPr>
                <w:rFonts w:ascii="宋体" w:eastAsia="宋体" w:hAnsi="宋体" w:cs="Times New Roman"/>
                <w:sz w:val="22"/>
              </w:rPr>
              <w:t>的全球注册战略，</w:t>
            </w:r>
            <w:proofErr w:type="gramStart"/>
            <w:r w:rsidRPr="00D62695">
              <w:rPr>
                <w:rFonts w:ascii="宋体" w:eastAsia="宋体" w:hAnsi="宋体" w:cs="Times New Roman"/>
                <w:sz w:val="22"/>
              </w:rPr>
              <w:t>目前百泽安</w:t>
            </w:r>
            <w:proofErr w:type="gramEnd"/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D62695">
              <w:rPr>
                <w:rFonts w:ascii="宋体" w:eastAsia="宋体" w:hAnsi="宋体" w:cs="Times New Roman"/>
                <w:sz w:val="22"/>
              </w:rPr>
              <w:t>正在接受多个国家和地区监管机构的审评。公司预计将于2025年</w:t>
            </w:r>
            <w:r w:rsidR="00484D2B">
              <w:rPr>
                <w:rFonts w:ascii="宋体" w:eastAsia="宋体" w:hAnsi="宋体" w:cs="Times New Roman" w:hint="eastAsia"/>
                <w:sz w:val="22"/>
              </w:rPr>
              <w:t>下</w:t>
            </w:r>
            <w:r w:rsidRPr="00D62695">
              <w:rPr>
                <w:rFonts w:ascii="宋体" w:eastAsia="宋体" w:hAnsi="宋体" w:cs="Times New Roman"/>
                <w:sz w:val="22"/>
              </w:rPr>
              <w:t>半年取得EC</w:t>
            </w:r>
            <w:proofErr w:type="gramStart"/>
            <w:r w:rsidRPr="00D62695">
              <w:rPr>
                <w:rFonts w:ascii="宋体" w:eastAsia="宋体" w:hAnsi="宋体" w:cs="Times New Roman"/>
                <w:sz w:val="22"/>
              </w:rPr>
              <w:t>对百泽安</w:t>
            </w:r>
            <w:proofErr w:type="gramEnd"/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D62695">
              <w:rPr>
                <w:rFonts w:ascii="宋体" w:eastAsia="宋体" w:hAnsi="宋体" w:cs="Times New Roman"/>
                <w:sz w:val="22"/>
              </w:rPr>
              <w:t>用于治疗新辅助/</w:t>
            </w:r>
            <w:proofErr w:type="gramStart"/>
            <w:r w:rsidRPr="00D62695">
              <w:rPr>
                <w:rFonts w:ascii="宋体" w:eastAsia="宋体" w:hAnsi="宋体" w:cs="Times New Roman"/>
                <w:sz w:val="22"/>
              </w:rPr>
              <w:t>辅助非</w:t>
            </w:r>
            <w:proofErr w:type="gramEnd"/>
            <w:r w:rsidRPr="00D62695">
              <w:rPr>
                <w:rFonts w:ascii="宋体" w:eastAsia="宋体" w:hAnsi="宋体" w:cs="Times New Roman"/>
                <w:sz w:val="22"/>
              </w:rPr>
              <w:t>小细胞肺癌</w:t>
            </w:r>
            <w:r w:rsidR="00D51760">
              <w:rPr>
                <w:rFonts w:ascii="宋体" w:eastAsia="宋体" w:hAnsi="宋体" w:cs="Times New Roman" w:hint="eastAsia"/>
                <w:sz w:val="22"/>
              </w:rPr>
              <w:t>和</w:t>
            </w:r>
            <w:r w:rsidRPr="00D62695">
              <w:rPr>
                <w:rFonts w:ascii="宋体" w:eastAsia="宋体" w:hAnsi="宋体" w:cs="Times New Roman"/>
                <w:sz w:val="22"/>
              </w:rPr>
              <w:t>用于一线治疗鼻咽癌的批准，并计划于2025年下半年</w:t>
            </w:r>
            <w:proofErr w:type="gramStart"/>
            <w:r w:rsidRPr="00D62695">
              <w:rPr>
                <w:rFonts w:ascii="宋体" w:eastAsia="宋体" w:hAnsi="宋体" w:cs="Times New Roman"/>
                <w:sz w:val="22"/>
              </w:rPr>
              <w:t>启动百泽安</w:t>
            </w:r>
            <w:proofErr w:type="gramEnd"/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D62695">
              <w:rPr>
                <w:rFonts w:ascii="宋体" w:eastAsia="宋体" w:hAnsi="宋体" w:cs="Times New Roman"/>
                <w:sz w:val="22"/>
              </w:rPr>
              <w:t>皮下制剂三期试验。与此同时，公司也在大力推进新一代自主研发管线产品的全球临床布局和进展。</w:t>
            </w:r>
          </w:p>
          <w:p w14:paraId="2B7A2350" w14:textId="4DA27198" w:rsidR="00294B84" w:rsidRDefault="00D62695" w:rsidP="00EF37FC">
            <w:pPr>
              <w:spacing w:line="360" w:lineRule="auto"/>
              <w:ind w:firstLineChars="200" w:firstLine="440"/>
              <w:rPr>
                <w:rFonts w:ascii="宋体" w:eastAsia="宋体" w:hAnsi="宋体" w:cs="Times New Roman" w:hint="eastAsia"/>
                <w:sz w:val="22"/>
              </w:rPr>
            </w:pPr>
            <w:r w:rsidRPr="00D62695">
              <w:rPr>
                <w:rFonts w:ascii="宋体" w:eastAsia="宋体" w:hAnsi="宋体" w:cs="Times New Roman"/>
                <w:sz w:val="22"/>
              </w:rPr>
              <w:t>公司的产品组合策略强调快速生成早期临床概念验证数据，这得益于公司具备速度及成本优势的全球开发运营模式（“快速概念验证”）。公司内部全球研发（包括临床运营及开发）团队拥有约3,70人，在六大洲开展试验，并通过与超过45个国家的监管机构和研究人员合作，致力于确保数据质量符合严格的标准。这种战略性研发模式以数据为导向，助力公司将资源迅速投入到最有前景的、有临床差异化的候选项目中，并调整其他项目的优先级，从而最大限度地利用资源。百济神州拥有业内规模最大的肿瘤研究团队之一，在小分子和抗体药物的转化发现方面颇具实力，其中包括三种自主研发的平台技术：抗体偶联药物（ADC）、多特异性抗体和嵌合式降</w:t>
            </w:r>
            <w:r w:rsidR="002C2EA0" w:rsidRPr="002C2EA0">
              <w:rPr>
                <w:rFonts w:ascii="宋体" w:eastAsia="宋体" w:hAnsi="宋体" w:cs="Times New Roman"/>
                <w:sz w:val="22"/>
              </w:rPr>
              <w:t>解激活化合物（CDAC）。公司预计今年将在抗体偶联药物、多特异性抗体和</w:t>
            </w:r>
            <w:proofErr w:type="gramStart"/>
            <w:r w:rsidR="002C2EA0" w:rsidRPr="002C2EA0">
              <w:rPr>
                <w:rFonts w:ascii="宋体" w:eastAsia="宋体" w:hAnsi="宋体" w:cs="Times New Roman"/>
                <w:sz w:val="22"/>
              </w:rPr>
              <w:t>靶向</w:t>
            </w:r>
            <w:proofErr w:type="gramEnd"/>
            <w:r w:rsidR="002C2EA0" w:rsidRPr="002C2EA0">
              <w:rPr>
                <w:rFonts w:ascii="宋体" w:eastAsia="宋体" w:hAnsi="宋体" w:cs="Times New Roman"/>
                <w:sz w:val="22"/>
              </w:rPr>
              <w:t>蛋白降解剂等广泛的产品组合中进行多项概念验证数据读出。</w:t>
            </w:r>
          </w:p>
          <w:p w14:paraId="4AA10735" w14:textId="7B7203A4" w:rsidR="00A87AB7" w:rsidRDefault="00541703" w:rsidP="00EF37FC">
            <w:pPr>
              <w:spacing w:line="360" w:lineRule="auto"/>
              <w:ind w:firstLineChars="200" w:firstLine="440"/>
              <w:rPr>
                <w:rFonts w:ascii="宋体" w:eastAsia="宋体" w:hAnsi="宋体" w:cs="Times New Roman" w:hint="eastAsia"/>
                <w:sz w:val="22"/>
              </w:rPr>
            </w:pPr>
            <w:r w:rsidRPr="00541703">
              <w:rPr>
                <w:rFonts w:ascii="宋体" w:eastAsia="宋体" w:hAnsi="宋体" w:cs="Times New Roman"/>
                <w:sz w:val="22"/>
              </w:rPr>
              <w:t>在血液肿瘤领域，公司继续推进关键研究项目。公司正在继续推进索托克拉（</w:t>
            </w:r>
            <w:proofErr w:type="spellStart"/>
            <w:r w:rsidRPr="00541703">
              <w:rPr>
                <w:rFonts w:ascii="宋体" w:eastAsia="宋体" w:hAnsi="宋体" w:cs="Times New Roman"/>
                <w:sz w:val="22"/>
              </w:rPr>
              <w:t>sonrotoclax</w:t>
            </w:r>
            <w:proofErr w:type="spellEnd"/>
            <w:r w:rsidRPr="00541703">
              <w:rPr>
                <w:rFonts w:ascii="宋体" w:eastAsia="宋体" w:hAnsi="宋体" w:cs="Times New Roman"/>
                <w:sz w:val="22"/>
              </w:rPr>
              <w:t>，BCL2抑制剂）的全球临床试验。索托克拉联合百悦泽</w:t>
            </w:r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541703">
              <w:rPr>
                <w:rFonts w:ascii="宋体" w:eastAsia="宋体" w:hAnsi="宋体" w:cs="Times New Roman"/>
                <w:sz w:val="22"/>
              </w:rPr>
              <w:t>用于一线治疗CLL患者的全球三期临床试验 CELESTIAL-TNCLL（BGB-11417-301）已完成全部患者入组；联合百悦泽</w:t>
            </w:r>
            <w:r w:rsidR="00736D4E" w:rsidRPr="00736D4E">
              <w:rPr>
                <w:rFonts w:ascii="宋体" w:eastAsia="宋体" w:hAnsi="宋体" w:cs="Times New Roman"/>
                <w:sz w:val="22"/>
                <w:vertAlign w:val="superscript"/>
              </w:rPr>
              <w:t>®</w:t>
            </w:r>
            <w:r w:rsidRPr="00541703">
              <w:rPr>
                <w:rFonts w:ascii="宋体" w:eastAsia="宋体" w:hAnsi="宋体" w:cs="Times New Roman"/>
                <w:sz w:val="22"/>
              </w:rPr>
              <w:t xml:space="preserve">用于治疗R/R </w:t>
            </w:r>
            <w:r w:rsidRPr="00541703">
              <w:rPr>
                <w:rFonts w:ascii="宋体" w:eastAsia="宋体" w:hAnsi="宋体" w:cs="Times New Roman"/>
                <w:sz w:val="22"/>
              </w:rPr>
              <w:lastRenderedPageBreak/>
              <w:t>MCL 患者的全球三期临床试验CELESTIAL-RRMCL（BGB-11417-302）已完成首例患者入组；公司继续推进索托克拉用于治疗WM患者的全球二期临床试验入组。公司已基于索托克拉BGB-11417-202试验在中国申报上市，用于治疗 R/R CLL 患者。公司预计将在2025年上半年完成索托克拉联合抗 CD20 抗体用于治疗R/R CLL患者的全球三期临床试验的首例患者入组。公司已计划对R/R MCL 适应症的二期临床试验进行数据读出并有望针对该项适应症在2025年下半年递交全球加速上市申请。BGB-16673（BTKCDAC）用于治疗R/R CLL患者的潜在注册性二期临床试验继续入组患者，预计将于2026 年读出数据。公司已启动 BGB-16673 对比医生选择的治疗方案（IR/VR/BR）用于治疗R/R CLL患者的三期临床试验，并预计将于2025 年下半年启动BGB-16673“头对头”</w:t>
            </w:r>
            <w:proofErr w:type="gramStart"/>
            <w:r w:rsidRPr="00541703">
              <w:rPr>
                <w:rFonts w:ascii="宋体" w:eastAsia="宋体" w:hAnsi="宋体" w:cs="Times New Roman"/>
                <w:sz w:val="22"/>
              </w:rPr>
              <w:t>对比非</w:t>
            </w:r>
            <w:proofErr w:type="gramEnd"/>
            <w:r w:rsidRPr="00541703">
              <w:rPr>
                <w:rFonts w:ascii="宋体" w:eastAsia="宋体" w:hAnsi="宋体" w:cs="Times New Roman"/>
                <w:sz w:val="22"/>
              </w:rPr>
              <w:t>共价BTK抑制剂</w:t>
            </w:r>
            <w:proofErr w:type="gramStart"/>
            <w:r w:rsidRPr="00541703">
              <w:rPr>
                <w:rFonts w:ascii="宋体" w:eastAsia="宋体" w:hAnsi="宋体" w:cs="Times New Roman"/>
                <w:sz w:val="22"/>
              </w:rPr>
              <w:t>匹妥布替尼</w:t>
            </w:r>
            <w:proofErr w:type="gramEnd"/>
            <w:r w:rsidRPr="00541703">
              <w:rPr>
                <w:rFonts w:ascii="宋体" w:eastAsia="宋体" w:hAnsi="宋体" w:cs="Times New Roman"/>
                <w:sz w:val="22"/>
              </w:rPr>
              <w:t>（</w:t>
            </w:r>
            <w:proofErr w:type="spellStart"/>
            <w:r w:rsidRPr="00541703">
              <w:rPr>
                <w:rFonts w:ascii="宋体" w:eastAsia="宋体" w:hAnsi="宋体" w:cs="Times New Roman"/>
                <w:sz w:val="22"/>
              </w:rPr>
              <w:t>pirtobrutinib</w:t>
            </w:r>
            <w:proofErr w:type="spellEnd"/>
            <w:r w:rsidRPr="00541703">
              <w:rPr>
                <w:rFonts w:ascii="宋体" w:eastAsia="宋体" w:hAnsi="宋体" w:cs="Times New Roman"/>
                <w:sz w:val="22"/>
              </w:rPr>
              <w:t>）用于治疗R/R CLL患者的三期临床试验。</w:t>
            </w:r>
          </w:p>
          <w:p w14:paraId="27C012FC" w14:textId="1D531A8A" w:rsidR="00736E07" w:rsidRDefault="00541703" w:rsidP="00EF37FC">
            <w:pPr>
              <w:spacing w:line="360" w:lineRule="auto"/>
              <w:ind w:firstLineChars="200" w:firstLine="440"/>
              <w:rPr>
                <w:rFonts w:ascii="宋体" w:eastAsia="宋体" w:hAnsi="宋体" w:cs="Times New Roman" w:hint="eastAsia"/>
                <w:sz w:val="22"/>
              </w:rPr>
            </w:pPr>
            <w:r w:rsidRPr="00541703">
              <w:rPr>
                <w:rFonts w:ascii="宋体" w:eastAsia="宋体" w:hAnsi="宋体" w:cs="Times New Roman"/>
                <w:sz w:val="22"/>
              </w:rPr>
              <w:t>针对肺癌，公司预计将2025年下半年完成 BGB-58067（PRMT5 抑制剂）和BG-89894（MAT2A抑制剂）联合治疗临床试验的首例患者入组。针对乳腺癌和妇科癌症，公司预计在2025年上半年取BGB-43395（CDK4 抑制剂）的概念验证数据。针对胃肠道癌，公司预计将于202年下半年对与</w:t>
            </w:r>
            <w:proofErr w:type="spellStart"/>
            <w:r w:rsidRPr="00541703">
              <w:rPr>
                <w:rFonts w:ascii="宋体" w:eastAsia="宋体" w:hAnsi="宋体" w:cs="Times New Roman"/>
                <w:sz w:val="22"/>
              </w:rPr>
              <w:t>Zymeworks</w:t>
            </w:r>
            <w:proofErr w:type="spellEnd"/>
            <w:r w:rsidRPr="00541703">
              <w:rPr>
                <w:rFonts w:ascii="宋体" w:eastAsia="宋体" w:hAnsi="宋体" w:cs="Times New Roman"/>
                <w:sz w:val="22"/>
              </w:rPr>
              <w:t>/Jazz合作开展的泽尼</w:t>
            </w:r>
            <w:proofErr w:type="gramStart"/>
            <w:r w:rsidRPr="00541703">
              <w:rPr>
                <w:rFonts w:ascii="宋体" w:eastAsia="宋体" w:hAnsi="宋体" w:cs="Times New Roman"/>
                <w:sz w:val="22"/>
              </w:rPr>
              <w:t>达妥单</w:t>
            </w:r>
            <w:proofErr w:type="gramEnd"/>
            <w:r w:rsidRPr="00541703">
              <w:rPr>
                <w:rFonts w:ascii="宋体" w:eastAsia="宋体" w:hAnsi="宋体" w:cs="Times New Roman"/>
                <w:sz w:val="22"/>
              </w:rPr>
              <w:t>抗（靶向HER2的双特异性抗体）一线治疗HER2阳性胃食管腺癌三期临床试验进行主要PFS数据读出。在炎症和免疫治疗领域，公司预计将在 2025 年下半年完成BGB-45035（IRAK4 CDAC）二期临床试验首例受试者入组，并有望获得用于组织IRAK4降解的概念验证数据。</w:t>
            </w:r>
          </w:p>
          <w:p w14:paraId="2AE56E28" w14:textId="1FB2C1C3" w:rsidR="00EF37FC" w:rsidRDefault="00736E07" w:rsidP="00EF37FC">
            <w:pPr>
              <w:spacing w:line="360" w:lineRule="auto"/>
              <w:ind w:firstLineChars="200" w:firstLine="440"/>
              <w:rPr>
                <w:rFonts w:ascii="宋体" w:eastAsia="宋体" w:hAnsi="宋体" w:cs="Times New Roman" w:hint="eastAsia"/>
                <w:sz w:val="22"/>
              </w:rPr>
            </w:pPr>
            <w:r w:rsidRPr="00736E07">
              <w:rPr>
                <w:rFonts w:ascii="宋体" w:eastAsia="宋体" w:hAnsi="宋体" w:cs="Times New Roman"/>
                <w:sz w:val="22"/>
              </w:rPr>
              <w:t>公司将于2025 年6月26日举办投资者</w:t>
            </w:r>
            <w:proofErr w:type="gramStart"/>
            <w:r w:rsidRPr="00736E07">
              <w:rPr>
                <w:rFonts w:ascii="宋体" w:eastAsia="宋体" w:hAnsi="宋体" w:cs="Times New Roman"/>
                <w:sz w:val="22"/>
              </w:rPr>
              <w:t>研发日</w:t>
            </w:r>
            <w:proofErr w:type="gramEnd"/>
            <w:r w:rsidRPr="00736E07">
              <w:rPr>
                <w:rFonts w:ascii="宋体" w:eastAsia="宋体" w:hAnsi="宋体" w:cs="Times New Roman"/>
                <w:sz w:val="22"/>
              </w:rPr>
              <w:t>活动，重点介绍正在发展的乳腺癌管线和更广泛的实体肿瘤治疗产品组合。</w:t>
            </w:r>
          </w:p>
          <w:p w14:paraId="67987ABB" w14:textId="1018F6C5" w:rsidR="00646907" w:rsidRPr="00646907" w:rsidRDefault="00646907" w:rsidP="00694761">
            <w:pPr>
              <w:spacing w:line="360" w:lineRule="auto"/>
              <w:ind w:firstLineChars="200" w:firstLine="442"/>
              <w:rPr>
                <w:rFonts w:ascii="宋体" w:eastAsia="宋体" w:hAnsi="宋体" w:cs="Times New Roman" w:hint="eastAsia"/>
                <w:b/>
                <w:sz w:val="22"/>
              </w:rPr>
            </w:pPr>
            <w:r w:rsidRPr="00646907">
              <w:rPr>
                <w:rFonts w:ascii="宋体" w:eastAsia="宋体" w:hAnsi="宋体" w:cs="Times New Roman" w:hint="eastAsia"/>
                <w:b/>
                <w:sz w:val="22"/>
              </w:rPr>
              <w:t>公司亚太区投资者关系负责人周密介绍公司</w:t>
            </w:r>
            <w:r w:rsidRPr="00646907">
              <w:rPr>
                <w:rFonts w:ascii="宋体" w:eastAsia="宋体" w:hAnsi="宋体" w:cs="Times New Roman"/>
                <w:b/>
                <w:sz w:val="22"/>
              </w:rPr>
              <w:t>20</w:t>
            </w:r>
            <w:r>
              <w:rPr>
                <w:rFonts w:ascii="宋体" w:eastAsia="宋体" w:hAnsi="宋体" w:cs="Times New Roman" w:hint="eastAsia"/>
                <w:b/>
                <w:sz w:val="22"/>
              </w:rPr>
              <w:t>25</w:t>
            </w:r>
            <w:r w:rsidRPr="00646907">
              <w:rPr>
                <w:rFonts w:ascii="宋体" w:eastAsia="宋体" w:hAnsi="宋体" w:cs="Times New Roman" w:hint="eastAsia"/>
                <w:b/>
                <w:sz w:val="22"/>
              </w:rPr>
              <w:t>年</w:t>
            </w:r>
            <w:r w:rsidR="00694761">
              <w:rPr>
                <w:rFonts w:ascii="宋体" w:eastAsia="宋体" w:hAnsi="宋体" w:cs="Times New Roman" w:hint="eastAsia"/>
                <w:b/>
                <w:sz w:val="22"/>
              </w:rPr>
              <w:t>第一季度</w:t>
            </w:r>
            <w:r w:rsidRPr="00646907">
              <w:rPr>
                <w:rFonts w:ascii="宋体" w:eastAsia="宋体" w:hAnsi="宋体" w:cs="Times New Roman" w:hint="eastAsia"/>
                <w:b/>
                <w:sz w:val="22"/>
              </w:rPr>
              <w:t>财务业绩及</w:t>
            </w:r>
            <w:r w:rsidR="0047312A">
              <w:rPr>
                <w:rFonts w:ascii="宋体" w:eastAsia="宋体" w:hAnsi="宋体" w:cs="Times New Roman" w:hint="eastAsia"/>
                <w:b/>
                <w:sz w:val="22"/>
              </w:rPr>
              <w:t>2025年</w:t>
            </w:r>
            <w:r w:rsidR="00694761">
              <w:rPr>
                <w:rFonts w:ascii="宋体" w:eastAsia="宋体" w:hAnsi="宋体" w:cs="Times New Roman" w:hint="eastAsia"/>
                <w:b/>
                <w:sz w:val="22"/>
              </w:rPr>
              <w:t>业绩指引：</w:t>
            </w:r>
          </w:p>
          <w:p w14:paraId="553AF013" w14:textId="77777777" w:rsidR="00D85887" w:rsidRPr="000410D6" w:rsidRDefault="00D85887" w:rsidP="00D85887">
            <w:pPr>
              <w:spacing w:line="360" w:lineRule="auto"/>
              <w:ind w:firstLineChars="200" w:firstLine="440"/>
              <w:rPr>
                <w:rFonts w:ascii="宋体" w:eastAsia="宋体" w:hAnsi="宋体" w:cs="Times New Roman" w:hint="eastAsia"/>
                <w:sz w:val="22"/>
              </w:rPr>
            </w:pPr>
            <w:r w:rsidRPr="000410D6">
              <w:rPr>
                <w:rFonts w:ascii="宋体" w:eastAsia="宋体" w:hAnsi="宋体" w:cs="Times New Roman" w:hint="eastAsia"/>
                <w:sz w:val="22"/>
              </w:rPr>
              <w:t>第一季度基于</w:t>
            </w:r>
            <w:r w:rsidRPr="007254B7">
              <w:rPr>
                <w:rFonts w:ascii="宋体" w:eastAsia="宋体" w:hAnsi="宋体" w:cs="Times New Roman" w:hint="eastAsia"/>
                <w:sz w:val="22"/>
              </w:rPr>
              <w:t>美国公认会计原则（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GAAP</w:t>
            </w:r>
            <w:r>
              <w:rPr>
                <w:rFonts w:ascii="宋体" w:eastAsia="宋体" w:hAnsi="宋体" w:cs="Times New Roman"/>
                <w:sz w:val="22"/>
              </w:rPr>
              <w:t>）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下的经营情况：</w:t>
            </w:r>
            <w:r>
              <w:rPr>
                <w:rFonts w:ascii="宋体" w:eastAsia="宋体" w:hAnsi="宋体" w:cs="Times New Roman" w:hint="eastAsia"/>
                <w:sz w:val="22"/>
              </w:rPr>
              <w:t>(1)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2025年第一季度收入为11亿美元，而2024年第一季度为7.5亿美元。收入增长为49%，所有核心产品均有显著贡献，为2025年的平衡发展奠定了良好基础。</w:t>
            </w:r>
            <w:r>
              <w:rPr>
                <w:rFonts w:ascii="宋体" w:eastAsia="宋体" w:hAnsi="宋体" w:cs="Times New Roman" w:hint="eastAsia"/>
                <w:sz w:val="22"/>
              </w:rPr>
              <w:t>(2)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百悦泽</w:t>
            </w:r>
            <w:r w:rsidR="00736D4E" w:rsidRPr="00736D4E">
              <w:rPr>
                <w:rFonts w:ascii="宋体" w:eastAsia="宋体" w:hAnsi="宋体" w:cs="Arial"/>
                <w:sz w:val="22"/>
                <w:vertAlign w:val="superscript"/>
              </w:rPr>
              <w:t>®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在第一季度的销售额为7.92亿美元，同比增长62%。增长主要由公司在美国的新患市场份额的领先而驱动，伴随着2024年开始治疗的患者的全年使用量增加。美国以外的市场，包括欧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lastRenderedPageBreak/>
              <w:t>洲、中国和其他市场均有增长贡献。</w:t>
            </w:r>
            <w:r>
              <w:rPr>
                <w:rFonts w:ascii="宋体" w:eastAsia="宋体" w:hAnsi="宋体" w:cs="Times New Roman" w:hint="eastAsia"/>
                <w:sz w:val="22"/>
              </w:rPr>
              <w:t>(3)</w:t>
            </w:r>
            <w:proofErr w:type="gramStart"/>
            <w:r w:rsidRPr="000410D6">
              <w:rPr>
                <w:rFonts w:ascii="宋体" w:eastAsia="宋体" w:hAnsi="宋体" w:cs="Times New Roman" w:hint="eastAsia"/>
                <w:sz w:val="22"/>
              </w:rPr>
              <w:t>百泽安</w:t>
            </w:r>
            <w:proofErr w:type="gramEnd"/>
            <w:r w:rsidR="00736D4E" w:rsidRPr="00736D4E">
              <w:rPr>
                <w:rFonts w:ascii="宋体" w:eastAsia="宋体" w:hAnsi="宋体" w:cs="Arial"/>
                <w:sz w:val="22"/>
                <w:vertAlign w:val="superscript"/>
              </w:rPr>
              <w:t>®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的销售额为1.71亿美元，与2024年第一季度相比增长了18%，主要由公司在中国的市场领导地位驱动。公司在其他市场正处于商业扩展初期阶段。</w:t>
            </w:r>
            <w:r>
              <w:rPr>
                <w:rFonts w:ascii="宋体" w:eastAsia="宋体" w:hAnsi="宋体" w:cs="Times New Roman" w:hint="eastAsia"/>
                <w:sz w:val="22"/>
              </w:rPr>
              <w:t>(4)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安进授权产品也在第一季度有强劲的增长，销售达到1.14亿美元，同比增长58%。</w:t>
            </w:r>
            <w:r>
              <w:rPr>
                <w:rFonts w:ascii="宋体" w:eastAsia="宋体" w:hAnsi="宋体" w:cs="Times New Roman" w:hint="eastAsia"/>
                <w:sz w:val="22"/>
              </w:rPr>
              <w:t>(5)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产品毛利率本季度增加了近2个百分点，达到85%，而2024年第一季度为83%。这主要是由于产品收入中百悦泽</w:t>
            </w:r>
            <w:r w:rsidR="00736D4E" w:rsidRPr="00736D4E">
              <w:rPr>
                <w:rFonts w:ascii="宋体" w:eastAsia="宋体" w:hAnsi="宋体" w:cs="Arial"/>
                <w:sz w:val="22"/>
                <w:vertAlign w:val="superscript"/>
              </w:rPr>
              <w:t>®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海外收入的增加以及</w:t>
            </w:r>
            <w:r>
              <w:rPr>
                <w:rFonts w:ascii="宋体" w:eastAsia="宋体" w:hAnsi="宋体" w:cs="Times New Roman" w:hint="eastAsia"/>
                <w:sz w:val="22"/>
              </w:rPr>
              <w:t>核心产品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生产成本的效率提升。</w:t>
            </w:r>
            <w:r>
              <w:rPr>
                <w:rFonts w:ascii="宋体" w:eastAsia="宋体" w:hAnsi="宋体" w:cs="Times New Roman" w:hint="eastAsia"/>
                <w:sz w:val="22"/>
              </w:rPr>
              <w:t>(6)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本季度运营费用总计9.41亿美元，同比增长6%。尽管</w:t>
            </w:r>
            <w:r>
              <w:rPr>
                <w:rFonts w:ascii="宋体" w:eastAsia="宋体" w:hAnsi="宋体" w:cs="Times New Roman" w:hint="eastAsia"/>
                <w:sz w:val="22"/>
              </w:rPr>
              <w:t>销售及管理费用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和研发费用均有所增长，公司将继续专注于收入的持续增长和保持运营效率。</w:t>
            </w:r>
            <w:r>
              <w:rPr>
                <w:rFonts w:ascii="宋体" w:eastAsia="宋体" w:hAnsi="宋体" w:cs="Times New Roman" w:hint="eastAsia"/>
                <w:sz w:val="22"/>
              </w:rPr>
              <w:t>(7)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在本季度公司实现了GAAP经营利润1</w:t>
            </w:r>
            <w:r>
              <w:rPr>
                <w:rFonts w:ascii="宋体" w:eastAsia="宋体" w:hAnsi="宋体" w:cs="Times New Roman" w:hint="eastAsia"/>
                <w:sz w:val="22"/>
              </w:rPr>
              <w:t>,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100万美元，同时实现了GAAP净利润盈利。</w:t>
            </w:r>
          </w:p>
          <w:p w14:paraId="5118E849" w14:textId="77777777" w:rsidR="00D85887" w:rsidRDefault="00D85887" w:rsidP="00D85887">
            <w:pPr>
              <w:spacing w:line="360" w:lineRule="auto"/>
              <w:ind w:firstLineChars="200" w:firstLine="440"/>
              <w:rPr>
                <w:rFonts w:hint="eastAsia"/>
              </w:rPr>
            </w:pPr>
            <w:r w:rsidRPr="000410D6">
              <w:rPr>
                <w:rFonts w:ascii="宋体" w:eastAsia="宋体" w:hAnsi="宋体" w:cs="Times New Roman" w:hint="eastAsia"/>
                <w:sz w:val="22"/>
              </w:rPr>
              <w:t>公司重申2025年全年指引维持不变。预计收入在49亿至53亿美元之间。GAAP毛利率在80%-90%百分比在中间范围内。GAAP运营费用预计在41亿至44亿美元之间。公司致力于实现全年GAAP运营收入盈亏平衡，并在全年实现正的运营现金流。鉴于不确定性仍然存在，公司的指引包括对已宣布关税对2025年结果的影响的估计。公司预计合作产品将不</w:t>
            </w:r>
            <w:r>
              <w:rPr>
                <w:rFonts w:ascii="宋体" w:eastAsia="宋体" w:hAnsi="宋体" w:cs="Times New Roman" w:hint="eastAsia"/>
                <w:sz w:val="22"/>
              </w:rPr>
              <w:t>会</w:t>
            </w:r>
            <w:r w:rsidRPr="000410D6">
              <w:rPr>
                <w:rFonts w:ascii="宋体" w:eastAsia="宋体" w:hAnsi="宋体" w:cs="Times New Roman" w:hint="eastAsia"/>
                <w:sz w:val="22"/>
              </w:rPr>
              <w:t>受到相关的关税影响。</w:t>
            </w:r>
          </w:p>
          <w:p w14:paraId="6F13F959" w14:textId="77777777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sz w:val="22"/>
              </w:rPr>
            </w:pPr>
          </w:p>
          <w:p w14:paraId="6C51AE89" w14:textId="17950DE2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sz w:val="22"/>
              </w:rPr>
            </w:pP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Q</w:t>
            </w:r>
            <w:r w:rsidR="00C80DEF">
              <w:rPr>
                <w:rFonts w:ascii="宋体" w:eastAsia="宋体" w:hAnsi="宋体" w:cs="Arial" w:hint="eastAsia"/>
                <w:b/>
                <w:bCs/>
                <w:sz w:val="22"/>
              </w:rPr>
              <w:t>1</w:t>
            </w:r>
            <w:r>
              <w:rPr>
                <w:rFonts w:ascii="宋体" w:eastAsia="宋体" w:hAnsi="宋体" w:cs="Arial" w:hint="eastAsia"/>
                <w:b/>
                <w:bCs/>
                <w:sz w:val="22"/>
              </w:rPr>
              <w:t>：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随着礼来公司今年晚些时候公布匹妥</w:t>
            </w:r>
            <w:proofErr w:type="gramStart"/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布替尼</w:t>
            </w:r>
            <w:proofErr w:type="gramEnd"/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一线治疗CLL数据，公司如何看待百悦泽</w:t>
            </w:r>
            <w:r w:rsidR="00736D4E" w:rsidRPr="00736D4E">
              <w:rPr>
                <w:rFonts w:ascii="宋体" w:eastAsia="宋体" w:hAnsi="宋体" w:cs="Arial"/>
                <w:b/>
                <w:bCs/>
                <w:sz w:val="22"/>
                <w:vertAlign w:val="superscript"/>
              </w:rPr>
              <w:t>®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的长期定位？</w:t>
            </w:r>
          </w:p>
          <w:p w14:paraId="19166CD5" w14:textId="6CE7E66A" w:rsidR="00BA74AB" w:rsidRPr="00BA74AB" w:rsidRDefault="00BA74AB" w:rsidP="004F2065">
            <w:pPr>
              <w:spacing w:line="360" w:lineRule="auto"/>
              <w:ind w:firstLineChars="200" w:firstLine="440"/>
              <w:rPr>
                <w:rFonts w:ascii="宋体" w:eastAsia="宋体" w:hAnsi="宋体" w:cs="Arial" w:hint="eastAsia"/>
                <w:b/>
                <w:bCs/>
                <w:sz w:val="22"/>
              </w:rPr>
            </w:pP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匹妥布替尼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目前正在进行两项针对一线CLL的3期临床试验。第一项试验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将匹妥布替尼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与化疗免疫疗法进行对比。需要指出的是，化疗免疫疗法已不再被视为一线初治CLL的标准治疗方案。因此，该研究的结果并不一定改变现有治疗实践，因为其对比的是非标准治疗方案。第二项试验为混合人群研究，纳入了最多30%的一线初治CLL患者，其余患者为复发/难治性CLL患者。该研究以非劣的客观缓解率（ORR）为主要终点。即便该研究取得</w:t>
            </w:r>
            <w:r>
              <w:rPr>
                <w:rFonts w:ascii="宋体" w:eastAsia="宋体" w:hAnsi="宋体" w:cs="Arial" w:hint="eastAsia"/>
                <w:sz w:val="22"/>
              </w:rPr>
              <w:t>积极</w:t>
            </w:r>
            <w:r w:rsidRPr="00BA74AB">
              <w:rPr>
                <w:rFonts w:ascii="宋体" w:eastAsia="宋体" w:hAnsi="宋体" w:cs="Arial"/>
                <w:sz w:val="22"/>
              </w:rPr>
              <w:t>结果，目前我们也不认为其将改变当前的临床治疗模式。此外，该研究的对照药物为伊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布替尼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，而非同类最佳的BTK抑制剂——百悦泽</w:t>
            </w:r>
            <w:r w:rsidR="00736D4E" w:rsidRPr="00736D4E">
              <w:rPr>
                <w:rFonts w:ascii="宋体" w:eastAsia="宋体" w:hAnsi="宋体" w:cs="Arial"/>
                <w:sz w:val="22"/>
                <w:vertAlign w:val="superscript"/>
              </w:rPr>
              <w:t>®</w:t>
            </w:r>
            <w:r w:rsidRPr="00BA74AB">
              <w:rPr>
                <w:rFonts w:ascii="宋体" w:eastAsia="宋体" w:hAnsi="宋体" w:cs="Arial"/>
                <w:sz w:val="22"/>
              </w:rPr>
              <w:t>，公司认为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匹妥布替尼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对百悦泽</w:t>
            </w:r>
            <w:r w:rsidR="00736D4E" w:rsidRPr="00736D4E">
              <w:rPr>
                <w:rFonts w:ascii="宋体" w:eastAsia="宋体" w:hAnsi="宋体" w:cs="Arial"/>
                <w:sz w:val="22"/>
                <w:vertAlign w:val="superscript"/>
              </w:rPr>
              <w:t>®</w:t>
            </w:r>
            <w:r w:rsidRPr="00BA74AB">
              <w:rPr>
                <w:rFonts w:ascii="宋体" w:eastAsia="宋体" w:hAnsi="宋体" w:cs="Arial"/>
                <w:sz w:val="22"/>
              </w:rPr>
              <w:t>不构成重大威胁。我们认为，若要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使匹妥布替尼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在一线治疗中占据显著市场份额，需真正与标准治疗方案进行对比，并且需要更长时间的随访数据支持。因此，我们不认为该研究会在短期内改变BTK抑制剂在一线治疗中的应用格局。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匹妥布替尼更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可能定位为患者在共价BTK抑制剂治疗进展后的后</w:t>
            </w:r>
            <w:r w:rsidRPr="00BA74AB">
              <w:rPr>
                <w:rFonts w:ascii="宋体" w:eastAsia="宋体" w:hAnsi="宋体" w:cs="Arial"/>
                <w:sz w:val="22"/>
              </w:rPr>
              <w:lastRenderedPageBreak/>
              <w:t>续用药选择。</w:t>
            </w:r>
          </w:p>
          <w:p w14:paraId="67612A3F" w14:textId="77777777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sz w:val="22"/>
              </w:rPr>
            </w:pPr>
          </w:p>
          <w:p w14:paraId="159E9439" w14:textId="06C3F8D6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b/>
                <w:bCs/>
                <w:sz w:val="22"/>
              </w:rPr>
            </w:pP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Q</w:t>
            </w:r>
            <w:r w:rsidR="00496D97">
              <w:rPr>
                <w:rFonts w:ascii="宋体" w:eastAsia="宋体" w:hAnsi="宋体" w:cs="Arial" w:hint="eastAsia"/>
                <w:b/>
                <w:bCs/>
                <w:sz w:val="22"/>
              </w:rPr>
              <w:t>2</w:t>
            </w:r>
            <w:r>
              <w:rPr>
                <w:rFonts w:ascii="宋体" w:eastAsia="宋体" w:hAnsi="宋体" w:cs="Arial" w:hint="eastAsia"/>
                <w:b/>
                <w:bCs/>
                <w:sz w:val="22"/>
              </w:rPr>
              <w:t>：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关于瑞士公司Siegfried增列为百悦泽</w:t>
            </w:r>
            <w:r w:rsidR="00736D4E" w:rsidRPr="00736D4E">
              <w:rPr>
                <w:rFonts w:ascii="宋体" w:eastAsia="宋体" w:hAnsi="宋体" w:cs="Arial"/>
                <w:b/>
                <w:bCs/>
                <w:sz w:val="22"/>
                <w:vertAlign w:val="superscript"/>
              </w:rPr>
              <w:t>®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的原料药生产商，可否分享更多的信息？公司是否有长期计划在美国增加原料药供应？</w:t>
            </w:r>
          </w:p>
          <w:p w14:paraId="79DFDF4A" w14:textId="5D9398BB" w:rsidR="00496D97" w:rsidRDefault="00BA74AB" w:rsidP="00BA74AB">
            <w:pPr>
              <w:spacing w:line="360" w:lineRule="auto"/>
              <w:ind w:firstLineChars="200" w:firstLine="440"/>
              <w:rPr>
                <w:rFonts w:ascii="宋体" w:eastAsia="宋体" w:hAnsi="宋体" w:cs="Arial" w:hint="eastAsia"/>
                <w:sz w:val="22"/>
              </w:rPr>
            </w:pPr>
            <w:r w:rsidRPr="00BA74AB">
              <w:rPr>
                <w:rFonts w:ascii="宋体" w:eastAsia="宋体" w:hAnsi="宋体" w:cs="Arial"/>
                <w:sz w:val="22"/>
              </w:rPr>
              <w:t>公司已获欧洲药品管理局批准，将瑞士公司Siegfried增列为百悦泽</w:t>
            </w:r>
            <w:r w:rsidR="00736D4E" w:rsidRPr="00736D4E">
              <w:rPr>
                <w:rFonts w:ascii="宋体" w:eastAsia="宋体" w:hAnsi="宋体" w:cs="Arial"/>
                <w:sz w:val="22"/>
                <w:vertAlign w:val="superscript"/>
              </w:rPr>
              <w:t>®</w:t>
            </w:r>
            <w:r w:rsidRPr="00BA74AB">
              <w:rPr>
                <w:rFonts w:ascii="宋体" w:eastAsia="宋体" w:hAnsi="宋体" w:cs="Arial"/>
                <w:sz w:val="22"/>
              </w:rPr>
              <w:t>的原料药生产商。这标志着公司在</w:t>
            </w:r>
            <w:r w:rsidR="0045030D">
              <w:rPr>
                <w:rFonts w:ascii="宋体" w:eastAsia="宋体" w:hAnsi="宋体" w:cs="Arial" w:hint="eastAsia"/>
                <w:sz w:val="22"/>
              </w:rPr>
              <w:t>全球</w:t>
            </w:r>
            <w:r w:rsidRPr="00BA74AB">
              <w:rPr>
                <w:rFonts w:ascii="宋体" w:eastAsia="宋体" w:hAnsi="宋体" w:cs="Arial"/>
                <w:sz w:val="22"/>
              </w:rPr>
              <w:t>供应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链方面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取得了重要进展。公司重视供应链弹性并积极采取措施，确保原料药供应的稳定性和弹性，同时增加库存以满足日常需求并提供额外的安全保障，致力于确保全球患者能够获得药品供应。公司将继续关注环境变化，采取积极措施继续实现全球供应网络的多元化、保持充足安全产品库存的战略。</w:t>
            </w:r>
          </w:p>
          <w:p w14:paraId="117DB9FB" w14:textId="77777777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sz w:val="22"/>
              </w:rPr>
            </w:pPr>
          </w:p>
          <w:p w14:paraId="1F549F96" w14:textId="421AD6CC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b/>
                <w:bCs/>
                <w:sz w:val="22"/>
              </w:rPr>
            </w:pP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Q</w:t>
            </w:r>
            <w:r w:rsidR="006544BC">
              <w:rPr>
                <w:rFonts w:ascii="宋体" w:eastAsia="宋体" w:hAnsi="宋体" w:cs="Arial" w:hint="eastAsia"/>
                <w:b/>
                <w:bCs/>
                <w:sz w:val="22"/>
              </w:rPr>
              <w:t>3</w:t>
            </w:r>
            <w:r>
              <w:rPr>
                <w:rFonts w:ascii="宋体" w:eastAsia="宋体" w:hAnsi="宋体" w:cs="Arial" w:hint="eastAsia"/>
                <w:b/>
                <w:bCs/>
                <w:sz w:val="22"/>
              </w:rPr>
              <w:t>：</w:t>
            </w:r>
            <w:r w:rsidR="006D683C">
              <w:rPr>
                <w:rFonts w:ascii="宋体" w:eastAsia="宋体" w:hAnsi="宋体" w:cs="Arial" w:hint="eastAsia"/>
                <w:b/>
                <w:bCs/>
                <w:sz w:val="22"/>
              </w:rPr>
              <w:t>季节性因素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是否影响</w:t>
            </w:r>
            <w:r w:rsidR="006D683C">
              <w:rPr>
                <w:rFonts w:ascii="宋体" w:eastAsia="宋体" w:hAnsi="宋体" w:cs="Arial" w:hint="eastAsia"/>
                <w:b/>
                <w:bCs/>
                <w:sz w:val="22"/>
              </w:rPr>
              <w:t>了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BTK抑制剂类药物</w:t>
            </w:r>
            <w:r w:rsidR="006D683C">
              <w:rPr>
                <w:rFonts w:ascii="宋体" w:eastAsia="宋体" w:hAnsi="宋体" w:cs="Arial" w:hint="eastAsia"/>
                <w:b/>
                <w:bCs/>
                <w:sz w:val="22"/>
              </w:rPr>
              <w:t>在美国的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销售？</w:t>
            </w:r>
          </w:p>
          <w:p w14:paraId="0C7B0953" w14:textId="4E611682" w:rsidR="00BA74AB" w:rsidRPr="00BA74AB" w:rsidRDefault="00BA74AB" w:rsidP="00BA74AB">
            <w:pPr>
              <w:spacing w:line="360" w:lineRule="auto"/>
              <w:ind w:firstLineChars="200" w:firstLine="440"/>
              <w:rPr>
                <w:rFonts w:ascii="宋体" w:eastAsia="宋体" w:hAnsi="宋体" w:cs="Arial" w:hint="eastAsia"/>
                <w:sz w:val="22"/>
              </w:rPr>
            </w:pPr>
            <w:r w:rsidRPr="00BA74AB">
              <w:rPr>
                <w:rFonts w:ascii="宋体" w:eastAsia="宋体" w:hAnsi="宋体" w:cs="Arial"/>
                <w:sz w:val="22"/>
              </w:rPr>
              <w:t>第一季度</w:t>
            </w:r>
            <w:r w:rsidR="123DCDB1" w:rsidRPr="140CAB9C">
              <w:rPr>
                <w:rFonts w:ascii="宋体" w:eastAsia="宋体" w:hAnsi="宋体" w:cs="Arial"/>
                <w:sz w:val="22"/>
              </w:rPr>
              <w:t>美国肿瘤市场</w:t>
            </w:r>
            <w:r w:rsidRPr="00BA74AB">
              <w:rPr>
                <w:rFonts w:ascii="宋体" w:eastAsia="宋体" w:hAnsi="宋体" w:cs="Arial"/>
                <w:sz w:val="22"/>
              </w:rPr>
              <w:t>的季节性因素影响了销售</w:t>
            </w:r>
            <w:r w:rsidR="141F27A8" w:rsidRPr="4D641E91">
              <w:rPr>
                <w:rFonts w:ascii="宋体" w:eastAsia="宋体" w:hAnsi="宋体" w:cs="Arial"/>
                <w:sz w:val="22"/>
              </w:rPr>
              <w:t>。在美国，</w:t>
            </w:r>
            <w:r w:rsidRPr="00BA74AB">
              <w:rPr>
                <w:rFonts w:ascii="宋体" w:eastAsia="宋体" w:hAnsi="宋体" w:cs="Arial"/>
                <w:sz w:val="22"/>
              </w:rPr>
              <w:t>通常在第四季度会有客户库存的积累，公司披露了2024年第四季度大约</w:t>
            </w:r>
            <w:r w:rsidR="73D5DEFE" w:rsidRPr="4F598F03">
              <w:rPr>
                <w:rFonts w:ascii="宋体" w:eastAsia="宋体" w:hAnsi="宋体" w:cs="Arial"/>
                <w:sz w:val="22"/>
              </w:rPr>
              <w:t>有</w:t>
            </w:r>
            <w:r w:rsidRPr="00BA74AB">
              <w:rPr>
                <w:rFonts w:ascii="宋体" w:eastAsia="宋体" w:hAnsi="宋体" w:cs="Arial"/>
                <w:sz w:val="22"/>
              </w:rPr>
              <w:t>3,000万美元的库存买入，而在第一季度看到相关买入的减少。此外今年第一季度比其他典型季度少了一个运输周。通常第一季度因患者保险变化及自付费用重置等因素，新患者用药数量略有下降。</w:t>
            </w:r>
          </w:p>
          <w:p w14:paraId="672161BC" w14:textId="77777777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b/>
                <w:bCs/>
                <w:sz w:val="22"/>
              </w:rPr>
            </w:pPr>
          </w:p>
          <w:p w14:paraId="06AF4610" w14:textId="6B1B838C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b/>
                <w:bCs/>
                <w:sz w:val="22"/>
              </w:rPr>
            </w:pP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Q</w:t>
            </w:r>
            <w:r w:rsidR="006544BC">
              <w:rPr>
                <w:rFonts w:ascii="宋体" w:eastAsia="宋体" w:hAnsi="宋体" w:cs="Arial" w:hint="eastAsia"/>
                <w:b/>
                <w:bCs/>
                <w:sz w:val="22"/>
              </w:rPr>
              <w:t>4</w:t>
            </w:r>
            <w:r>
              <w:rPr>
                <w:rFonts w:ascii="宋体" w:eastAsia="宋体" w:hAnsi="宋体" w:cs="Arial" w:hint="eastAsia"/>
                <w:b/>
                <w:bCs/>
                <w:sz w:val="22"/>
              </w:rPr>
              <w:t>：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如何看待</w:t>
            </w:r>
            <w:proofErr w:type="gramStart"/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阿可替尼</w:t>
            </w:r>
            <w:bookmarkStart w:id="2" w:name="OLE_LINK2"/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纳入</w:t>
            </w:r>
            <w:proofErr w:type="gramEnd"/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美国通胀削减法案（IRA</w:t>
            </w:r>
            <w:bookmarkEnd w:id="2"/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）价格谈判名单对公司的潜在影响？</w:t>
            </w:r>
          </w:p>
          <w:p w14:paraId="4F4901C2" w14:textId="7DA955AF" w:rsidR="00BA74AB" w:rsidRDefault="00BA74AB" w:rsidP="006544BC">
            <w:pPr>
              <w:spacing w:line="360" w:lineRule="auto"/>
              <w:ind w:firstLineChars="200" w:firstLine="440"/>
              <w:rPr>
                <w:rFonts w:ascii="宋体" w:eastAsia="宋体" w:hAnsi="宋体" w:cs="Arial" w:hint="eastAsia"/>
                <w:sz w:val="22"/>
              </w:rPr>
            </w:pPr>
            <w:r w:rsidRPr="00BA74AB">
              <w:rPr>
                <w:rFonts w:ascii="宋体" w:eastAsia="宋体" w:hAnsi="宋体" w:cs="Arial"/>
                <w:sz w:val="22"/>
              </w:rPr>
              <w:t>公司预计该价格谈判对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阿可替尼的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影响要到</w:t>
            </w:r>
            <w:r w:rsidR="4B119786" w:rsidRPr="2AE315B2">
              <w:rPr>
                <w:rFonts w:ascii="宋体" w:eastAsia="宋体" w:hAnsi="宋体" w:cs="Arial"/>
                <w:sz w:val="22"/>
              </w:rPr>
              <w:t>2027</w:t>
            </w:r>
            <w:r w:rsidRPr="2AE315B2">
              <w:rPr>
                <w:rFonts w:ascii="宋体" w:eastAsia="宋体" w:hAnsi="宋体" w:cs="Arial"/>
                <w:sz w:val="22"/>
              </w:rPr>
              <w:t>年</w:t>
            </w:r>
            <w:r w:rsidRPr="00BA74AB">
              <w:rPr>
                <w:rFonts w:ascii="宋体" w:eastAsia="宋体" w:hAnsi="宋体" w:cs="Arial"/>
                <w:sz w:val="22"/>
              </w:rPr>
              <w:t>才会显现，且认为其间接市场价格影响是可控的。百悦泽</w:t>
            </w:r>
            <w:r w:rsidR="00736D4E" w:rsidRPr="00736D4E">
              <w:rPr>
                <w:rFonts w:ascii="宋体" w:eastAsia="宋体" w:hAnsi="宋体" w:cs="Arial"/>
                <w:sz w:val="22"/>
                <w:vertAlign w:val="superscript"/>
              </w:rPr>
              <w:t>®</w:t>
            </w:r>
            <w:r w:rsidRPr="00BA74AB">
              <w:rPr>
                <w:rFonts w:ascii="宋体" w:eastAsia="宋体" w:hAnsi="宋体" w:cs="Arial"/>
                <w:sz w:val="22"/>
              </w:rPr>
              <w:t>在ALPINE试验中展现出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较伊布替尼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的头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对头优效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性，两者在安全性和疗效方面存在显著差异。尽管阿可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替尼较伊布替尼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心脏毒性较小，但在多项研究中其疗效也存疑。公司认为伊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布替尼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和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阿可替尼并非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百悦泽的有力替代品。公司对百悦泽在新患治疗、复发难治性治疗中的领先地位充满信心，持续强劲的市场表现将是应对IRA等政策变化的关键。</w:t>
            </w:r>
          </w:p>
          <w:p w14:paraId="101DF37A" w14:textId="77777777" w:rsidR="006544BC" w:rsidRPr="00745B89" w:rsidRDefault="006544BC" w:rsidP="006544BC">
            <w:pPr>
              <w:widowControl/>
              <w:spacing w:after="160" w:line="259" w:lineRule="auto"/>
              <w:contextualSpacing/>
              <w:jc w:val="left"/>
              <w:rPr>
                <w:rFonts w:ascii="宋体" w:eastAsia="宋体" w:hAnsi="宋体" w:cs="Calibri" w:hint="eastAsia"/>
              </w:rPr>
            </w:pPr>
          </w:p>
          <w:p w14:paraId="68124F3B" w14:textId="2622AB30" w:rsidR="006544BC" w:rsidRPr="00745B89" w:rsidRDefault="006544BC" w:rsidP="006544BC">
            <w:pPr>
              <w:spacing w:line="360" w:lineRule="auto"/>
              <w:rPr>
                <w:rFonts w:ascii="宋体" w:eastAsia="宋体" w:hAnsi="宋体" w:cs="Calibri" w:hint="eastAsia"/>
                <w:b/>
              </w:rPr>
            </w:pPr>
            <w:r w:rsidRPr="00745B89">
              <w:rPr>
                <w:rFonts w:ascii="宋体" w:eastAsia="宋体" w:hAnsi="宋体" w:cs="Calibri" w:hint="eastAsia"/>
                <w:b/>
              </w:rPr>
              <w:t>Q</w:t>
            </w:r>
            <w:r>
              <w:rPr>
                <w:rFonts w:ascii="宋体" w:eastAsia="宋体" w:hAnsi="宋体" w:cs="Calibri" w:hint="eastAsia"/>
                <w:b/>
              </w:rPr>
              <w:t>5</w:t>
            </w:r>
            <w:r w:rsidRPr="00745B89">
              <w:rPr>
                <w:rFonts w:ascii="宋体" w:eastAsia="宋体" w:hAnsi="宋体" w:cs="Calibri" w:hint="eastAsia"/>
                <w:b/>
              </w:rPr>
              <w:t>：</w:t>
            </w:r>
            <w:r>
              <w:rPr>
                <w:rFonts w:ascii="宋体" w:eastAsia="宋体" w:hAnsi="宋体" w:cs="Calibri" w:hint="eastAsia"/>
                <w:b/>
              </w:rPr>
              <w:t>请介绍</w:t>
            </w:r>
            <w:proofErr w:type="gramStart"/>
            <w:r w:rsidRPr="00745B89">
              <w:rPr>
                <w:rFonts w:ascii="宋体" w:eastAsia="宋体" w:hAnsi="宋体" w:cs="Calibri" w:hint="eastAsia"/>
                <w:b/>
              </w:rPr>
              <w:t>替雷利珠单</w:t>
            </w:r>
            <w:proofErr w:type="gramEnd"/>
            <w:r w:rsidRPr="00745B89">
              <w:rPr>
                <w:rFonts w:ascii="宋体" w:eastAsia="宋体" w:hAnsi="宋体" w:cs="Calibri" w:hint="eastAsia"/>
                <w:b/>
              </w:rPr>
              <w:t>抗皮下剂型原理</w:t>
            </w:r>
            <w:r>
              <w:rPr>
                <w:rFonts w:ascii="宋体" w:eastAsia="宋体" w:hAnsi="宋体" w:cs="Calibri" w:hint="eastAsia"/>
                <w:b/>
              </w:rPr>
              <w:t>、潜在</w:t>
            </w:r>
            <w:r w:rsidRPr="00745B89">
              <w:rPr>
                <w:rFonts w:ascii="宋体" w:eastAsia="宋体" w:hAnsi="宋体" w:cs="Calibri" w:hint="eastAsia"/>
                <w:b/>
              </w:rPr>
              <w:t>适应症</w:t>
            </w:r>
            <w:r>
              <w:rPr>
                <w:rFonts w:ascii="宋体" w:eastAsia="宋体" w:hAnsi="宋体" w:cs="Calibri" w:hint="eastAsia"/>
                <w:b/>
              </w:rPr>
              <w:t>和</w:t>
            </w:r>
            <w:r w:rsidRPr="00745B89">
              <w:rPr>
                <w:rFonts w:ascii="宋体" w:eastAsia="宋体" w:hAnsi="宋体" w:cs="Calibri" w:hint="eastAsia"/>
                <w:b/>
              </w:rPr>
              <w:t>临床进展？</w:t>
            </w:r>
          </w:p>
          <w:p w14:paraId="21768851" w14:textId="6469CC78" w:rsidR="006544BC" w:rsidRPr="006636DF" w:rsidRDefault="006544BC" w:rsidP="006544BC">
            <w:pPr>
              <w:widowControl/>
              <w:spacing w:line="360" w:lineRule="auto"/>
              <w:ind w:firstLineChars="200" w:firstLine="420"/>
              <w:contextualSpacing/>
              <w:jc w:val="left"/>
              <w:rPr>
                <w:rFonts w:ascii="宋体" w:eastAsia="宋体" w:hAnsi="宋体" w:hint="eastAsia"/>
              </w:rPr>
            </w:pPr>
            <w:r w:rsidRPr="00745B89">
              <w:rPr>
                <w:rFonts w:ascii="宋体" w:eastAsia="宋体" w:hAnsi="宋体" w:cs="Calibri" w:hint="eastAsia"/>
              </w:rPr>
              <w:t>皮下剂型是生物制剂的</w:t>
            </w:r>
            <w:r w:rsidRPr="006636DF">
              <w:rPr>
                <w:rFonts w:ascii="宋体" w:eastAsia="宋体" w:hAnsi="宋体" w:hint="eastAsia"/>
              </w:rPr>
              <w:t>重要发展方向。</w:t>
            </w:r>
            <w:r w:rsidRPr="00745B89">
              <w:rPr>
                <w:rFonts w:ascii="宋体" w:eastAsia="宋体" w:hAnsi="宋体" w:cs="Calibri" w:hint="eastAsia"/>
              </w:rPr>
              <w:t>公司计划于2025年下半年</w:t>
            </w:r>
            <w:proofErr w:type="gramStart"/>
            <w:r w:rsidRPr="00745B89">
              <w:rPr>
                <w:rFonts w:ascii="宋体" w:eastAsia="宋体" w:hAnsi="宋体" w:cs="Calibri" w:hint="eastAsia"/>
              </w:rPr>
              <w:t>启动百泽安</w:t>
            </w:r>
            <w:proofErr w:type="gramEnd"/>
            <w:r w:rsidRPr="00745B89">
              <w:rPr>
                <w:rFonts w:ascii="宋体" w:eastAsia="宋体" w:hAnsi="宋体" w:cs="Calibri" w:hint="eastAsia"/>
                <w:vertAlign w:val="superscript"/>
              </w:rPr>
              <w:t>®</w:t>
            </w:r>
            <w:r w:rsidRPr="00745B89">
              <w:rPr>
                <w:rFonts w:ascii="宋体" w:eastAsia="宋体" w:hAnsi="宋体" w:cs="Calibri" w:hint="eastAsia"/>
              </w:rPr>
              <w:t>皮下制剂用于一线胃癌</w:t>
            </w:r>
            <w:r w:rsidRPr="006636DF">
              <w:rPr>
                <w:rFonts w:ascii="宋体" w:eastAsia="宋体" w:hAnsi="宋体" w:hint="eastAsia"/>
              </w:rPr>
              <w:t>治疗</w:t>
            </w:r>
            <w:r w:rsidRPr="00745B89">
              <w:rPr>
                <w:rFonts w:ascii="宋体" w:eastAsia="宋体" w:hAnsi="宋体" w:cs="Calibri" w:hint="eastAsia"/>
              </w:rPr>
              <w:t>的三期</w:t>
            </w:r>
            <w:r w:rsidRPr="006636DF">
              <w:rPr>
                <w:rFonts w:ascii="宋体" w:eastAsia="宋体" w:hAnsi="宋体" w:hint="eastAsia"/>
              </w:rPr>
              <w:t>临床试验</w:t>
            </w:r>
            <w:r w:rsidRPr="00745B89">
              <w:rPr>
                <w:rFonts w:ascii="宋体" w:eastAsia="宋体" w:hAnsi="宋体" w:cs="Calibri" w:hint="eastAsia"/>
              </w:rPr>
              <w:t>，</w:t>
            </w:r>
            <w:r>
              <w:rPr>
                <w:rFonts w:ascii="宋体" w:eastAsia="宋体" w:hAnsi="宋体" w:cs="Calibri" w:hint="eastAsia"/>
              </w:rPr>
              <w:t>试验</w:t>
            </w:r>
            <w:r w:rsidRPr="00745B89">
              <w:rPr>
                <w:rFonts w:ascii="宋体" w:eastAsia="宋体" w:hAnsi="宋体" w:cs="Calibri" w:hint="eastAsia"/>
              </w:rPr>
              <w:t>成功后</w:t>
            </w:r>
            <w:r>
              <w:rPr>
                <w:rFonts w:ascii="宋体" w:eastAsia="宋体" w:hAnsi="宋体" w:cs="Calibri" w:hint="eastAsia"/>
              </w:rPr>
              <w:t>有望</w:t>
            </w:r>
            <w:r w:rsidRPr="006636DF">
              <w:rPr>
                <w:rFonts w:ascii="宋体" w:eastAsia="宋体" w:hAnsi="宋体" w:hint="eastAsia"/>
              </w:rPr>
              <w:t>拓展至多</w:t>
            </w:r>
            <w:proofErr w:type="gramStart"/>
            <w:r w:rsidRPr="00745B89">
              <w:rPr>
                <w:rFonts w:ascii="宋体" w:eastAsia="宋体" w:hAnsi="宋体" w:cs="Calibri" w:hint="eastAsia"/>
              </w:rPr>
              <w:t>个</w:t>
            </w:r>
            <w:proofErr w:type="gramEnd"/>
            <w:r w:rsidRPr="00745B89">
              <w:rPr>
                <w:rFonts w:ascii="宋体" w:eastAsia="宋体" w:hAnsi="宋体" w:cs="Calibri" w:hint="eastAsia"/>
              </w:rPr>
              <w:t>适应症</w:t>
            </w:r>
            <w:r w:rsidRPr="006636DF">
              <w:rPr>
                <w:rFonts w:ascii="宋体" w:eastAsia="宋体" w:hAnsi="宋体" w:hint="eastAsia"/>
              </w:rPr>
              <w:t>。鉴于</w:t>
            </w:r>
            <w:r w:rsidRPr="00745B89">
              <w:rPr>
                <w:rFonts w:ascii="宋体" w:eastAsia="宋体" w:hAnsi="宋体" w:cs="Calibri" w:hint="eastAsia"/>
              </w:rPr>
              <w:t>PD-1用药</w:t>
            </w:r>
            <w:r w:rsidRPr="006636DF">
              <w:rPr>
                <w:rFonts w:ascii="宋体" w:eastAsia="宋体" w:hAnsi="宋体" w:hint="eastAsia"/>
              </w:rPr>
              <w:t>周期较</w:t>
            </w:r>
            <w:r w:rsidRPr="00745B89">
              <w:rPr>
                <w:rFonts w:ascii="宋体" w:eastAsia="宋体" w:hAnsi="宋体" w:cs="Calibri" w:hint="eastAsia"/>
              </w:rPr>
              <w:t>长，皮下注射</w:t>
            </w:r>
            <w:r w:rsidRPr="006636DF">
              <w:rPr>
                <w:rFonts w:ascii="宋体" w:eastAsia="宋体" w:hAnsi="宋体" w:hint="eastAsia"/>
              </w:rPr>
              <w:t>方式可有效</w:t>
            </w:r>
            <w:r w:rsidRPr="00745B89">
              <w:rPr>
                <w:rFonts w:ascii="宋体" w:eastAsia="宋体" w:hAnsi="宋体" w:cs="Calibri" w:hint="eastAsia"/>
              </w:rPr>
              <w:t>节约医院资源</w:t>
            </w:r>
            <w:r w:rsidRPr="006636DF">
              <w:rPr>
                <w:rFonts w:ascii="宋体" w:eastAsia="宋体" w:hAnsi="宋体" w:hint="eastAsia"/>
              </w:rPr>
              <w:t>，</w:t>
            </w:r>
            <w:r>
              <w:rPr>
                <w:rFonts w:ascii="宋体" w:eastAsia="宋体" w:hAnsi="宋体" w:hint="eastAsia"/>
              </w:rPr>
              <w:t>并提升便利性</w:t>
            </w:r>
            <w:r w:rsidRPr="006636DF">
              <w:rPr>
                <w:rFonts w:ascii="宋体" w:eastAsia="宋体" w:hAnsi="宋体" w:hint="eastAsia"/>
              </w:rPr>
              <w:t>。</w:t>
            </w:r>
          </w:p>
          <w:p w14:paraId="7CC441D1" w14:textId="77777777" w:rsidR="006544BC" w:rsidRPr="006544BC" w:rsidRDefault="006544BC" w:rsidP="00BA74AB">
            <w:pPr>
              <w:spacing w:line="360" w:lineRule="auto"/>
              <w:rPr>
                <w:rFonts w:ascii="宋体" w:eastAsia="宋体" w:hAnsi="宋体" w:cs="Arial" w:hint="eastAsia"/>
                <w:sz w:val="22"/>
              </w:rPr>
            </w:pPr>
          </w:p>
          <w:p w14:paraId="3ED54CB0" w14:textId="1FA8647F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b/>
                <w:bCs/>
                <w:sz w:val="22"/>
              </w:rPr>
            </w:pP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Q</w:t>
            </w:r>
            <w:r w:rsidR="00496D97">
              <w:rPr>
                <w:rFonts w:ascii="宋体" w:eastAsia="宋体" w:hAnsi="宋体" w:cs="Arial" w:hint="eastAsia"/>
                <w:b/>
                <w:bCs/>
                <w:sz w:val="22"/>
              </w:rPr>
              <w:t>6</w:t>
            </w:r>
            <w:r>
              <w:rPr>
                <w:rFonts w:ascii="宋体" w:eastAsia="宋体" w:hAnsi="宋体" w:cs="Arial" w:hint="eastAsia"/>
                <w:b/>
                <w:bCs/>
                <w:sz w:val="22"/>
              </w:rPr>
              <w:t>：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鉴于</w:t>
            </w:r>
            <w:r w:rsidRPr="00BA74AB">
              <w:rPr>
                <w:rFonts w:ascii="宋体" w:eastAsia="宋体" w:hAnsi="宋体" w:cs="Arial" w:hint="eastAsia"/>
                <w:b/>
                <w:bCs/>
                <w:sz w:val="22"/>
              </w:rPr>
              <w:t>索托克拉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在安全性、疗效以及联合用药机会方面</w:t>
            </w:r>
            <w:r w:rsidRPr="00BA74AB">
              <w:rPr>
                <w:rFonts w:ascii="宋体" w:eastAsia="宋体" w:hAnsi="宋体" w:cs="Arial" w:hint="eastAsia"/>
                <w:b/>
                <w:bCs/>
                <w:sz w:val="22"/>
              </w:rPr>
              <w:t>相较于维奈克拉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的潜在优势，公司对其市场机会有何看法？</w:t>
            </w:r>
          </w:p>
          <w:p w14:paraId="4D3B878D" w14:textId="6929D166" w:rsidR="00BA74AB" w:rsidRDefault="00BA74AB" w:rsidP="004F2065">
            <w:pPr>
              <w:spacing w:line="360" w:lineRule="auto"/>
              <w:ind w:firstLineChars="200" w:firstLine="440"/>
              <w:rPr>
                <w:rFonts w:ascii="宋体" w:eastAsia="宋体" w:hAnsi="宋体" w:cs="Arial" w:hint="eastAsia"/>
                <w:sz w:val="22"/>
              </w:rPr>
            </w:pPr>
            <w:r w:rsidRPr="00BA74AB">
              <w:rPr>
                <w:rFonts w:ascii="宋体" w:eastAsia="宋体" w:hAnsi="宋体" w:cs="Arial"/>
                <w:sz w:val="22"/>
              </w:rPr>
              <w:t>目前</w:t>
            </w:r>
            <w:r w:rsidRPr="00BA74AB">
              <w:rPr>
                <w:rFonts w:ascii="宋体" w:eastAsia="宋体" w:hAnsi="宋体" w:cs="Arial" w:hint="eastAsia"/>
                <w:sz w:val="22"/>
              </w:rPr>
              <w:t>，</w:t>
            </w:r>
            <w:r w:rsidRPr="00BA74AB">
              <w:rPr>
                <w:rFonts w:ascii="宋体" w:eastAsia="宋体" w:hAnsi="宋体" w:cs="Arial"/>
                <w:sz w:val="22"/>
              </w:rPr>
              <w:t>BCL2</w:t>
            </w:r>
            <w:r w:rsidRPr="00BA74AB">
              <w:rPr>
                <w:rFonts w:ascii="宋体" w:eastAsia="宋体" w:hAnsi="宋体" w:cs="Arial" w:hint="eastAsia"/>
                <w:sz w:val="22"/>
              </w:rPr>
              <w:t>抑制剂类药品竞争格局良好。</w:t>
            </w:r>
            <w:r w:rsidRPr="00BA74AB">
              <w:rPr>
                <w:rFonts w:ascii="宋体" w:eastAsia="宋体" w:hAnsi="宋体" w:cs="Arial"/>
                <w:sz w:val="22"/>
              </w:rPr>
              <w:t>索托克拉</w:t>
            </w:r>
            <w:r w:rsidRPr="00BA74AB">
              <w:rPr>
                <w:rFonts w:ascii="宋体" w:eastAsia="宋体" w:hAnsi="宋体" w:cs="Arial" w:hint="eastAsia"/>
                <w:sz w:val="22"/>
              </w:rPr>
              <w:t>的</w:t>
            </w:r>
            <w:r w:rsidRPr="00BA74AB">
              <w:rPr>
                <w:rFonts w:ascii="宋体" w:eastAsia="宋体" w:hAnsi="宋体" w:cs="Arial"/>
                <w:sz w:val="22"/>
              </w:rPr>
              <w:t>更高强效性诱导更深的BCL2抑制</w:t>
            </w:r>
            <w:r w:rsidRPr="00BA74AB">
              <w:rPr>
                <w:rFonts w:ascii="宋体" w:eastAsia="宋体" w:hAnsi="宋体" w:cs="Arial" w:hint="eastAsia"/>
                <w:sz w:val="22"/>
              </w:rPr>
              <w:t>，</w:t>
            </w:r>
            <w:r w:rsidRPr="00BA74AB">
              <w:rPr>
                <w:rFonts w:ascii="宋体" w:eastAsia="宋体" w:hAnsi="宋体" w:cs="Arial"/>
                <w:sz w:val="22"/>
              </w:rPr>
              <w:t>有望带来更好疗效</w:t>
            </w:r>
            <w:r w:rsidRPr="00BA74AB">
              <w:rPr>
                <w:rFonts w:ascii="宋体" w:eastAsia="宋体" w:hAnsi="宋体" w:cs="Arial" w:hint="eastAsia"/>
                <w:sz w:val="22"/>
              </w:rPr>
              <w:t>，</w:t>
            </w:r>
            <w:r w:rsidRPr="00BA74AB">
              <w:rPr>
                <w:rFonts w:ascii="宋体" w:eastAsia="宋体" w:hAnsi="宋体" w:cs="Arial"/>
                <w:sz w:val="22"/>
              </w:rPr>
              <w:t>与维奈克拉相比具有更高选择性</w:t>
            </w:r>
            <w:r w:rsidRPr="00BA74AB">
              <w:rPr>
                <w:rFonts w:ascii="宋体" w:eastAsia="宋体" w:hAnsi="宋体" w:cs="Arial" w:hint="eastAsia"/>
                <w:sz w:val="22"/>
              </w:rPr>
              <w:t>，</w:t>
            </w:r>
            <w:r w:rsidRPr="00BA74AB">
              <w:rPr>
                <w:rFonts w:ascii="宋体" w:eastAsia="宋体" w:hAnsi="宋体" w:cs="Arial"/>
                <w:sz w:val="22"/>
              </w:rPr>
              <w:t>这将能够提升安全性</w:t>
            </w:r>
            <w:r w:rsidRPr="00BA74AB">
              <w:rPr>
                <w:rFonts w:ascii="宋体" w:eastAsia="宋体" w:hAnsi="宋体" w:cs="Arial" w:hint="eastAsia"/>
                <w:sz w:val="22"/>
              </w:rPr>
              <w:t>，且</w:t>
            </w:r>
            <w:r w:rsidRPr="00BA74AB">
              <w:rPr>
                <w:rFonts w:ascii="宋体" w:eastAsia="宋体" w:hAnsi="宋体" w:cs="Arial"/>
                <w:sz w:val="22"/>
              </w:rPr>
              <w:t>吸收更快、半衰期更短且无药物蓄积，便于TLS监测</w:t>
            </w:r>
            <w:r w:rsidRPr="00BA74AB">
              <w:rPr>
                <w:rFonts w:ascii="宋体" w:eastAsia="宋体" w:hAnsi="宋体" w:cs="Arial" w:hint="eastAsia"/>
                <w:sz w:val="22"/>
              </w:rPr>
              <w:t>。目前</w:t>
            </w:r>
            <w:r w:rsidRPr="00BA74AB">
              <w:rPr>
                <w:rFonts w:ascii="宋体" w:eastAsia="宋体" w:hAnsi="宋体" w:cs="Arial"/>
                <w:sz w:val="22"/>
              </w:rPr>
              <w:t>公司</w:t>
            </w:r>
            <w:r w:rsidRPr="00BA74AB">
              <w:rPr>
                <w:rFonts w:ascii="宋体" w:eastAsia="宋体" w:hAnsi="宋体" w:cs="Arial" w:hint="eastAsia"/>
                <w:sz w:val="22"/>
              </w:rPr>
              <w:t>已</w:t>
            </w:r>
            <w:r w:rsidRPr="00BA74AB">
              <w:rPr>
                <w:rFonts w:ascii="宋体" w:eastAsia="宋体" w:hAnsi="宋体" w:cs="Arial"/>
                <w:sz w:val="22"/>
              </w:rPr>
              <w:t>启动了多项</w:t>
            </w:r>
            <w:r w:rsidRPr="00BA74AB">
              <w:rPr>
                <w:rFonts w:ascii="宋体" w:eastAsia="宋体" w:hAnsi="宋体" w:cs="Arial" w:hint="eastAsia"/>
                <w:sz w:val="22"/>
              </w:rPr>
              <w:t>临床</w:t>
            </w:r>
            <w:r w:rsidRPr="00BA74AB">
              <w:rPr>
                <w:rFonts w:ascii="宋体" w:eastAsia="宋体" w:hAnsi="宋体" w:cs="Arial"/>
                <w:sz w:val="22"/>
              </w:rPr>
              <w:t>试验。其中，CELESTIAL-TNCLL（301）固定疗程索托克拉+泽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布替尼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对比维奈克拉+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奥妥珠单抗已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完成</w:t>
            </w:r>
            <w:r w:rsidRPr="00BA74AB">
              <w:rPr>
                <w:rFonts w:ascii="宋体" w:eastAsia="宋体" w:hAnsi="宋体" w:cs="Arial" w:hint="eastAsia"/>
                <w:sz w:val="22"/>
              </w:rPr>
              <w:t>入组</w:t>
            </w:r>
            <w:r w:rsidRPr="00BA74AB">
              <w:rPr>
                <w:rFonts w:ascii="宋体" w:eastAsia="宋体" w:hAnsi="宋体" w:cs="Arial"/>
                <w:sz w:val="22"/>
              </w:rPr>
              <w:t>，另一项在复发难治性中对比索托克拉与维奈克拉联合CD20治疗的CELESTIAL-RRCLL（303）试验也</w:t>
            </w:r>
            <w:r w:rsidRPr="00BA74AB">
              <w:rPr>
                <w:rFonts w:ascii="宋体" w:eastAsia="宋体" w:hAnsi="宋体" w:cs="Arial" w:hint="eastAsia"/>
                <w:sz w:val="22"/>
              </w:rPr>
              <w:t>已启动</w:t>
            </w:r>
            <w:r w:rsidRPr="00BA74AB">
              <w:rPr>
                <w:rFonts w:ascii="宋体" w:eastAsia="宋体" w:hAnsi="宋体" w:cs="Arial"/>
                <w:sz w:val="22"/>
              </w:rPr>
              <w:t>，旨在展示索托克拉对比维奈克拉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取得优效性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。此外，公司还在探索维奈克拉尚未取得突破的适应症，如多发性骨髓瘤，相关试验进展顺利，预计今年晚些时候公布更多数据。在CLL</w:t>
            </w:r>
            <w:r w:rsidRPr="00BA74AB">
              <w:rPr>
                <w:rFonts w:ascii="宋体" w:eastAsia="宋体" w:hAnsi="宋体" w:cs="Arial" w:hint="eastAsia"/>
                <w:sz w:val="22"/>
              </w:rPr>
              <w:t>一</w:t>
            </w:r>
            <w:r w:rsidRPr="00BA74AB">
              <w:rPr>
                <w:rFonts w:ascii="宋体" w:eastAsia="宋体" w:hAnsi="宋体" w:cs="Arial"/>
                <w:sz w:val="22"/>
              </w:rPr>
              <w:t>线治疗中，BCL2与CD20联合用药约</w:t>
            </w:r>
            <w:r w:rsidRPr="00BA74AB">
              <w:rPr>
                <w:rFonts w:ascii="宋体" w:eastAsia="宋体" w:hAnsi="宋体" w:cs="Arial" w:hint="eastAsia"/>
                <w:sz w:val="22"/>
              </w:rPr>
              <w:t>占四分之一的市场份额。</w:t>
            </w:r>
            <w:r w:rsidRPr="00BA74AB">
              <w:rPr>
                <w:rFonts w:ascii="宋体" w:eastAsia="宋体" w:hAnsi="宋体" w:cs="Arial"/>
                <w:sz w:val="22"/>
              </w:rPr>
              <w:t>公司认为，深度</w:t>
            </w:r>
            <w:r w:rsidRPr="00BA74AB">
              <w:rPr>
                <w:rFonts w:ascii="宋体" w:eastAsia="宋体" w:hAnsi="宋体" w:cs="Arial" w:hint="eastAsia"/>
                <w:sz w:val="22"/>
              </w:rPr>
              <w:t>缓解</w:t>
            </w:r>
            <w:r w:rsidRPr="00BA74AB">
              <w:rPr>
                <w:rFonts w:ascii="宋体" w:eastAsia="宋体" w:hAnsi="宋体" w:cs="Arial"/>
                <w:sz w:val="22"/>
              </w:rPr>
              <w:t>、</w:t>
            </w:r>
            <w:r w:rsidRPr="00BA74AB">
              <w:rPr>
                <w:rFonts w:ascii="宋体" w:eastAsia="宋体" w:hAnsi="宋体" w:cs="Arial" w:hint="eastAsia"/>
                <w:sz w:val="22"/>
              </w:rPr>
              <w:t>未</w:t>
            </w:r>
            <w:r w:rsidRPr="00BA74AB">
              <w:rPr>
                <w:rFonts w:ascii="宋体" w:eastAsia="宋体" w:hAnsi="宋体" w:cs="Arial"/>
                <w:sz w:val="22"/>
              </w:rPr>
              <w:t>检测</w:t>
            </w:r>
            <w:r w:rsidRPr="00BA74AB">
              <w:rPr>
                <w:rFonts w:ascii="宋体" w:eastAsia="宋体" w:hAnsi="宋体" w:cs="Arial" w:hint="eastAsia"/>
                <w:sz w:val="22"/>
              </w:rPr>
              <w:t>出</w:t>
            </w:r>
            <w:r w:rsidRPr="00BA74AB">
              <w:rPr>
                <w:rFonts w:ascii="宋体" w:eastAsia="宋体" w:hAnsi="宋体" w:cs="Arial"/>
                <w:sz w:val="22"/>
              </w:rPr>
              <w:t>的微小残留病灶、</w:t>
            </w:r>
            <w:r w:rsidRPr="00BA74AB">
              <w:rPr>
                <w:rFonts w:ascii="宋体" w:eastAsia="宋体" w:hAnsi="宋体" w:cs="Arial" w:hint="eastAsia"/>
                <w:sz w:val="22"/>
              </w:rPr>
              <w:t>持久的PFS</w:t>
            </w:r>
            <w:r w:rsidRPr="00BA74AB">
              <w:rPr>
                <w:rFonts w:ascii="宋体" w:eastAsia="宋体" w:hAnsi="宋体" w:cs="Arial"/>
                <w:sz w:val="22"/>
              </w:rPr>
              <w:t>以及</w:t>
            </w:r>
            <w:r w:rsidRPr="00BA74AB">
              <w:rPr>
                <w:rFonts w:ascii="宋体" w:eastAsia="宋体" w:hAnsi="宋体" w:cs="Arial" w:hint="eastAsia"/>
                <w:sz w:val="22"/>
              </w:rPr>
              <w:t>良好</w:t>
            </w:r>
            <w:r w:rsidRPr="00BA74AB">
              <w:rPr>
                <w:rFonts w:ascii="宋体" w:eastAsia="宋体" w:hAnsi="宋体" w:cs="Arial"/>
                <w:sz w:val="22"/>
              </w:rPr>
              <w:t>的安全性是固定</w:t>
            </w:r>
            <w:r w:rsidRPr="00BA74AB">
              <w:rPr>
                <w:rFonts w:ascii="宋体" w:eastAsia="宋体" w:hAnsi="宋体" w:cs="Arial" w:hint="eastAsia"/>
                <w:sz w:val="22"/>
              </w:rPr>
              <w:t>疗程方案</w:t>
            </w:r>
            <w:r w:rsidRPr="00BA74AB">
              <w:rPr>
                <w:rFonts w:ascii="宋体" w:eastAsia="宋体" w:hAnsi="宋体" w:cs="Arial"/>
                <w:sz w:val="22"/>
              </w:rPr>
              <w:t>成功的关键。尽管</w:t>
            </w:r>
            <w:r w:rsidRPr="00BA74AB">
              <w:rPr>
                <w:rFonts w:ascii="宋体" w:eastAsia="宋体" w:hAnsi="宋体" w:cs="Arial" w:hint="eastAsia"/>
                <w:sz w:val="22"/>
              </w:rPr>
              <w:t>现有</w:t>
            </w:r>
            <w:r w:rsidRPr="00BA74AB">
              <w:rPr>
                <w:rFonts w:ascii="宋体" w:eastAsia="宋体" w:hAnsi="宋体" w:cs="Arial"/>
                <w:sz w:val="22"/>
              </w:rPr>
              <w:t>固定</w:t>
            </w:r>
            <w:r w:rsidRPr="00BA74AB">
              <w:rPr>
                <w:rFonts w:ascii="宋体" w:eastAsia="宋体" w:hAnsi="宋体" w:cs="Arial" w:hint="eastAsia"/>
                <w:sz w:val="22"/>
              </w:rPr>
              <w:t>疗程</w:t>
            </w:r>
            <w:r w:rsidRPr="00BA74AB">
              <w:rPr>
                <w:rFonts w:ascii="宋体" w:eastAsia="宋体" w:hAnsi="宋体" w:cs="Arial"/>
                <w:sz w:val="22"/>
              </w:rPr>
              <w:t>方案未能达到这一标准，但公司对泽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布替尼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和索托克拉的潜力充满信心。</w:t>
            </w:r>
          </w:p>
          <w:p w14:paraId="21C90829" w14:textId="77777777" w:rsidR="00496D97" w:rsidRDefault="00496D97" w:rsidP="00496D97">
            <w:pPr>
              <w:spacing w:line="360" w:lineRule="auto"/>
              <w:ind w:firstLineChars="200" w:firstLine="440"/>
              <w:rPr>
                <w:rFonts w:ascii="宋体" w:eastAsia="宋体" w:hAnsi="宋体" w:cs="Arial" w:hint="eastAsia"/>
                <w:sz w:val="22"/>
              </w:rPr>
            </w:pPr>
          </w:p>
          <w:p w14:paraId="6CDB8864" w14:textId="1A24239F" w:rsidR="00496D97" w:rsidRPr="00A8244B" w:rsidRDefault="00496D97" w:rsidP="00496D97">
            <w:pPr>
              <w:widowControl/>
              <w:spacing w:line="360" w:lineRule="auto"/>
              <w:contextualSpacing/>
              <w:jc w:val="left"/>
              <w:rPr>
                <w:rFonts w:ascii="宋体" w:eastAsia="宋体" w:hAnsi="宋体" w:cs="Times New Roman" w:hint="eastAsia"/>
                <w:b/>
                <w:bCs/>
                <w:sz w:val="22"/>
              </w:rPr>
            </w:pPr>
            <w:r w:rsidRPr="00A8244B">
              <w:rPr>
                <w:rFonts w:ascii="宋体" w:eastAsia="宋体" w:hAnsi="宋体" w:hint="eastAsia"/>
                <w:b/>
                <w:bCs/>
              </w:rPr>
              <w:t>Q</w:t>
            </w:r>
            <w:r>
              <w:rPr>
                <w:rFonts w:ascii="宋体" w:eastAsia="宋体" w:hAnsi="宋体" w:hint="eastAsia"/>
                <w:b/>
                <w:bCs/>
              </w:rPr>
              <w:t>7</w:t>
            </w:r>
            <w:r w:rsidRPr="00A8244B">
              <w:rPr>
                <w:rFonts w:ascii="宋体" w:eastAsia="宋体" w:hAnsi="宋体" w:hint="eastAsia"/>
                <w:b/>
                <w:bCs/>
              </w:rPr>
              <w:t>：请介绍公司</w:t>
            </w:r>
            <w:r w:rsidRPr="00A8244B">
              <w:rPr>
                <w:rFonts w:ascii="宋体" w:eastAsia="宋体" w:hAnsi="宋体" w:cs="Calibri" w:hint="eastAsia"/>
                <w:b/>
                <w:bCs/>
              </w:rPr>
              <w:t>BCL2抑制剂</w:t>
            </w:r>
            <w:r w:rsidRPr="009A2061">
              <w:rPr>
                <w:rFonts w:ascii="宋体" w:eastAsia="宋体" w:hAnsi="宋体" w:cs="Calibri" w:hint="eastAsia"/>
                <w:b/>
                <w:bCs/>
              </w:rPr>
              <w:t>索托克拉</w:t>
            </w:r>
            <w:r>
              <w:rPr>
                <w:rFonts w:ascii="宋体" w:eastAsia="宋体" w:hAnsi="宋体" w:cs="Calibri" w:hint="eastAsia"/>
                <w:b/>
                <w:bCs/>
              </w:rPr>
              <w:t>其它</w:t>
            </w:r>
            <w:r w:rsidRPr="00A8244B">
              <w:rPr>
                <w:rFonts w:ascii="宋体" w:eastAsia="宋体" w:hAnsi="宋体" w:cs="Calibri" w:hint="eastAsia"/>
                <w:b/>
                <w:bCs/>
              </w:rPr>
              <w:t>适应症布局？</w:t>
            </w:r>
          </w:p>
          <w:p w14:paraId="28695B2D" w14:textId="1EC857DB" w:rsidR="00496D97" w:rsidRPr="00496D97" w:rsidRDefault="00496D97" w:rsidP="00496D97">
            <w:pPr>
              <w:widowControl/>
              <w:spacing w:line="360" w:lineRule="auto"/>
              <w:ind w:firstLineChars="200" w:firstLine="440"/>
              <w:contextualSpacing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009C5621">
              <w:rPr>
                <w:rFonts w:ascii="宋体" w:eastAsia="宋体" w:hAnsi="宋体" w:cs="Times New Roman" w:hint="eastAsia"/>
                <w:sz w:val="22"/>
              </w:rPr>
              <w:t>除</w:t>
            </w:r>
            <w:r>
              <w:rPr>
                <w:rFonts w:ascii="宋体" w:eastAsia="宋体" w:hAnsi="宋体" w:cs="Calibri" w:hint="eastAsia"/>
              </w:rPr>
              <w:t>CLL和MCL适应症外，公司还将积极探索</w:t>
            </w:r>
            <w:r w:rsidRPr="000B4F1F">
              <w:rPr>
                <w:rFonts w:ascii="宋体" w:eastAsia="宋体" w:hAnsi="宋体" w:cs="Calibri" w:hint="eastAsia"/>
              </w:rPr>
              <w:t>索托克拉</w:t>
            </w:r>
            <w:r>
              <w:rPr>
                <w:rFonts w:ascii="宋体" w:eastAsia="宋体" w:hAnsi="宋体" w:cs="Calibri" w:hint="eastAsia"/>
              </w:rPr>
              <w:t>在</w:t>
            </w:r>
            <w:proofErr w:type="gramStart"/>
            <w:r w:rsidRPr="00217B9D">
              <w:rPr>
                <w:rFonts w:ascii="宋体" w:eastAsia="宋体" w:hAnsi="宋体" w:cs="Calibri" w:hint="eastAsia"/>
              </w:rPr>
              <w:t>急性髓系白血病</w:t>
            </w:r>
            <w:proofErr w:type="gramEnd"/>
            <w:r w:rsidRPr="00217B9D">
              <w:rPr>
                <w:rFonts w:ascii="宋体" w:eastAsia="宋体" w:hAnsi="宋体" w:cs="Calibri" w:hint="eastAsia"/>
              </w:rPr>
              <w:t>（</w:t>
            </w:r>
            <w:r w:rsidRPr="00217B9D">
              <w:rPr>
                <w:rFonts w:ascii="宋体" w:eastAsia="宋体" w:hAnsi="宋体" w:cs="Calibri"/>
              </w:rPr>
              <w:t>AML</w:t>
            </w:r>
            <w:r w:rsidRPr="00217B9D">
              <w:rPr>
                <w:rFonts w:ascii="宋体" w:eastAsia="宋体" w:hAnsi="宋体" w:cs="Calibri" w:hint="eastAsia"/>
              </w:rPr>
              <w:t>）</w:t>
            </w:r>
            <w:r>
              <w:rPr>
                <w:rFonts w:ascii="宋体" w:eastAsia="宋体" w:hAnsi="宋体" w:cs="Calibri" w:hint="eastAsia"/>
              </w:rPr>
              <w:t>、</w:t>
            </w:r>
            <w:r w:rsidRPr="00217B9D">
              <w:rPr>
                <w:rFonts w:ascii="宋体" w:eastAsia="宋体" w:hAnsi="宋体" w:cs="Calibri" w:hint="eastAsia"/>
              </w:rPr>
              <w:t>骨髓异常增生综合征（</w:t>
            </w:r>
            <w:r w:rsidRPr="00217B9D">
              <w:rPr>
                <w:rFonts w:ascii="宋体" w:eastAsia="宋体" w:hAnsi="宋体" w:cs="Calibri"/>
              </w:rPr>
              <w:t>MDS</w:t>
            </w:r>
            <w:r w:rsidRPr="00217B9D">
              <w:rPr>
                <w:rFonts w:ascii="宋体" w:eastAsia="宋体" w:hAnsi="宋体" w:cs="Calibri" w:hint="eastAsia"/>
              </w:rPr>
              <w:t>）</w:t>
            </w:r>
            <w:r>
              <w:rPr>
                <w:rFonts w:ascii="宋体" w:eastAsia="宋体" w:hAnsi="宋体" w:cs="Calibri" w:hint="eastAsia"/>
              </w:rPr>
              <w:t>、</w:t>
            </w:r>
            <w:r w:rsidRPr="00696C9E">
              <w:rPr>
                <w:rFonts w:ascii="宋体" w:eastAsia="宋体" w:hAnsi="宋体" w:cs="Calibri" w:hint="eastAsia"/>
              </w:rPr>
              <w:t>多发性骨髓瘤</w:t>
            </w:r>
            <w:r>
              <w:rPr>
                <w:rFonts w:ascii="宋体" w:eastAsia="宋体" w:hAnsi="宋体" w:cs="Calibri" w:hint="eastAsia"/>
              </w:rPr>
              <w:t>（MM）</w:t>
            </w:r>
            <w:r w:rsidRPr="00696C9E">
              <w:rPr>
                <w:rFonts w:ascii="宋体" w:eastAsia="宋体" w:hAnsi="宋体" w:cs="Calibri" w:hint="eastAsia"/>
              </w:rPr>
              <w:t>和其他血液肿瘤</w:t>
            </w:r>
            <w:r>
              <w:rPr>
                <w:rFonts w:ascii="宋体" w:eastAsia="宋体" w:hAnsi="宋体" w:cs="Calibri" w:hint="eastAsia"/>
              </w:rPr>
              <w:t>中的应用前景。</w:t>
            </w:r>
          </w:p>
          <w:p w14:paraId="4AB013C8" w14:textId="77777777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sz w:val="22"/>
              </w:rPr>
            </w:pPr>
          </w:p>
          <w:p w14:paraId="5FF3C81B" w14:textId="3012D7CE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b/>
                <w:bCs/>
                <w:sz w:val="22"/>
              </w:rPr>
            </w:pP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Q</w:t>
            </w:r>
            <w:r w:rsidR="00496D97">
              <w:rPr>
                <w:rFonts w:ascii="宋体" w:eastAsia="宋体" w:hAnsi="宋体" w:cs="Arial" w:hint="eastAsia"/>
                <w:b/>
                <w:bCs/>
                <w:sz w:val="22"/>
              </w:rPr>
              <w:t>8</w:t>
            </w:r>
            <w:r>
              <w:rPr>
                <w:rFonts w:ascii="宋体" w:eastAsia="宋体" w:hAnsi="宋体" w:cs="Arial" w:hint="eastAsia"/>
                <w:b/>
                <w:bCs/>
                <w:sz w:val="22"/>
              </w:rPr>
              <w:t>：</w:t>
            </w:r>
            <w:r w:rsidRPr="00BA74AB">
              <w:rPr>
                <w:rFonts w:ascii="宋体" w:eastAsia="宋体" w:hAnsi="宋体" w:cs="Arial" w:hint="eastAsia"/>
                <w:b/>
                <w:bCs/>
                <w:sz w:val="22"/>
              </w:rPr>
              <w:t xml:space="preserve">如何评价BTK 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CDAC相对于</w:t>
            </w:r>
            <w:r w:rsidRPr="00BA74AB">
              <w:rPr>
                <w:rFonts w:ascii="宋体" w:eastAsia="宋体" w:hAnsi="宋体" w:cs="Arial" w:hint="eastAsia"/>
                <w:b/>
                <w:bCs/>
                <w:sz w:val="22"/>
              </w:rPr>
              <w:t>传统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BTK</w:t>
            </w:r>
            <w:r w:rsidRPr="00BA74AB">
              <w:rPr>
                <w:rFonts w:ascii="宋体" w:eastAsia="宋体" w:hAnsi="宋体" w:cs="Arial" w:hint="eastAsia"/>
                <w:b/>
                <w:bCs/>
                <w:sz w:val="22"/>
              </w:rPr>
              <w:t>抑制剂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的长期定位</w:t>
            </w:r>
            <w:r w:rsidRPr="00BA74AB">
              <w:rPr>
                <w:rFonts w:ascii="宋体" w:eastAsia="宋体" w:hAnsi="宋体" w:cs="Arial" w:hint="eastAsia"/>
                <w:b/>
                <w:bCs/>
                <w:sz w:val="22"/>
              </w:rPr>
              <w:t>？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首先，是什么让您有信心BTK CDAC能够在头对头研究中击败</w:t>
            </w:r>
            <w:proofErr w:type="gramStart"/>
            <w:r w:rsidRPr="00BA74AB">
              <w:rPr>
                <w:rFonts w:ascii="宋体" w:eastAsia="宋体" w:hAnsi="宋体" w:cs="Arial" w:hint="eastAsia"/>
                <w:b/>
                <w:bCs/>
                <w:sz w:val="22"/>
              </w:rPr>
              <w:t>匹妥布替尼</w:t>
            </w:r>
            <w:proofErr w:type="gramEnd"/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？其次，降解</w:t>
            </w:r>
            <w:proofErr w:type="gramStart"/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剂运用</w:t>
            </w:r>
            <w:proofErr w:type="gramEnd"/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于更前线的治疗可能存在风险，</w:t>
            </w:r>
            <w:r w:rsidRPr="00BA74AB">
              <w:rPr>
                <w:rFonts w:ascii="宋体" w:eastAsia="宋体" w:hAnsi="宋体" w:cs="Arial" w:hint="eastAsia"/>
                <w:b/>
                <w:bCs/>
                <w:sz w:val="22"/>
              </w:rPr>
              <w:t>如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潜在的机制耐药性，</w:t>
            </w:r>
            <w:r w:rsidRPr="00BA74AB">
              <w:rPr>
                <w:rFonts w:ascii="宋体" w:eastAsia="宋体" w:hAnsi="宋体" w:cs="Arial" w:hint="eastAsia"/>
                <w:b/>
                <w:bCs/>
                <w:sz w:val="22"/>
              </w:rPr>
              <w:t>是否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会排除其他治疗选择</w:t>
            </w:r>
            <w:r w:rsidRPr="00BA74AB">
              <w:rPr>
                <w:rFonts w:ascii="宋体" w:eastAsia="宋体" w:hAnsi="宋体" w:cs="Arial" w:hint="eastAsia"/>
                <w:b/>
                <w:bCs/>
                <w:sz w:val="22"/>
              </w:rPr>
              <w:t>？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您对这种治疗顺序的看法如何？</w:t>
            </w:r>
          </w:p>
          <w:p w14:paraId="1F2B7BAB" w14:textId="77777777" w:rsidR="0088333A" w:rsidRPr="00BA74AB" w:rsidRDefault="0088333A" w:rsidP="0088333A">
            <w:pPr>
              <w:spacing w:line="360" w:lineRule="auto"/>
              <w:ind w:firstLineChars="200" w:firstLine="440"/>
              <w:rPr>
                <w:rFonts w:ascii="宋体" w:eastAsia="宋体" w:hAnsi="宋体" w:cs="Arial" w:hint="eastAsia"/>
                <w:sz w:val="22"/>
              </w:rPr>
            </w:pPr>
            <w:r w:rsidRPr="00BA74AB">
              <w:rPr>
                <w:rFonts w:ascii="宋体" w:eastAsia="宋体" w:hAnsi="宋体" w:cs="Arial"/>
                <w:sz w:val="22"/>
              </w:rPr>
              <w:t>公司对BTK降解剂的信心不断增强。随着更多数据的积累，该药物已显示出对BTK蛋白的完全降解能力，并为患者带来持续的临床益处。基于关键意见领袖的反馈，公司计划于今年下半年启动BTK降解剂</w:t>
            </w:r>
            <w:r w:rsidRPr="00BA74AB">
              <w:rPr>
                <w:rFonts w:ascii="宋体" w:eastAsia="宋体" w:hAnsi="宋体" w:cs="Arial" w:hint="eastAsia"/>
                <w:sz w:val="22"/>
              </w:rPr>
              <w:t>对比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匹妥布替尼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的头对头试验。关于在前线治疗中使用BTK降解剂，公司正在相关患者群体中开展研究。公司同时也在探索其他治疗选择，如</w:t>
            </w:r>
            <w:r w:rsidRPr="00BA74AB">
              <w:rPr>
                <w:rFonts w:ascii="宋体" w:eastAsia="宋体" w:hAnsi="宋体" w:cs="Arial" w:hint="eastAsia"/>
                <w:sz w:val="22"/>
              </w:rPr>
              <w:lastRenderedPageBreak/>
              <w:t>BCL2抑制剂索托克拉</w:t>
            </w:r>
            <w:r w:rsidRPr="00BA74AB">
              <w:rPr>
                <w:rFonts w:ascii="宋体" w:eastAsia="宋体" w:hAnsi="宋体" w:cs="Arial"/>
                <w:sz w:val="22"/>
              </w:rPr>
              <w:t>，致力于为患者提供从一线到后线的最佳治疗方案。</w:t>
            </w:r>
          </w:p>
          <w:p w14:paraId="7C879D44" w14:textId="77777777" w:rsidR="00BA74AB" w:rsidRPr="0088333A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sz w:val="22"/>
              </w:rPr>
            </w:pPr>
          </w:p>
          <w:p w14:paraId="79A92A9E" w14:textId="37E732C4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b/>
                <w:bCs/>
                <w:sz w:val="22"/>
              </w:rPr>
            </w:pP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Q</w:t>
            </w:r>
            <w:r w:rsidR="00496D97">
              <w:rPr>
                <w:rFonts w:ascii="宋体" w:eastAsia="宋体" w:hAnsi="宋体" w:cs="Arial" w:hint="eastAsia"/>
                <w:b/>
                <w:bCs/>
                <w:sz w:val="22"/>
              </w:rPr>
              <w:t>9</w:t>
            </w:r>
            <w:r>
              <w:rPr>
                <w:rFonts w:ascii="宋体" w:eastAsia="宋体" w:hAnsi="宋体" w:cs="Arial" w:hint="eastAsia"/>
                <w:b/>
                <w:bCs/>
                <w:sz w:val="22"/>
              </w:rPr>
              <w:t>：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 xml:space="preserve">预计今年下半年索托克拉在R/R MCL中的2期数据读出，以及2026年BTK-CDAC的2期数据，为支持潜在获批，监管机构需要哪些关键终点？索托克拉在中国的上市申请进度如何？ </w:t>
            </w:r>
          </w:p>
          <w:p w14:paraId="69D4E569" w14:textId="1CB035DC" w:rsidR="00BA74AB" w:rsidRPr="00BA74AB" w:rsidRDefault="00BA74AB" w:rsidP="00BA74AB">
            <w:pPr>
              <w:spacing w:line="360" w:lineRule="auto"/>
              <w:ind w:firstLineChars="200" w:firstLine="440"/>
              <w:rPr>
                <w:rFonts w:ascii="宋体" w:eastAsia="宋体" w:hAnsi="宋体" w:cs="Arial" w:hint="eastAsia"/>
                <w:sz w:val="22"/>
              </w:rPr>
            </w:pPr>
            <w:r w:rsidRPr="00BA74AB">
              <w:rPr>
                <w:rFonts w:ascii="宋体" w:eastAsia="宋体" w:hAnsi="宋体" w:cs="Arial"/>
                <w:sz w:val="22"/>
              </w:rPr>
              <w:t>索托克拉和BTK-CDAC均为单臂2期研究，主要终点为客观缓解率（</w:t>
            </w:r>
            <w:r w:rsidRPr="168E83FF">
              <w:rPr>
                <w:rFonts w:ascii="宋体" w:eastAsia="宋体" w:hAnsi="宋体" w:cs="Arial"/>
                <w:sz w:val="22"/>
              </w:rPr>
              <w:t>O</w:t>
            </w:r>
            <w:r w:rsidR="6526A069" w:rsidRPr="168E83FF">
              <w:rPr>
                <w:rFonts w:ascii="宋体" w:eastAsia="宋体" w:hAnsi="宋体" w:cs="Arial"/>
                <w:sz w:val="22"/>
              </w:rPr>
              <w:t>R</w:t>
            </w:r>
            <w:r w:rsidRPr="168E83FF">
              <w:rPr>
                <w:rFonts w:ascii="宋体" w:eastAsia="宋体" w:hAnsi="宋体" w:cs="Arial"/>
                <w:sz w:val="22"/>
              </w:rPr>
              <w:t>R</w:t>
            </w:r>
            <w:r w:rsidRPr="00BA74AB">
              <w:rPr>
                <w:rFonts w:ascii="宋体" w:eastAsia="宋体" w:hAnsi="宋体" w:cs="Arial"/>
                <w:sz w:val="22"/>
              </w:rPr>
              <w:t>）和缓解持续时间（DOR）。索托克拉的新药上市申请已获得国家药品监督管理局（NMPA）药品审评中心（CDE）受理并将其纳入优先审评程序，拟用于治疗既往接受过治疗的CLL/SLL成人患者，我们预计将在2026年上半年取得批准。</w:t>
            </w:r>
          </w:p>
          <w:p w14:paraId="2771CA48" w14:textId="77777777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sz w:val="22"/>
              </w:rPr>
            </w:pPr>
          </w:p>
          <w:p w14:paraId="5369FD87" w14:textId="0E6990D3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b/>
                <w:sz w:val="22"/>
              </w:rPr>
            </w:pP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Q</w:t>
            </w:r>
            <w:r>
              <w:rPr>
                <w:rFonts w:ascii="宋体" w:eastAsia="宋体" w:hAnsi="宋体" w:cs="Arial" w:hint="eastAsia"/>
                <w:b/>
                <w:bCs/>
                <w:sz w:val="22"/>
              </w:rPr>
              <w:t>1</w:t>
            </w:r>
            <w:r w:rsidR="00496D97">
              <w:rPr>
                <w:rFonts w:ascii="宋体" w:eastAsia="宋体" w:hAnsi="宋体" w:cs="Arial" w:hint="eastAsia"/>
                <w:b/>
                <w:bCs/>
                <w:sz w:val="22"/>
              </w:rPr>
              <w:t>0</w:t>
            </w:r>
            <w:r>
              <w:rPr>
                <w:rFonts w:ascii="宋体" w:eastAsia="宋体" w:hAnsi="宋体" w:cs="Arial" w:hint="eastAsia"/>
                <w:b/>
                <w:bCs/>
                <w:sz w:val="22"/>
              </w:rPr>
              <w:t>：</w:t>
            </w:r>
            <w:r w:rsidRPr="00BA74AB">
              <w:rPr>
                <w:rFonts w:ascii="宋体" w:eastAsia="宋体" w:hAnsi="宋体" w:cs="Arial"/>
                <w:b/>
                <w:sz w:val="22"/>
              </w:rPr>
              <w:t>公司的CDK4抑制剂BGB-43395</w:t>
            </w:r>
            <w:r w:rsidR="007A6400">
              <w:rPr>
                <w:rFonts w:ascii="宋体" w:eastAsia="宋体" w:hAnsi="宋体" w:cs="Arial" w:hint="eastAsia"/>
                <w:b/>
                <w:sz w:val="22"/>
              </w:rPr>
              <w:t>的临床开发进度如何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？</w:t>
            </w:r>
          </w:p>
          <w:p w14:paraId="243007ED" w14:textId="286861F4" w:rsidR="00BA74AB" w:rsidRPr="00BA74AB" w:rsidRDefault="00BA74AB" w:rsidP="00BA74AB">
            <w:pPr>
              <w:spacing w:line="360" w:lineRule="auto"/>
              <w:ind w:firstLineChars="200" w:firstLine="440"/>
              <w:rPr>
                <w:rFonts w:ascii="宋体" w:eastAsia="宋体" w:hAnsi="宋体" w:cs="Arial" w:hint="eastAsia"/>
                <w:b/>
                <w:bCs/>
                <w:sz w:val="22"/>
              </w:rPr>
            </w:pPr>
            <w:r w:rsidRPr="00BA74AB">
              <w:rPr>
                <w:rFonts w:ascii="宋体" w:eastAsia="宋体" w:hAnsi="宋体" w:cs="Arial"/>
                <w:sz w:val="22"/>
              </w:rPr>
              <w:t>公司目前正在进行剂量递增研究。我们正在积极推进CDK4抑制剂的临床试验进度，迄今为止已有超过300例患者入组，自上一次更新数据后又增加了100例患者。公司正在计划启动BGB-43395联合内分泌药物用于二线治疗HR+/HER2-转移性乳腺癌的三期临床试验，并探索其在更早期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治疗线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中的应用。公司目前没有开发口服SERD药物。</w:t>
            </w:r>
          </w:p>
          <w:p w14:paraId="61ACC771" w14:textId="77777777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b/>
                <w:bCs/>
                <w:sz w:val="22"/>
              </w:rPr>
            </w:pPr>
          </w:p>
          <w:p w14:paraId="3C6C2AAB" w14:textId="73DF0074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b/>
                <w:sz w:val="22"/>
              </w:rPr>
            </w:pP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Q</w:t>
            </w:r>
            <w:r>
              <w:rPr>
                <w:rFonts w:ascii="宋体" w:eastAsia="宋体" w:hAnsi="宋体" w:cs="Arial" w:hint="eastAsia"/>
                <w:b/>
                <w:bCs/>
                <w:sz w:val="22"/>
              </w:rPr>
              <w:t>1</w:t>
            </w:r>
            <w:r w:rsidR="00496D97">
              <w:rPr>
                <w:rFonts w:ascii="宋体" w:eastAsia="宋体" w:hAnsi="宋体" w:cs="Arial" w:hint="eastAsia"/>
                <w:b/>
                <w:bCs/>
                <w:sz w:val="22"/>
              </w:rPr>
              <w:t>1</w:t>
            </w:r>
            <w:r>
              <w:rPr>
                <w:rFonts w:ascii="宋体" w:eastAsia="宋体" w:hAnsi="宋体" w:cs="Arial" w:hint="eastAsia"/>
                <w:b/>
                <w:bCs/>
                <w:sz w:val="22"/>
              </w:rPr>
              <w:t>：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公司是否会在2025年6月26日举办的</w:t>
            </w:r>
            <w:proofErr w:type="gramStart"/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研发日</w:t>
            </w:r>
            <w:proofErr w:type="gramEnd"/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活动上公布CDK4项目的疗效数据？是否有足够的随访数据来观察疗效的持久性？另外，该项目目前在启动或招募初治患者队列方面处于什么阶段？</w:t>
            </w:r>
          </w:p>
          <w:p w14:paraId="1CADBC30" w14:textId="77777777" w:rsidR="00BA74AB" w:rsidRPr="00BA74AB" w:rsidRDefault="00BA74AB" w:rsidP="00BA74AB">
            <w:pPr>
              <w:spacing w:line="360" w:lineRule="auto"/>
              <w:ind w:firstLineChars="200" w:firstLine="440"/>
              <w:rPr>
                <w:rFonts w:ascii="宋体" w:eastAsia="宋体" w:hAnsi="宋体" w:cs="Arial" w:hint="eastAsia"/>
                <w:sz w:val="22"/>
              </w:rPr>
            </w:pPr>
            <w:r w:rsidRPr="00BA74AB">
              <w:rPr>
                <w:rFonts w:ascii="宋体" w:eastAsia="宋体" w:hAnsi="宋体" w:cs="Arial"/>
                <w:sz w:val="22"/>
              </w:rPr>
              <w:t>公司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研发日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上公布的CDK4项目数据将主要集中在剂量递增队列上，包括疗效以及安全性数据。如前所述，该项目进展得非常快，因此目前关于疗效的持久性方面的数据是比较有限的。公司已经入组了初治患者，已经开始积累相关数据帮助我们评估在前线的开发策略，但由于</w:t>
            </w:r>
            <w:r w:rsidRPr="00BA74AB">
              <w:rPr>
                <w:rFonts w:ascii="宋体" w:eastAsia="宋体" w:hAnsi="宋体" w:cs="Arial" w:hint="eastAsia"/>
                <w:sz w:val="22"/>
              </w:rPr>
              <w:t>还处在早期阶段</w:t>
            </w:r>
            <w:r w:rsidRPr="00BA74AB">
              <w:rPr>
                <w:rFonts w:ascii="宋体" w:eastAsia="宋体" w:hAnsi="宋体" w:cs="Arial"/>
                <w:sz w:val="22"/>
              </w:rPr>
              <w:t>，此次</w:t>
            </w:r>
            <w:proofErr w:type="gramStart"/>
            <w:r w:rsidRPr="00BA74AB">
              <w:rPr>
                <w:rFonts w:ascii="宋体" w:eastAsia="宋体" w:hAnsi="宋体" w:cs="Arial"/>
                <w:sz w:val="22"/>
              </w:rPr>
              <w:t>研发日暂</w:t>
            </w:r>
            <w:proofErr w:type="gramEnd"/>
            <w:r w:rsidRPr="00BA74AB">
              <w:rPr>
                <w:rFonts w:ascii="宋体" w:eastAsia="宋体" w:hAnsi="宋体" w:cs="Arial"/>
                <w:sz w:val="22"/>
              </w:rPr>
              <w:t>不会披露</w:t>
            </w:r>
            <w:r w:rsidRPr="00BA74AB">
              <w:rPr>
                <w:rFonts w:ascii="宋体" w:eastAsia="宋体" w:hAnsi="宋体" w:cs="Arial" w:hint="eastAsia"/>
                <w:sz w:val="22"/>
              </w:rPr>
              <w:t>初治患者数据</w:t>
            </w:r>
            <w:r w:rsidRPr="00BA74AB">
              <w:rPr>
                <w:rFonts w:ascii="宋体" w:eastAsia="宋体" w:hAnsi="宋体" w:cs="Arial"/>
                <w:sz w:val="22"/>
              </w:rPr>
              <w:t>。</w:t>
            </w:r>
          </w:p>
          <w:p w14:paraId="0E6D42B8" w14:textId="77777777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sz w:val="22"/>
              </w:rPr>
            </w:pPr>
          </w:p>
          <w:p w14:paraId="10A54857" w14:textId="10BBCA47" w:rsidR="00BA74AB" w:rsidRPr="00BA74AB" w:rsidRDefault="00BA74AB" w:rsidP="00BA74AB">
            <w:pPr>
              <w:spacing w:line="360" w:lineRule="auto"/>
              <w:rPr>
                <w:rFonts w:ascii="宋体" w:eastAsia="宋体" w:hAnsi="宋体" w:cs="Arial" w:hint="eastAsia"/>
                <w:b/>
                <w:bCs/>
                <w:sz w:val="22"/>
              </w:rPr>
            </w:pP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Q</w:t>
            </w:r>
            <w:r>
              <w:rPr>
                <w:rFonts w:ascii="宋体" w:eastAsia="宋体" w:hAnsi="宋体" w:cs="Arial" w:hint="eastAsia"/>
                <w:b/>
                <w:bCs/>
                <w:sz w:val="22"/>
              </w:rPr>
              <w:t>1</w:t>
            </w:r>
            <w:r w:rsidR="00496D97">
              <w:rPr>
                <w:rFonts w:ascii="宋体" w:eastAsia="宋体" w:hAnsi="宋体" w:cs="Arial" w:hint="eastAsia"/>
                <w:b/>
                <w:bCs/>
                <w:sz w:val="22"/>
              </w:rPr>
              <w:t>2</w:t>
            </w:r>
            <w:r>
              <w:rPr>
                <w:rFonts w:ascii="宋体" w:eastAsia="宋体" w:hAnsi="宋体" w:cs="Arial" w:hint="eastAsia"/>
                <w:b/>
                <w:bCs/>
                <w:sz w:val="22"/>
              </w:rPr>
              <w:t>：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公司在</w:t>
            </w:r>
            <w:r w:rsidRPr="00BA74AB">
              <w:rPr>
                <w:rFonts w:ascii="宋体" w:eastAsia="宋体" w:hAnsi="宋体" w:cs="Arial" w:hint="eastAsia"/>
                <w:b/>
                <w:bCs/>
                <w:sz w:val="22"/>
              </w:rPr>
              <w:t>炎症和免疫治疗领域</w:t>
            </w:r>
            <w:r w:rsidRPr="00BA74AB">
              <w:rPr>
                <w:rFonts w:ascii="宋体" w:eastAsia="宋体" w:hAnsi="宋体" w:cs="Arial"/>
                <w:b/>
                <w:bCs/>
                <w:sz w:val="22"/>
              </w:rPr>
              <w:t>的开发策略如何？是否计划在内部或外部扩展IRAK4等项目的开发？</w:t>
            </w:r>
          </w:p>
          <w:p w14:paraId="2FD4EDA0" w14:textId="77777777" w:rsidR="00BA74AB" w:rsidRDefault="00BA74AB" w:rsidP="00BA74AB">
            <w:pPr>
              <w:spacing w:line="360" w:lineRule="auto"/>
              <w:ind w:firstLineChars="200" w:firstLine="440"/>
              <w:rPr>
                <w:rFonts w:ascii="宋体" w:eastAsia="宋体" w:hAnsi="宋体" w:cs="Arial" w:hint="eastAsia"/>
                <w:sz w:val="22"/>
              </w:rPr>
            </w:pPr>
            <w:r w:rsidRPr="00BA74AB">
              <w:rPr>
                <w:rFonts w:ascii="宋体" w:eastAsia="宋体" w:hAnsi="宋体" w:cs="Arial" w:hint="eastAsia"/>
                <w:sz w:val="22"/>
              </w:rPr>
              <w:t>公司十分重视炎症和免疫治疗领域，已经开展了众多临床前项目在该领域进行探索，我们将</w:t>
            </w:r>
            <w:r w:rsidRPr="00BA74AB">
              <w:rPr>
                <w:rFonts w:ascii="宋体" w:eastAsia="宋体" w:hAnsi="宋体" w:cs="Arial"/>
                <w:sz w:val="22"/>
              </w:rPr>
              <w:t>采用多种方法以开发出</w:t>
            </w:r>
            <w:r w:rsidRPr="00BA74AB">
              <w:rPr>
                <w:rFonts w:ascii="宋体" w:eastAsia="宋体" w:hAnsi="宋体" w:cs="Arial" w:hint="eastAsia"/>
                <w:sz w:val="22"/>
              </w:rPr>
              <w:t>同类</w:t>
            </w:r>
            <w:r w:rsidRPr="00BA74AB">
              <w:rPr>
                <w:rFonts w:ascii="宋体" w:eastAsia="宋体" w:hAnsi="宋体" w:cs="Arial"/>
                <w:sz w:val="22"/>
              </w:rPr>
              <w:t>最佳分子</w:t>
            </w:r>
            <w:r w:rsidRPr="00BA74AB">
              <w:rPr>
                <w:rFonts w:ascii="宋体" w:eastAsia="宋体" w:hAnsi="宋体" w:cs="Arial" w:hint="eastAsia"/>
                <w:sz w:val="22"/>
              </w:rPr>
              <w:t>以及同类</w:t>
            </w:r>
            <w:r w:rsidRPr="00BA74AB">
              <w:rPr>
                <w:rFonts w:ascii="宋体" w:eastAsia="宋体" w:hAnsi="宋体" w:cs="Arial"/>
                <w:sz w:val="22"/>
              </w:rPr>
              <w:lastRenderedPageBreak/>
              <w:t>首创分子。目前，IRAK4降解剂的早期数据表明其具有成为同类最佳的潜力，有望在低剂量水平实现完全靶点降解，</w:t>
            </w:r>
            <w:r w:rsidRPr="00BA74AB">
              <w:rPr>
                <w:rFonts w:ascii="宋体" w:eastAsia="宋体" w:hAnsi="宋体" w:cs="Arial" w:hint="eastAsia"/>
                <w:sz w:val="22"/>
              </w:rPr>
              <w:t>公司预计于今年下半年获得用于组织IRAK4降解的概念验证</w:t>
            </w:r>
            <w:r w:rsidRPr="00BA74AB">
              <w:rPr>
                <w:rFonts w:ascii="宋体" w:eastAsia="宋体" w:hAnsi="宋体" w:cs="Arial"/>
                <w:sz w:val="22"/>
              </w:rPr>
              <w:t>数据。</w:t>
            </w:r>
          </w:p>
          <w:p w14:paraId="67E9DE52" w14:textId="77777777" w:rsidR="00496D97" w:rsidRDefault="00496D97" w:rsidP="00BA74AB">
            <w:pPr>
              <w:spacing w:line="360" w:lineRule="auto"/>
              <w:ind w:firstLineChars="200" w:firstLine="440"/>
              <w:rPr>
                <w:rFonts w:ascii="宋体" w:eastAsia="宋体" w:hAnsi="宋体" w:cs="Arial" w:hint="eastAsia"/>
                <w:sz w:val="22"/>
              </w:rPr>
            </w:pPr>
          </w:p>
          <w:p w14:paraId="699ABDE9" w14:textId="66268836" w:rsidR="00496D97" w:rsidRPr="00641E40" w:rsidRDefault="00496D97" w:rsidP="00496D97">
            <w:pPr>
              <w:widowControl/>
              <w:spacing w:line="360" w:lineRule="auto"/>
              <w:contextualSpacing/>
              <w:jc w:val="left"/>
              <w:rPr>
                <w:rFonts w:ascii="宋体" w:eastAsia="宋体" w:hAnsi="宋体" w:hint="eastAsia"/>
                <w:b/>
                <w:bCs/>
              </w:rPr>
            </w:pPr>
            <w:r w:rsidRPr="00641E40">
              <w:rPr>
                <w:rFonts w:ascii="宋体" w:eastAsia="宋体" w:hAnsi="宋体" w:hint="eastAsia"/>
                <w:b/>
                <w:bCs/>
              </w:rPr>
              <w:t>Q</w:t>
            </w:r>
            <w:r>
              <w:rPr>
                <w:rFonts w:ascii="宋体" w:eastAsia="宋体" w:hAnsi="宋体" w:hint="eastAsia"/>
                <w:b/>
                <w:bCs/>
              </w:rPr>
              <w:t>13</w:t>
            </w:r>
            <w:r w:rsidRPr="00641E40">
              <w:rPr>
                <w:rFonts w:ascii="宋体" w:eastAsia="宋体" w:hAnsi="宋体" w:hint="eastAsia"/>
                <w:b/>
                <w:bCs/>
              </w:rPr>
              <w:t>：请介绍公司与艾伯维专利诉讼进展？</w:t>
            </w:r>
          </w:p>
          <w:p w14:paraId="7C2D5E48" w14:textId="00F73FF7" w:rsidR="00BA74AB" w:rsidRPr="005100C9" w:rsidRDefault="00496D97" w:rsidP="009811DC">
            <w:pPr>
              <w:widowControl/>
              <w:spacing w:line="360" w:lineRule="auto"/>
              <w:ind w:firstLineChars="200" w:firstLine="440"/>
              <w:contextualSpacing/>
              <w:jc w:val="left"/>
              <w:rPr>
                <w:rFonts w:ascii="宋体" w:eastAsia="宋体" w:hAnsi="宋体" w:cs="Times New Roman" w:hint="eastAsia"/>
                <w:sz w:val="22"/>
              </w:rPr>
            </w:pPr>
            <w:r w:rsidRPr="2760A861">
              <w:rPr>
                <w:rFonts w:ascii="宋体" w:eastAsia="宋体" w:hAnsi="宋体" w:cs="Times New Roman"/>
                <w:sz w:val="22"/>
              </w:rPr>
              <w:t>公司</w:t>
            </w:r>
            <w:r w:rsidRPr="306326ED">
              <w:rPr>
                <w:rFonts w:ascii="宋体" w:eastAsia="宋体" w:hAnsi="宋体" w:cs="Times New Roman"/>
                <w:sz w:val="22"/>
              </w:rPr>
              <w:t>近期已公布</w:t>
            </w:r>
            <w:r w:rsidRPr="00660E4C">
              <w:rPr>
                <w:rFonts w:ascii="宋体" w:eastAsia="宋体" w:hAnsi="宋体" w:cs="Times New Roman"/>
                <w:sz w:val="22"/>
              </w:rPr>
              <w:t>美国专利商标局近期</w:t>
            </w:r>
            <w:proofErr w:type="gramStart"/>
            <w:r w:rsidRPr="00660E4C">
              <w:rPr>
                <w:rFonts w:ascii="宋体" w:eastAsia="宋体" w:hAnsi="宋体" w:cs="Times New Roman"/>
                <w:sz w:val="22"/>
              </w:rPr>
              <w:t>作出</w:t>
            </w:r>
            <w:proofErr w:type="gramEnd"/>
            <w:r w:rsidRPr="00660E4C">
              <w:rPr>
                <w:rFonts w:ascii="宋体" w:eastAsia="宋体" w:hAnsi="宋体" w:cs="Times New Roman"/>
                <w:sz w:val="22"/>
              </w:rPr>
              <w:t>一项最终书面决定，认定Pharmacyclics LLC公司在专利授权后复审（PGR）程序中受到公司质疑的美国专利编号为11,672,803的专利的全部权利无效。</w:t>
            </w:r>
          </w:p>
        </w:tc>
      </w:tr>
      <w:tr w:rsidR="005100C9" w:rsidRPr="005100C9" w14:paraId="15516B5D" w14:textId="77777777" w:rsidTr="338F8E0A">
        <w:trPr>
          <w:jc w:val="center"/>
        </w:trPr>
        <w:tc>
          <w:tcPr>
            <w:tcW w:w="1526" w:type="dxa"/>
          </w:tcPr>
          <w:p w14:paraId="1852E71B" w14:textId="77777777" w:rsidR="005100C9" w:rsidRPr="005100C9" w:rsidRDefault="005100C9" w:rsidP="005100C9">
            <w:pPr>
              <w:adjustRightInd w:val="0"/>
              <w:spacing w:line="276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lastRenderedPageBreak/>
              <w:t>附件清单（如有）</w:t>
            </w:r>
          </w:p>
        </w:tc>
        <w:tc>
          <w:tcPr>
            <w:tcW w:w="7238" w:type="dxa"/>
          </w:tcPr>
          <w:p w14:paraId="3F78B8AC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无</w:t>
            </w:r>
          </w:p>
        </w:tc>
      </w:tr>
      <w:tr w:rsidR="005100C9" w:rsidRPr="005100C9" w14:paraId="3C9C3A25" w14:textId="77777777" w:rsidTr="338F8E0A">
        <w:trPr>
          <w:jc w:val="center"/>
        </w:trPr>
        <w:tc>
          <w:tcPr>
            <w:tcW w:w="1526" w:type="dxa"/>
          </w:tcPr>
          <w:p w14:paraId="6F909032" w14:textId="77777777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7238" w:type="dxa"/>
          </w:tcPr>
          <w:p w14:paraId="17F8BDF6" w14:textId="2D12A3DE" w:rsidR="005100C9" w:rsidRPr="005100C9" w:rsidRDefault="005100C9" w:rsidP="005100C9">
            <w:pPr>
              <w:adjustRightInd w:val="0"/>
              <w:spacing w:line="360" w:lineRule="auto"/>
              <w:contextualSpacing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202</w:t>
            </w:r>
            <w:r w:rsidRPr="005100C9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5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年</w:t>
            </w:r>
            <w:r w:rsidRPr="005100C9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5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月</w:t>
            </w:r>
            <w:r w:rsidR="00140512">
              <w:rPr>
                <w:rFonts w:ascii="Times New Roman" w:eastAsia="宋体" w:hAnsi="Times New Roman" w:cs="Times New Roman" w:hint="eastAsia"/>
                <w:sz w:val="24"/>
                <w:szCs w:val="24"/>
                <w14:ligatures w14:val="none"/>
              </w:rPr>
              <w:t>8</w:t>
            </w:r>
            <w:r w:rsidRPr="005100C9"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  <w:t>日</w:t>
            </w:r>
          </w:p>
        </w:tc>
      </w:tr>
    </w:tbl>
    <w:p w14:paraId="506F649F" w14:textId="77777777" w:rsidR="005100C9" w:rsidRPr="005100C9" w:rsidRDefault="005100C9" w:rsidP="005100C9">
      <w:pPr>
        <w:adjustRightInd w:val="0"/>
        <w:spacing w:line="360" w:lineRule="auto"/>
        <w:contextualSpacing/>
        <w:jc w:val="left"/>
        <w:rPr>
          <w:rFonts w:ascii="Times New Roman" w:eastAsia="宋体" w:hAnsi="Times New Roman" w:cs="Times New Roman"/>
          <w:sz w:val="24"/>
          <w:szCs w:val="24"/>
          <w14:ligatures w14:val="none"/>
        </w:rPr>
      </w:pPr>
    </w:p>
    <w:sectPr w:rsidR="005100C9" w:rsidRPr="005100C9" w:rsidSect="000A313C">
      <w:pgSz w:w="11906" w:h="16838"/>
      <w:pgMar w:top="1440" w:right="1559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4200" w14:textId="77777777" w:rsidR="00FA5428" w:rsidRDefault="00FA5428" w:rsidP="00045FAD">
      <w:pPr>
        <w:rPr>
          <w:rFonts w:hint="eastAsia"/>
        </w:rPr>
      </w:pPr>
      <w:r>
        <w:separator/>
      </w:r>
    </w:p>
  </w:endnote>
  <w:endnote w:type="continuationSeparator" w:id="0">
    <w:p w14:paraId="395840DF" w14:textId="77777777" w:rsidR="00FA5428" w:rsidRDefault="00FA5428" w:rsidP="00045FAD">
      <w:pPr>
        <w:rPr>
          <w:rFonts w:hint="eastAsia"/>
        </w:rPr>
      </w:pPr>
      <w:r>
        <w:continuationSeparator/>
      </w:r>
    </w:p>
  </w:endnote>
  <w:endnote w:type="continuationNotice" w:id="1">
    <w:p w14:paraId="4553DFBD" w14:textId="77777777" w:rsidR="00FA5428" w:rsidRDefault="00FA5428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39003" w14:textId="77777777" w:rsidR="00FA5428" w:rsidRDefault="00FA5428" w:rsidP="00045FAD">
      <w:pPr>
        <w:rPr>
          <w:rFonts w:hint="eastAsia"/>
        </w:rPr>
      </w:pPr>
      <w:r>
        <w:separator/>
      </w:r>
    </w:p>
  </w:footnote>
  <w:footnote w:type="continuationSeparator" w:id="0">
    <w:p w14:paraId="72BEABCF" w14:textId="77777777" w:rsidR="00FA5428" w:rsidRDefault="00FA5428" w:rsidP="00045FAD">
      <w:pPr>
        <w:rPr>
          <w:rFonts w:hint="eastAsia"/>
        </w:rPr>
      </w:pPr>
      <w:r>
        <w:continuationSeparator/>
      </w:r>
    </w:p>
  </w:footnote>
  <w:footnote w:type="continuationNotice" w:id="1">
    <w:p w14:paraId="70B4D8A7" w14:textId="77777777" w:rsidR="00FA5428" w:rsidRDefault="00FA5428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E486E"/>
    <w:multiLevelType w:val="hybridMultilevel"/>
    <w:tmpl w:val="0CEE4B4C"/>
    <w:lvl w:ilvl="0" w:tplc="DCD43E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2216"/>
    <w:multiLevelType w:val="hybridMultilevel"/>
    <w:tmpl w:val="BEFA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011326">
    <w:abstractNumId w:val="0"/>
  </w:num>
  <w:num w:numId="2" w16cid:durableId="1571889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25"/>
    <w:rsid w:val="00000A60"/>
    <w:rsid w:val="0000112E"/>
    <w:rsid w:val="00001ABC"/>
    <w:rsid w:val="00002CF9"/>
    <w:rsid w:val="00010A37"/>
    <w:rsid w:val="00010E4D"/>
    <w:rsid w:val="00010FF9"/>
    <w:rsid w:val="00011D93"/>
    <w:rsid w:val="0001368F"/>
    <w:rsid w:val="000141B0"/>
    <w:rsid w:val="00014292"/>
    <w:rsid w:val="00014818"/>
    <w:rsid w:val="00014C56"/>
    <w:rsid w:val="00015CA8"/>
    <w:rsid w:val="00015DE3"/>
    <w:rsid w:val="00017201"/>
    <w:rsid w:val="0002060D"/>
    <w:rsid w:val="00021608"/>
    <w:rsid w:val="00021725"/>
    <w:rsid w:val="00022440"/>
    <w:rsid w:val="00023337"/>
    <w:rsid w:val="000234DB"/>
    <w:rsid w:val="000238B2"/>
    <w:rsid w:val="00024D92"/>
    <w:rsid w:val="00025FD1"/>
    <w:rsid w:val="0002614F"/>
    <w:rsid w:val="00027809"/>
    <w:rsid w:val="000338E7"/>
    <w:rsid w:val="00033976"/>
    <w:rsid w:val="00034701"/>
    <w:rsid w:val="0003723E"/>
    <w:rsid w:val="0004051C"/>
    <w:rsid w:val="000410D6"/>
    <w:rsid w:val="000411AA"/>
    <w:rsid w:val="0004417D"/>
    <w:rsid w:val="0004468A"/>
    <w:rsid w:val="000447E8"/>
    <w:rsid w:val="000448CC"/>
    <w:rsid w:val="00045FAD"/>
    <w:rsid w:val="00047149"/>
    <w:rsid w:val="00047691"/>
    <w:rsid w:val="000500A7"/>
    <w:rsid w:val="000510A4"/>
    <w:rsid w:val="00052E92"/>
    <w:rsid w:val="00053A1A"/>
    <w:rsid w:val="0005453F"/>
    <w:rsid w:val="00054587"/>
    <w:rsid w:val="00054766"/>
    <w:rsid w:val="000567C1"/>
    <w:rsid w:val="00056CFE"/>
    <w:rsid w:val="00057E5E"/>
    <w:rsid w:val="00060093"/>
    <w:rsid w:val="00060BA5"/>
    <w:rsid w:val="00062608"/>
    <w:rsid w:val="00063FAD"/>
    <w:rsid w:val="00065840"/>
    <w:rsid w:val="00066B83"/>
    <w:rsid w:val="000677AF"/>
    <w:rsid w:val="00067E6F"/>
    <w:rsid w:val="000703A6"/>
    <w:rsid w:val="0007148D"/>
    <w:rsid w:val="0007168F"/>
    <w:rsid w:val="00072231"/>
    <w:rsid w:val="000730F8"/>
    <w:rsid w:val="000741AE"/>
    <w:rsid w:val="00074B16"/>
    <w:rsid w:val="0007562B"/>
    <w:rsid w:val="00075853"/>
    <w:rsid w:val="0007596B"/>
    <w:rsid w:val="000764F8"/>
    <w:rsid w:val="0008028B"/>
    <w:rsid w:val="00080858"/>
    <w:rsid w:val="00081638"/>
    <w:rsid w:val="000826A7"/>
    <w:rsid w:val="00082C54"/>
    <w:rsid w:val="00082E64"/>
    <w:rsid w:val="00084382"/>
    <w:rsid w:val="000854B4"/>
    <w:rsid w:val="00086206"/>
    <w:rsid w:val="000868DF"/>
    <w:rsid w:val="00086DDF"/>
    <w:rsid w:val="000874A4"/>
    <w:rsid w:val="000878A8"/>
    <w:rsid w:val="000901E5"/>
    <w:rsid w:val="00090398"/>
    <w:rsid w:val="00091733"/>
    <w:rsid w:val="00091EA3"/>
    <w:rsid w:val="0009358F"/>
    <w:rsid w:val="000938CB"/>
    <w:rsid w:val="000971E1"/>
    <w:rsid w:val="000A2FE4"/>
    <w:rsid w:val="000A313C"/>
    <w:rsid w:val="000A3B16"/>
    <w:rsid w:val="000A4EA5"/>
    <w:rsid w:val="000A577D"/>
    <w:rsid w:val="000A6007"/>
    <w:rsid w:val="000A6FA1"/>
    <w:rsid w:val="000A6FD1"/>
    <w:rsid w:val="000B4F1F"/>
    <w:rsid w:val="000B5776"/>
    <w:rsid w:val="000B5A12"/>
    <w:rsid w:val="000B5E64"/>
    <w:rsid w:val="000B7D9F"/>
    <w:rsid w:val="000C0EEF"/>
    <w:rsid w:val="000C34FD"/>
    <w:rsid w:val="000C3C0E"/>
    <w:rsid w:val="000C4A20"/>
    <w:rsid w:val="000C4BA2"/>
    <w:rsid w:val="000C5299"/>
    <w:rsid w:val="000C5A84"/>
    <w:rsid w:val="000C617C"/>
    <w:rsid w:val="000C7822"/>
    <w:rsid w:val="000C7FCA"/>
    <w:rsid w:val="000D03E7"/>
    <w:rsid w:val="000D12D8"/>
    <w:rsid w:val="000D1844"/>
    <w:rsid w:val="000D1C89"/>
    <w:rsid w:val="000D34A8"/>
    <w:rsid w:val="000D3BCC"/>
    <w:rsid w:val="000D4522"/>
    <w:rsid w:val="000D55F9"/>
    <w:rsid w:val="000D65A7"/>
    <w:rsid w:val="000E02A2"/>
    <w:rsid w:val="000E297B"/>
    <w:rsid w:val="000E315E"/>
    <w:rsid w:val="000E34B6"/>
    <w:rsid w:val="000E3686"/>
    <w:rsid w:val="000E3E53"/>
    <w:rsid w:val="000E7310"/>
    <w:rsid w:val="000E747A"/>
    <w:rsid w:val="000F0A2C"/>
    <w:rsid w:val="000F0C50"/>
    <w:rsid w:val="000F133B"/>
    <w:rsid w:val="000F1672"/>
    <w:rsid w:val="000F1714"/>
    <w:rsid w:val="000F1725"/>
    <w:rsid w:val="000F2B59"/>
    <w:rsid w:val="000F3F32"/>
    <w:rsid w:val="000F4540"/>
    <w:rsid w:val="000F596B"/>
    <w:rsid w:val="000F621C"/>
    <w:rsid w:val="000F69A0"/>
    <w:rsid w:val="000F7A01"/>
    <w:rsid w:val="000F7D63"/>
    <w:rsid w:val="0010026E"/>
    <w:rsid w:val="001006CB"/>
    <w:rsid w:val="0010153A"/>
    <w:rsid w:val="0010278B"/>
    <w:rsid w:val="001030A0"/>
    <w:rsid w:val="0010355B"/>
    <w:rsid w:val="0010412E"/>
    <w:rsid w:val="00105B21"/>
    <w:rsid w:val="0010633A"/>
    <w:rsid w:val="00107A3A"/>
    <w:rsid w:val="0011126C"/>
    <w:rsid w:val="001112E1"/>
    <w:rsid w:val="00111422"/>
    <w:rsid w:val="00112A47"/>
    <w:rsid w:val="001130D7"/>
    <w:rsid w:val="0011425E"/>
    <w:rsid w:val="00115617"/>
    <w:rsid w:val="00116A5F"/>
    <w:rsid w:val="00116FDB"/>
    <w:rsid w:val="001201EB"/>
    <w:rsid w:val="00120764"/>
    <w:rsid w:val="00121A1C"/>
    <w:rsid w:val="001220CC"/>
    <w:rsid w:val="00123C63"/>
    <w:rsid w:val="001245AA"/>
    <w:rsid w:val="00124BCB"/>
    <w:rsid w:val="00124D81"/>
    <w:rsid w:val="00126DB9"/>
    <w:rsid w:val="0013088E"/>
    <w:rsid w:val="001309C4"/>
    <w:rsid w:val="00131770"/>
    <w:rsid w:val="001327FB"/>
    <w:rsid w:val="00133D16"/>
    <w:rsid w:val="001375A4"/>
    <w:rsid w:val="00140512"/>
    <w:rsid w:val="00140EB3"/>
    <w:rsid w:val="00140F99"/>
    <w:rsid w:val="00141F83"/>
    <w:rsid w:val="001421AB"/>
    <w:rsid w:val="001421E1"/>
    <w:rsid w:val="0014238B"/>
    <w:rsid w:val="001424E1"/>
    <w:rsid w:val="001428D8"/>
    <w:rsid w:val="001450BC"/>
    <w:rsid w:val="0014577C"/>
    <w:rsid w:val="001468AF"/>
    <w:rsid w:val="001472CE"/>
    <w:rsid w:val="00150187"/>
    <w:rsid w:val="00151063"/>
    <w:rsid w:val="0015126B"/>
    <w:rsid w:val="00153685"/>
    <w:rsid w:val="00153899"/>
    <w:rsid w:val="001540AC"/>
    <w:rsid w:val="00154B66"/>
    <w:rsid w:val="00155D09"/>
    <w:rsid w:val="001571E2"/>
    <w:rsid w:val="001604EA"/>
    <w:rsid w:val="0016407C"/>
    <w:rsid w:val="00165FB9"/>
    <w:rsid w:val="00166658"/>
    <w:rsid w:val="00167287"/>
    <w:rsid w:val="0016734A"/>
    <w:rsid w:val="00167CE7"/>
    <w:rsid w:val="0017072B"/>
    <w:rsid w:val="001728C5"/>
    <w:rsid w:val="001731FE"/>
    <w:rsid w:val="00173852"/>
    <w:rsid w:val="001744E2"/>
    <w:rsid w:val="00175444"/>
    <w:rsid w:val="0017569B"/>
    <w:rsid w:val="001807A2"/>
    <w:rsid w:val="00181363"/>
    <w:rsid w:val="00182357"/>
    <w:rsid w:val="001854FD"/>
    <w:rsid w:val="0018555A"/>
    <w:rsid w:val="001859CF"/>
    <w:rsid w:val="00186C67"/>
    <w:rsid w:val="001875AE"/>
    <w:rsid w:val="001876E5"/>
    <w:rsid w:val="0018797E"/>
    <w:rsid w:val="00187CF4"/>
    <w:rsid w:val="00190B72"/>
    <w:rsid w:val="00190CAF"/>
    <w:rsid w:val="00190DC9"/>
    <w:rsid w:val="00190E9E"/>
    <w:rsid w:val="001945D9"/>
    <w:rsid w:val="001953E7"/>
    <w:rsid w:val="00197C4A"/>
    <w:rsid w:val="001A1298"/>
    <w:rsid w:val="001A38E7"/>
    <w:rsid w:val="001A3AFB"/>
    <w:rsid w:val="001A4391"/>
    <w:rsid w:val="001A446C"/>
    <w:rsid w:val="001A6A36"/>
    <w:rsid w:val="001A7ADC"/>
    <w:rsid w:val="001B0457"/>
    <w:rsid w:val="001B076B"/>
    <w:rsid w:val="001B286A"/>
    <w:rsid w:val="001B2CC6"/>
    <w:rsid w:val="001B34C0"/>
    <w:rsid w:val="001B3938"/>
    <w:rsid w:val="001B6724"/>
    <w:rsid w:val="001B697A"/>
    <w:rsid w:val="001B782E"/>
    <w:rsid w:val="001C0416"/>
    <w:rsid w:val="001C1812"/>
    <w:rsid w:val="001C1E75"/>
    <w:rsid w:val="001C3F3F"/>
    <w:rsid w:val="001C4693"/>
    <w:rsid w:val="001C73A1"/>
    <w:rsid w:val="001C7A77"/>
    <w:rsid w:val="001D0C1C"/>
    <w:rsid w:val="001D0C9C"/>
    <w:rsid w:val="001D0FF5"/>
    <w:rsid w:val="001D4D90"/>
    <w:rsid w:val="001D4DB1"/>
    <w:rsid w:val="001D5D03"/>
    <w:rsid w:val="001D5F5D"/>
    <w:rsid w:val="001D643B"/>
    <w:rsid w:val="001D69C9"/>
    <w:rsid w:val="001D6BDD"/>
    <w:rsid w:val="001D6EC2"/>
    <w:rsid w:val="001E0665"/>
    <w:rsid w:val="001E2747"/>
    <w:rsid w:val="001E2E76"/>
    <w:rsid w:val="001E341B"/>
    <w:rsid w:val="001E38F8"/>
    <w:rsid w:val="001E49B8"/>
    <w:rsid w:val="001E5476"/>
    <w:rsid w:val="001E64E0"/>
    <w:rsid w:val="001E6BF6"/>
    <w:rsid w:val="001E79FB"/>
    <w:rsid w:val="001F252C"/>
    <w:rsid w:val="001F3F3B"/>
    <w:rsid w:val="001F405A"/>
    <w:rsid w:val="001F4809"/>
    <w:rsid w:val="001F5C68"/>
    <w:rsid w:val="001F5CDE"/>
    <w:rsid w:val="001F61C9"/>
    <w:rsid w:val="001F64D2"/>
    <w:rsid w:val="00200A17"/>
    <w:rsid w:val="00201454"/>
    <w:rsid w:val="0020186A"/>
    <w:rsid w:val="0020235C"/>
    <w:rsid w:val="002032BA"/>
    <w:rsid w:val="0020330C"/>
    <w:rsid w:val="0020429F"/>
    <w:rsid w:val="0020507C"/>
    <w:rsid w:val="00205521"/>
    <w:rsid w:val="00205FD9"/>
    <w:rsid w:val="0020618D"/>
    <w:rsid w:val="00206B01"/>
    <w:rsid w:val="002070A8"/>
    <w:rsid w:val="002104FB"/>
    <w:rsid w:val="0021151C"/>
    <w:rsid w:val="002118B3"/>
    <w:rsid w:val="00212631"/>
    <w:rsid w:val="00215A0E"/>
    <w:rsid w:val="00215C6A"/>
    <w:rsid w:val="002164F6"/>
    <w:rsid w:val="00216E67"/>
    <w:rsid w:val="0021742D"/>
    <w:rsid w:val="00217B9D"/>
    <w:rsid w:val="00221AE9"/>
    <w:rsid w:val="002221DF"/>
    <w:rsid w:val="002227AB"/>
    <w:rsid w:val="00222D88"/>
    <w:rsid w:val="002236D4"/>
    <w:rsid w:val="0022375C"/>
    <w:rsid w:val="00223BB0"/>
    <w:rsid w:val="00223C43"/>
    <w:rsid w:val="002240A6"/>
    <w:rsid w:val="00226469"/>
    <w:rsid w:val="002276C6"/>
    <w:rsid w:val="00230E7D"/>
    <w:rsid w:val="00230F87"/>
    <w:rsid w:val="00231345"/>
    <w:rsid w:val="00231559"/>
    <w:rsid w:val="002325D0"/>
    <w:rsid w:val="00235FC7"/>
    <w:rsid w:val="00240932"/>
    <w:rsid w:val="002418FD"/>
    <w:rsid w:val="00242A49"/>
    <w:rsid w:val="00243AF7"/>
    <w:rsid w:val="00243F47"/>
    <w:rsid w:val="002441C0"/>
    <w:rsid w:val="0024432F"/>
    <w:rsid w:val="002472C2"/>
    <w:rsid w:val="002479EC"/>
    <w:rsid w:val="00247C06"/>
    <w:rsid w:val="00247D11"/>
    <w:rsid w:val="00250617"/>
    <w:rsid w:val="002528FE"/>
    <w:rsid w:val="00252C8D"/>
    <w:rsid w:val="0025306E"/>
    <w:rsid w:val="00253915"/>
    <w:rsid w:val="00253E79"/>
    <w:rsid w:val="00255113"/>
    <w:rsid w:val="0025571A"/>
    <w:rsid w:val="00255F12"/>
    <w:rsid w:val="00257F92"/>
    <w:rsid w:val="002609FF"/>
    <w:rsid w:val="0026400E"/>
    <w:rsid w:val="00264F97"/>
    <w:rsid w:val="002650B6"/>
    <w:rsid w:val="00265554"/>
    <w:rsid w:val="00267BB9"/>
    <w:rsid w:val="00270838"/>
    <w:rsid w:val="002730F6"/>
    <w:rsid w:val="00273180"/>
    <w:rsid w:val="00274DAD"/>
    <w:rsid w:val="00274FA8"/>
    <w:rsid w:val="00276821"/>
    <w:rsid w:val="00277037"/>
    <w:rsid w:val="002777E2"/>
    <w:rsid w:val="00280626"/>
    <w:rsid w:val="00281526"/>
    <w:rsid w:val="002815D9"/>
    <w:rsid w:val="00281675"/>
    <w:rsid w:val="0028186E"/>
    <w:rsid w:val="00281AAF"/>
    <w:rsid w:val="002824E5"/>
    <w:rsid w:val="002840A7"/>
    <w:rsid w:val="002843B9"/>
    <w:rsid w:val="00284522"/>
    <w:rsid w:val="00285E8C"/>
    <w:rsid w:val="002879CF"/>
    <w:rsid w:val="00290785"/>
    <w:rsid w:val="00290C2A"/>
    <w:rsid w:val="00291D55"/>
    <w:rsid w:val="00293818"/>
    <w:rsid w:val="00293D66"/>
    <w:rsid w:val="00294B84"/>
    <w:rsid w:val="00296305"/>
    <w:rsid w:val="00297B7F"/>
    <w:rsid w:val="002A0FE1"/>
    <w:rsid w:val="002A2B4C"/>
    <w:rsid w:val="002A43DA"/>
    <w:rsid w:val="002A558E"/>
    <w:rsid w:val="002A5659"/>
    <w:rsid w:val="002A5DCE"/>
    <w:rsid w:val="002A6D21"/>
    <w:rsid w:val="002B0175"/>
    <w:rsid w:val="002B0EE0"/>
    <w:rsid w:val="002B2664"/>
    <w:rsid w:val="002B2E34"/>
    <w:rsid w:val="002B3AFA"/>
    <w:rsid w:val="002C0C76"/>
    <w:rsid w:val="002C0E34"/>
    <w:rsid w:val="002C16FD"/>
    <w:rsid w:val="002C1CA9"/>
    <w:rsid w:val="002C2082"/>
    <w:rsid w:val="002C268D"/>
    <w:rsid w:val="002C2BB3"/>
    <w:rsid w:val="002C2C03"/>
    <w:rsid w:val="002C2EA0"/>
    <w:rsid w:val="002C4D22"/>
    <w:rsid w:val="002C524D"/>
    <w:rsid w:val="002C5771"/>
    <w:rsid w:val="002C6693"/>
    <w:rsid w:val="002C67F5"/>
    <w:rsid w:val="002D1480"/>
    <w:rsid w:val="002D1908"/>
    <w:rsid w:val="002D1B2A"/>
    <w:rsid w:val="002D26A0"/>
    <w:rsid w:val="002D3422"/>
    <w:rsid w:val="002D4FDC"/>
    <w:rsid w:val="002D5259"/>
    <w:rsid w:val="002D57D3"/>
    <w:rsid w:val="002D59A9"/>
    <w:rsid w:val="002D6724"/>
    <w:rsid w:val="002D79BD"/>
    <w:rsid w:val="002D7C54"/>
    <w:rsid w:val="002E03C0"/>
    <w:rsid w:val="002E05D1"/>
    <w:rsid w:val="002E0F39"/>
    <w:rsid w:val="002E10C0"/>
    <w:rsid w:val="002E1473"/>
    <w:rsid w:val="002E1B8B"/>
    <w:rsid w:val="002E49AA"/>
    <w:rsid w:val="002E4BF2"/>
    <w:rsid w:val="002E55D2"/>
    <w:rsid w:val="002F029C"/>
    <w:rsid w:val="002F09D0"/>
    <w:rsid w:val="002F0B97"/>
    <w:rsid w:val="002F1618"/>
    <w:rsid w:val="002F2F65"/>
    <w:rsid w:val="002F3198"/>
    <w:rsid w:val="002F3693"/>
    <w:rsid w:val="002F47A2"/>
    <w:rsid w:val="002F4D6F"/>
    <w:rsid w:val="002F503D"/>
    <w:rsid w:val="002F643B"/>
    <w:rsid w:val="002F6459"/>
    <w:rsid w:val="002F6A39"/>
    <w:rsid w:val="002F7142"/>
    <w:rsid w:val="002F7760"/>
    <w:rsid w:val="00302533"/>
    <w:rsid w:val="00302DB1"/>
    <w:rsid w:val="00304C84"/>
    <w:rsid w:val="003062FC"/>
    <w:rsid w:val="00307C4C"/>
    <w:rsid w:val="00310439"/>
    <w:rsid w:val="00310547"/>
    <w:rsid w:val="0031218E"/>
    <w:rsid w:val="00312483"/>
    <w:rsid w:val="00312735"/>
    <w:rsid w:val="003137A5"/>
    <w:rsid w:val="00314DB2"/>
    <w:rsid w:val="0031677F"/>
    <w:rsid w:val="00316D08"/>
    <w:rsid w:val="00317C3D"/>
    <w:rsid w:val="00320210"/>
    <w:rsid w:val="00320FD5"/>
    <w:rsid w:val="00321996"/>
    <w:rsid w:val="00322202"/>
    <w:rsid w:val="003236A6"/>
    <w:rsid w:val="00323AF1"/>
    <w:rsid w:val="00324469"/>
    <w:rsid w:val="00327456"/>
    <w:rsid w:val="003275C4"/>
    <w:rsid w:val="0032784C"/>
    <w:rsid w:val="003327B0"/>
    <w:rsid w:val="00332E0A"/>
    <w:rsid w:val="003345BA"/>
    <w:rsid w:val="00337556"/>
    <w:rsid w:val="00337EAA"/>
    <w:rsid w:val="00340617"/>
    <w:rsid w:val="00340F61"/>
    <w:rsid w:val="00343CA3"/>
    <w:rsid w:val="00344B6A"/>
    <w:rsid w:val="00345536"/>
    <w:rsid w:val="00345C33"/>
    <w:rsid w:val="00346B5E"/>
    <w:rsid w:val="00347A73"/>
    <w:rsid w:val="00347C37"/>
    <w:rsid w:val="00350B24"/>
    <w:rsid w:val="00350EAB"/>
    <w:rsid w:val="003513EA"/>
    <w:rsid w:val="003521D4"/>
    <w:rsid w:val="00352A24"/>
    <w:rsid w:val="003532D5"/>
    <w:rsid w:val="003536ED"/>
    <w:rsid w:val="00354E1D"/>
    <w:rsid w:val="0035596B"/>
    <w:rsid w:val="003571D2"/>
    <w:rsid w:val="0035745C"/>
    <w:rsid w:val="00361C6B"/>
    <w:rsid w:val="00362716"/>
    <w:rsid w:val="00362904"/>
    <w:rsid w:val="0036386C"/>
    <w:rsid w:val="00364806"/>
    <w:rsid w:val="003648E2"/>
    <w:rsid w:val="00365233"/>
    <w:rsid w:val="003700F3"/>
    <w:rsid w:val="0037110C"/>
    <w:rsid w:val="003714A7"/>
    <w:rsid w:val="00372AB4"/>
    <w:rsid w:val="00372B4B"/>
    <w:rsid w:val="00373998"/>
    <w:rsid w:val="00373D62"/>
    <w:rsid w:val="00374030"/>
    <w:rsid w:val="003741C7"/>
    <w:rsid w:val="003743E3"/>
    <w:rsid w:val="00374B87"/>
    <w:rsid w:val="00375610"/>
    <w:rsid w:val="00376A56"/>
    <w:rsid w:val="0038066F"/>
    <w:rsid w:val="00383E14"/>
    <w:rsid w:val="00385F64"/>
    <w:rsid w:val="00386548"/>
    <w:rsid w:val="003868F2"/>
    <w:rsid w:val="00390B21"/>
    <w:rsid w:val="00390E6D"/>
    <w:rsid w:val="00391DAC"/>
    <w:rsid w:val="00397A76"/>
    <w:rsid w:val="00397D8E"/>
    <w:rsid w:val="003A061F"/>
    <w:rsid w:val="003A11CD"/>
    <w:rsid w:val="003A4B49"/>
    <w:rsid w:val="003A50CF"/>
    <w:rsid w:val="003A558C"/>
    <w:rsid w:val="003A7D74"/>
    <w:rsid w:val="003B0850"/>
    <w:rsid w:val="003B0FBF"/>
    <w:rsid w:val="003B2EB9"/>
    <w:rsid w:val="003B4400"/>
    <w:rsid w:val="003B58C3"/>
    <w:rsid w:val="003B5FCF"/>
    <w:rsid w:val="003B6F7C"/>
    <w:rsid w:val="003B7049"/>
    <w:rsid w:val="003B7923"/>
    <w:rsid w:val="003C1050"/>
    <w:rsid w:val="003C155E"/>
    <w:rsid w:val="003C1965"/>
    <w:rsid w:val="003C35D1"/>
    <w:rsid w:val="003C39F5"/>
    <w:rsid w:val="003C3B2C"/>
    <w:rsid w:val="003C4394"/>
    <w:rsid w:val="003C507F"/>
    <w:rsid w:val="003C5D54"/>
    <w:rsid w:val="003C6FED"/>
    <w:rsid w:val="003D01B5"/>
    <w:rsid w:val="003D0E68"/>
    <w:rsid w:val="003D1D43"/>
    <w:rsid w:val="003D23F1"/>
    <w:rsid w:val="003D33EC"/>
    <w:rsid w:val="003D4AC0"/>
    <w:rsid w:val="003D54E3"/>
    <w:rsid w:val="003D57BB"/>
    <w:rsid w:val="003D5EE9"/>
    <w:rsid w:val="003D6637"/>
    <w:rsid w:val="003D6744"/>
    <w:rsid w:val="003D696F"/>
    <w:rsid w:val="003D7591"/>
    <w:rsid w:val="003D7D1F"/>
    <w:rsid w:val="003D7E62"/>
    <w:rsid w:val="003E075E"/>
    <w:rsid w:val="003E3FAD"/>
    <w:rsid w:val="003E429E"/>
    <w:rsid w:val="003E472D"/>
    <w:rsid w:val="003E5A8F"/>
    <w:rsid w:val="003E6063"/>
    <w:rsid w:val="003F0549"/>
    <w:rsid w:val="003F2136"/>
    <w:rsid w:val="003F21A4"/>
    <w:rsid w:val="003F32AF"/>
    <w:rsid w:val="003F3439"/>
    <w:rsid w:val="003F3642"/>
    <w:rsid w:val="003F36AD"/>
    <w:rsid w:val="003F3EB0"/>
    <w:rsid w:val="003F413F"/>
    <w:rsid w:val="003F700A"/>
    <w:rsid w:val="00400F84"/>
    <w:rsid w:val="00400FC2"/>
    <w:rsid w:val="0040121E"/>
    <w:rsid w:val="00401312"/>
    <w:rsid w:val="004016B5"/>
    <w:rsid w:val="004029CF"/>
    <w:rsid w:val="00403428"/>
    <w:rsid w:val="00403C09"/>
    <w:rsid w:val="00403FDF"/>
    <w:rsid w:val="00404342"/>
    <w:rsid w:val="00406A2C"/>
    <w:rsid w:val="00407385"/>
    <w:rsid w:val="00407601"/>
    <w:rsid w:val="00411B6D"/>
    <w:rsid w:val="00412B7E"/>
    <w:rsid w:val="00413FBB"/>
    <w:rsid w:val="00413FCA"/>
    <w:rsid w:val="0041611D"/>
    <w:rsid w:val="004161BC"/>
    <w:rsid w:val="0042029D"/>
    <w:rsid w:val="004203EB"/>
    <w:rsid w:val="0042064C"/>
    <w:rsid w:val="004209D6"/>
    <w:rsid w:val="00421264"/>
    <w:rsid w:val="00424518"/>
    <w:rsid w:val="00425643"/>
    <w:rsid w:val="00426FE7"/>
    <w:rsid w:val="004301DB"/>
    <w:rsid w:val="004314D5"/>
    <w:rsid w:val="0043174B"/>
    <w:rsid w:val="00432096"/>
    <w:rsid w:val="00432602"/>
    <w:rsid w:val="00432A80"/>
    <w:rsid w:val="00432BB4"/>
    <w:rsid w:val="00432D14"/>
    <w:rsid w:val="004342B8"/>
    <w:rsid w:val="00434BF9"/>
    <w:rsid w:val="004359AB"/>
    <w:rsid w:val="00436D37"/>
    <w:rsid w:val="004378A2"/>
    <w:rsid w:val="00440129"/>
    <w:rsid w:val="004401EE"/>
    <w:rsid w:val="00441200"/>
    <w:rsid w:val="004446D6"/>
    <w:rsid w:val="004467F6"/>
    <w:rsid w:val="00447095"/>
    <w:rsid w:val="00447681"/>
    <w:rsid w:val="0045030D"/>
    <w:rsid w:val="004514ED"/>
    <w:rsid w:val="00451881"/>
    <w:rsid w:val="00451F30"/>
    <w:rsid w:val="004524BE"/>
    <w:rsid w:val="00453FE8"/>
    <w:rsid w:val="00454F75"/>
    <w:rsid w:val="00455605"/>
    <w:rsid w:val="00455FB6"/>
    <w:rsid w:val="00461AB8"/>
    <w:rsid w:val="0046234C"/>
    <w:rsid w:val="00463367"/>
    <w:rsid w:val="00464EAD"/>
    <w:rsid w:val="00465176"/>
    <w:rsid w:val="00467A9D"/>
    <w:rsid w:val="00470BA9"/>
    <w:rsid w:val="00471051"/>
    <w:rsid w:val="004721C1"/>
    <w:rsid w:val="004721EC"/>
    <w:rsid w:val="0047312A"/>
    <w:rsid w:val="0047676A"/>
    <w:rsid w:val="00476B86"/>
    <w:rsid w:val="00477641"/>
    <w:rsid w:val="004807D2"/>
    <w:rsid w:val="00481D1C"/>
    <w:rsid w:val="00482640"/>
    <w:rsid w:val="00483363"/>
    <w:rsid w:val="004847FA"/>
    <w:rsid w:val="00484D2B"/>
    <w:rsid w:val="00485027"/>
    <w:rsid w:val="004858D9"/>
    <w:rsid w:val="004867C3"/>
    <w:rsid w:val="00486884"/>
    <w:rsid w:val="00486B7F"/>
    <w:rsid w:val="004902C8"/>
    <w:rsid w:val="00491C3A"/>
    <w:rsid w:val="00492FE4"/>
    <w:rsid w:val="004939F4"/>
    <w:rsid w:val="0049482C"/>
    <w:rsid w:val="00494F19"/>
    <w:rsid w:val="00495F47"/>
    <w:rsid w:val="00496D97"/>
    <w:rsid w:val="004973C2"/>
    <w:rsid w:val="004A03ED"/>
    <w:rsid w:val="004A0A20"/>
    <w:rsid w:val="004A0C8A"/>
    <w:rsid w:val="004A203D"/>
    <w:rsid w:val="004A26A2"/>
    <w:rsid w:val="004A385F"/>
    <w:rsid w:val="004A599C"/>
    <w:rsid w:val="004A6258"/>
    <w:rsid w:val="004A6D55"/>
    <w:rsid w:val="004A79E8"/>
    <w:rsid w:val="004B040D"/>
    <w:rsid w:val="004B08D0"/>
    <w:rsid w:val="004B0DF1"/>
    <w:rsid w:val="004B121E"/>
    <w:rsid w:val="004B2DE9"/>
    <w:rsid w:val="004C0427"/>
    <w:rsid w:val="004C0BAD"/>
    <w:rsid w:val="004C1700"/>
    <w:rsid w:val="004C466C"/>
    <w:rsid w:val="004C4B42"/>
    <w:rsid w:val="004C52D2"/>
    <w:rsid w:val="004C5D8F"/>
    <w:rsid w:val="004C62DE"/>
    <w:rsid w:val="004D153F"/>
    <w:rsid w:val="004D545C"/>
    <w:rsid w:val="004D555A"/>
    <w:rsid w:val="004D5FA9"/>
    <w:rsid w:val="004D654C"/>
    <w:rsid w:val="004E045D"/>
    <w:rsid w:val="004E3B96"/>
    <w:rsid w:val="004E4D2C"/>
    <w:rsid w:val="004E5EDB"/>
    <w:rsid w:val="004E799E"/>
    <w:rsid w:val="004F0659"/>
    <w:rsid w:val="004F07B1"/>
    <w:rsid w:val="004F2065"/>
    <w:rsid w:val="004F4919"/>
    <w:rsid w:val="004F4FF7"/>
    <w:rsid w:val="004F5C49"/>
    <w:rsid w:val="004F6426"/>
    <w:rsid w:val="004F752B"/>
    <w:rsid w:val="004F75BD"/>
    <w:rsid w:val="004F7A2E"/>
    <w:rsid w:val="004F7FB3"/>
    <w:rsid w:val="00500C11"/>
    <w:rsid w:val="00501D02"/>
    <w:rsid w:val="00501E6F"/>
    <w:rsid w:val="0050320B"/>
    <w:rsid w:val="00503A04"/>
    <w:rsid w:val="005065DE"/>
    <w:rsid w:val="00506975"/>
    <w:rsid w:val="00506E42"/>
    <w:rsid w:val="00507409"/>
    <w:rsid w:val="00507DD5"/>
    <w:rsid w:val="005100C9"/>
    <w:rsid w:val="005106D7"/>
    <w:rsid w:val="0051151C"/>
    <w:rsid w:val="005128C2"/>
    <w:rsid w:val="005135F7"/>
    <w:rsid w:val="0051415F"/>
    <w:rsid w:val="00515830"/>
    <w:rsid w:val="00515ACD"/>
    <w:rsid w:val="00516ADC"/>
    <w:rsid w:val="0051716E"/>
    <w:rsid w:val="005172CA"/>
    <w:rsid w:val="00517391"/>
    <w:rsid w:val="005179AB"/>
    <w:rsid w:val="00517B8E"/>
    <w:rsid w:val="00517EE8"/>
    <w:rsid w:val="00517F83"/>
    <w:rsid w:val="005200E9"/>
    <w:rsid w:val="00520AD5"/>
    <w:rsid w:val="0052113E"/>
    <w:rsid w:val="00521D27"/>
    <w:rsid w:val="005245B7"/>
    <w:rsid w:val="0052488A"/>
    <w:rsid w:val="005265E6"/>
    <w:rsid w:val="00527D31"/>
    <w:rsid w:val="00530429"/>
    <w:rsid w:val="00531415"/>
    <w:rsid w:val="00531800"/>
    <w:rsid w:val="00532BD0"/>
    <w:rsid w:val="00535366"/>
    <w:rsid w:val="00535C0D"/>
    <w:rsid w:val="0053620F"/>
    <w:rsid w:val="00537D20"/>
    <w:rsid w:val="0054056B"/>
    <w:rsid w:val="005409C5"/>
    <w:rsid w:val="00541491"/>
    <w:rsid w:val="00541703"/>
    <w:rsid w:val="00541F3E"/>
    <w:rsid w:val="005421C9"/>
    <w:rsid w:val="005423BC"/>
    <w:rsid w:val="00543E55"/>
    <w:rsid w:val="005505ED"/>
    <w:rsid w:val="005517C4"/>
    <w:rsid w:val="00552023"/>
    <w:rsid w:val="00552260"/>
    <w:rsid w:val="00553841"/>
    <w:rsid w:val="00554537"/>
    <w:rsid w:val="0055530A"/>
    <w:rsid w:val="0055567B"/>
    <w:rsid w:val="0055599E"/>
    <w:rsid w:val="005616B7"/>
    <w:rsid w:val="0056180C"/>
    <w:rsid w:val="00563D10"/>
    <w:rsid w:val="00563F56"/>
    <w:rsid w:val="005648B5"/>
    <w:rsid w:val="00565F8B"/>
    <w:rsid w:val="00566B19"/>
    <w:rsid w:val="00567081"/>
    <w:rsid w:val="005745D3"/>
    <w:rsid w:val="0057587E"/>
    <w:rsid w:val="005758B2"/>
    <w:rsid w:val="00575B22"/>
    <w:rsid w:val="005762BC"/>
    <w:rsid w:val="00580C04"/>
    <w:rsid w:val="00580C72"/>
    <w:rsid w:val="005810F3"/>
    <w:rsid w:val="005813C2"/>
    <w:rsid w:val="0058144E"/>
    <w:rsid w:val="00581672"/>
    <w:rsid w:val="005838E3"/>
    <w:rsid w:val="00586F60"/>
    <w:rsid w:val="00587B1B"/>
    <w:rsid w:val="00590BA4"/>
    <w:rsid w:val="005911B1"/>
    <w:rsid w:val="0059133F"/>
    <w:rsid w:val="005917D5"/>
    <w:rsid w:val="005919BC"/>
    <w:rsid w:val="005924FC"/>
    <w:rsid w:val="005927C5"/>
    <w:rsid w:val="00592C22"/>
    <w:rsid w:val="00592E49"/>
    <w:rsid w:val="00593054"/>
    <w:rsid w:val="00594C30"/>
    <w:rsid w:val="005953BB"/>
    <w:rsid w:val="005961D8"/>
    <w:rsid w:val="005963AD"/>
    <w:rsid w:val="00596921"/>
    <w:rsid w:val="00597ACE"/>
    <w:rsid w:val="005A39D4"/>
    <w:rsid w:val="005A414F"/>
    <w:rsid w:val="005A5043"/>
    <w:rsid w:val="005A6A51"/>
    <w:rsid w:val="005A7BE2"/>
    <w:rsid w:val="005B0847"/>
    <w:rsid w:val="005B5ED4"/>
    <w:rsid w:val="005B671A"/>
    <w:rsid w:val="005B7429"/>
    <w:rsid w:val="005C027D"/>
    <w:rsid w:val="005C155D"/>
    <w:rsid w:val="005C1AE2"/>
    <w:rsid w:val="005C30B0"/>
    <w:rsid w:val="005C3D50"/>
    <w:rsid w:val="005C5E9D"/>
    <w:rsid w:val="005C6567"/>
    <w:rsid w:val="005D0579"/>
    <w:rsid w:val="005D08CB"/>
    <w:rsid w:val="005D124E"/>
    <w:rsid w:val="005D245A"/>
    <w:rsid w:val="005D432F"/>
    <w:rsid w:val="005D6077"/>
    <w:rsid w:val="005D7797"/>
    <w:rsid w:val="005E183D"/>
    <w:rsid w:val="005E25C7"/>
    <w:rsid w:val="005E4C63"/>
    <w:rsid w:val="005E6340"/>
    <w:rsid w:val="005E63F5"/>
    <w:rsid w:val="005E758E"/>
    <w:rsid w:val="005E76D9"/>
    <w:rsid w:val="005F0678"/>
    <w:rsid w:val="005F3488"/>
    <w:rsid w:val="005F42F3"/>
    <w:rsid w:val="005F5F28"/>
    <w:rsid w:val="005F7DC3"/>
    <w:rsid w:val="005F7F59"/>
    <w:rsid w:val="006026FA"/>
    <w:rsid w:val="0060360C"/>
    <w:rsid w:val="0060375A"/>
    <w:rsid w:val="0060425B"/>
    <w:rsid w:val="006042EE"/>
    <w:rsid w:val="006046DD"/>
    <w:rsid w:val="00605EE9"/>
    <w:rsid w:val="006065A0"/>
    <w:rsid w:val="00606CC3"/>
    <w:rsid w:val="0060729B"/>
    <w:rsid w:val="00611558"/>
    <w:rsid w:val="00611838"/>
    <w:rsid w:val="00611935"/>
    <w:rsid w:val="0061206C"/>
    <w:rsid w:val="00612C8F"/>
    <w:rsid w:val="00613878"/>
    <w:rsid w:val="006170D4"/>
    <w:rsid w:val="0062084F"/>
    <w:rsid w:val="00620BC8"/>
    <w:rsid w:val="00620E95"/>
    <w:rsid w:val="00621B56"/>
    <w:rsid w:val="00622B0D"/>
    <w:rsid w:val="00622CDA"/>
    <w:rsid w:val="00623587"/>
    <w:rsid w:val="00624B0E"/>
    <w:rsid w:val="0062645F"/>
    <w:rsid w:val="00626AAB"/>
    <w:rsid w:val="00627667"/>
    <w:rsid w:val="00631EAB"/>
    <w:rsid w:val="00632F4C"/>
    <w:rsid w:val="00633592"/>
    <w:rsid w:val="00633968"/>
    <w:rsid w:val="006352F9"/>
    <w:rsid w:val="00635DE4"/>
    <w:rsid w:val="00635F03"/>
    <w:rsid w:val="00636711"/>
    <w:rsid w:val="00636C22"/>
    <w:rsid w:val="00637A9C"/>
    <w:rsid w:val="006405C8"/>
    <w:rsid w:val="00641E40"/>
    <w:rsid w:val="006434B5"/>
    <w:rsid w:val="00643D56"/>
    <w:rsid w:val="006452E5"/>
    <w:rsid w:val="00645398"/>
    <w:rsid w:val="00645C23"/>
    <w:rsid w:val="006460C0"/>
    <w:rsid w:val="00646445"/>
    <w:rsid w:val="00646907"/>
    <w:rsid w:val="0065089C"/>
    <w:rsid w:val="0065210F"/>
    <w:rsid w:val="00652D51"/>
    <w:rsid w:val="00652FE8"/>
    <w:rsid w:val="00653BAC"/>
    <w:rsid w:val="006544BC"/>
    <w:rsid w:val="0065456C"/>
    <w:rsid w:val="006549BB"/>
    <w:rsid w:val="006558A8"/>
    <w:rsid w:val="006559AC"/>
    <w:rsid w:val="00656E8F"/>
    <w:rsid w:val="0065745E"/>
    <w:rsid w:val="00657D70"/>
    <w:rsid w:val="00657FEB"/>
    <w:rsid w:val="00660E4C"/>
    <w:rsid w:val="00661795"/>
    <w:rsid w:val="00661C9F"/>
    <w:rsid w:val="00662FA8"/>
    <w:rsid w:val="00662FC3"/>
    <w:rsid w:val="006635B7"/>
    <w:rsid w:val="006635FD"/>
    <w:rsid w:val="006636DF"/>
    <w:rsid w:val="0066402C"/>
    <w:rsid w:val="00664B72"/>
    <w:rsid w:val="006659F5"/>
    <w:rsid w:val="00665FDB"/>
    <w:rsid w:val="00666A92"/>
    <w:rsid w:val="00667258"/>
    <w:rsid w:val="0066790C"/>
    <w:rsid w:val="0067010E"/>
    <w:rsid w:val="0067059C"/>
    <w:rsid w:val="00671FCA"/>
    <w:rsid w:val="006727A0"/>
    <w:rsid w:val="00672CFC"/>
    <w:rsid w:val="00673B24"/>
    <w:rsid w:val="0067565C"/>
    <w:rsid w:val="00675EE6"/>
    <w:rsid w:val="00676800"/>
    <w:rsid w:val="00677D53"/>
    <w:rsid w:val="0068153E"/>
    <w:rsid w:val="00681D50"/>
    <w:rsid w:val="00684504"/>
    <w:rsid w:val="00685114"/>
    <w:rsid w:val="0068565A"/>
    <w:rsid w:val="00685EA6"/>
    <w:rsid w:val="00691B65"/>
    <w:rsid w:val="0069208F"/>
    <w:rsid w:val="00694458"/>
    <w:rsid w:val="00694761"/>
    <w:rsid w:val="0069508B"/>
    <w:rsid w:val="00695732"/>
    <w:rsid w:val="00696C9E"/>
    <w:rsid w:val="00697960"/>
    <w:rsid w:val="006979EE"/>
    <w:rsid w:val="006A295C"/>
    <w:rsid w:val="006A3EC2"/>
    <w:rsid w:val="006A721D"/>
    <w:rsid w:val="006A79C2"/>
    <w:rsid w:val="006B318F"/>
    <w:rsid w:val="006B41F8"/>
    <w:rsid w:val="006B429D"/>
    <w:rsid w:val="006B43B7"/>
    <w:rsid w:val="006B4843"/>
    <w:rsid w:val="006B558B"/>
    <w:rsid w:val="006B7039"/>
    <w:rsid w:val="006B78AD"/>
    <w:rsid w:val="006C107E"/>
    <w:rsid w:val="006C1877"/>
    <w:rsid w:val="006C491A"/>
    <w:rsid w:val="006C4BCC"/>
    <w:rsid w:val="006C55C0"/>
    <w:rsid w:val="006C731D"/>
    <w:rsid w:val="006C74EA"/>
    <w:rsid w:val="006D3161"/>
    <w:rsid w:val="006D358E"/>
    <w:rsid w:val="006D4E8F"/>
    <w:rsid w:val="006D6566"/>
    <w:rsid w:val="006D683C"/>
    <w:rsid w:val="006D6BEC"/>
    <w:rsid w:val="006D7EF7"/>
    <w:rsid w:val="006E087B"/>
    <w:rsid w:val="006E0B33"/>
    <w:rsid w:val="006E1AB7"/>
    <w:rsid w:val="006E20FE"/>
    <w:rsid w:val="006E30A0"/>
    <w:rsid w:val="006E568B"/>
    <w:rsid w:val="006F01B8"/>
    <w:rsid w:val="006F069D"/>
    <w:rsid w:val="006F2225"/>
    <w:rsid w:val="006F2939"/>
    <w:rsid w:val="006F46BA"/>
    <w:rsid w:val="006F56A7"/>
    <w:rsid w:val="006F64D6"/>
    <w:rsid w:val="006F73B9"/>
    <w:rsid w:val="00700289"/>
    <w:rsid w:val="0070051F"/>
    <w:rsid w:val="007008FD"/>
    <w:rsid w:val="00700929"/>
    <w:rsid w:val="00701518"/>
    <w:rsid w:val="007018F0"/>
    <w:rsid w:val="00702280"/>
    <w:rsid w:val="00702A69"/>
    <w:rsid w:val="00703294"/>
    <w:rsid w:val="00703541"/>
    <w:rsid w:val="00703A8F"/>
    <w:rsid w:val="00706531"/>
    <w:rsid w:val="00706840"/>
    <w:rsid w:val="0070731B"/>
    <w:rsid w:val="00711AFE"/>
    <w:rsid w:val="007125A0"/>
    <w:rsid w:val="00712A5D"/>
    <w:rsid w:val="00712A96"/>
    <w:rsid w:val="00712C72"/>
    <w:rsid w:val="00712EBF"/>
    <w:rsid w:val="0071335E"/>
    <w:rsid w:val="007134A3"/>
    <w:rsid w:val="007152B4"/>
    <w:rsid w:val="0071604E"/>
    <w:rsid w:val="00716D37"/>
    <w:rsid w:val="007224B4"/>
    <w:rsid w:val="00722536"/>
    <w:rsid w:val="00722934"/>
    <w:rsid w:val="00722D87"/>
    <w:rsid w:val="0072322C"/>
    <w:rsid w:val="00723A57"/>
    <w:rsid w:val="00723F55"/>
    <w:rsid w:val="007243B4"/>
    <w:rsid w:val="00724743"/>
    <w:rsid w:val="007254B7"/>
    <w:rsid w:val="007255A7"/>
    <w:rsid w:val="00727D07"/>
    <w:rsid w:val="00730225"/>
    <w:rsid w:val="00731DC4"/>
    <w:rsid w:val="00732847"/>
    <w:rsid w:val="00733228"/>
    <w:rsid w:val="00734232"/>
    <w:rsid w:val="00734A0D"/>
    <w:rsid w:val="00734E1D"/>
    <w:rsid w:val="00735415"/>
    <w:rsid w:val="00735B7F"/>
    <w:rsid w:val="00736055"/>
    <w:rsid w:val="0073625D"/>
    <w:rsid w:val="00736519"/>
    <w:rsid w:val="00736633"/>
    <w:rsid w:val="00736D4E"/>
    <w:rsid w:val="00736E07"/>
    <w:rsid w:val="00737D64"/>
    <w:rsid w:val="0074103E"/>
    <w:rsid w:val="0074166C"/>
    <w:rsid w:val="00741AFF"/>
    <w:rsid w:val="00742E7E"/>
    <w:rsid w:val="00743C90"/>
    <w:rsid w:val="007443D2"/>
    <w:rsid w:val="00745524"/>
    <w:rsid w:val="007456D1"/>
    <w:rsid w:val="00745B89"/>
    <w:rsid w:val="0074627E"/>
    <w:rsid w:val="007468A2"/>
    <w:rsid w:val="00750520"/>
    <w:rsid w:val="007549E8"/>
    <w:rsid w:val="0075572A"/>
    <w:rsid w:val="007561B3"/>
    <w:rsid w:val="00756F76"/>
    <w:rsid w:val="0076025C"/>
    <w:rsid w:val="007607FD"/>
    <w:rsid w:val="00761394"/>
    <w:rsid w:val="00762328"/>
    <w:rsid w:val="007641D2"/>
    <w:rsid w:val="0076470D"/>
    <w:rsid w:val="00773359"/>
    <w:rsid w:val="00774203"/>
    <w:rsid w:val="00775CF3"/>
    <w:rsid w:val="00776C98"/>
    <w:rsid w:val="0077712F"/>
    <w:rsid w:val="007776D4"/>
    <w:rsid w:val="007808F7"/>
    <w:rsid w:val="00781C74"/>
    <w:rsid w:val="00781E46"/>
    <w:rsid w:val="00783305"/>
    <w:rsid w:val="007834FB"/>
    <w:rsid w:val="00783CE8"/>
    <w:rsid w:val="00784919"/>
    <w:rsid w:val="0078499A"/>
    <w:rsid w:val="00785D0A"/>
    <w:rsid w:val="0078660C"/>
    <w:rsid w:val="0078685B"/>
    <w:rsid w:val="00790A83"/>
    <w:rsid w:val="00790C6B"/>
    <w:rsid w:val="00792723"/>
    <w:rsid w:val="0079300E"/>
    <w:rsid w:val="007949B7"/>
    <w:rsid w:val="00796866"/>
    <w:rsid w:val="007A105E"/>
    <w:rsid w:val="007A2B9B"/>
    <w:rsid w:val="007A343F"/>
    <w:rsid w:val="007A3C4C"/>
    <w:rsid w:val="007A3C54"/>
    <w:rsid w:val="007A496C"/>
    <w:rsid w:val="007A578C"/>
    <w:rsid w:val="007A57D0"/>
    <w:rsid w:val="007A5A85"/>
    <w:rsid w:val="007A6400"/>
    <w:rsid w:val="007A7442"/>
    <w:rsid w:val="007B2B68"/>
    <w:rsid w:val="007B33B4"/>
    <w:rsid w:val="007B4045"/>
    <w:rsid w:val="007B43E0"/>
    <w:rsid w:val="007B594F"/>
    <w:rsid w:val="007B5B1A"/>
    <w:rsid w:val="007B754F"/>
    <w:rsid w:val="007B7B0C"/>
    <w:rsid w:val="007C091B"/>
    <w:rsid w:val="007C35D4"/>
    <w:rsid w:val="007C429B"/>
    <w:rsid w:val="007C4376"/>
    <w:rsid w:val="007C4D94"/>
    <w:rsid w:val="007C517A"/>
    <w:rsid w:val="007C6B7A"/>
    <w:rsid w:val="007C73BF"/>
    <w:rsid w:val="007D1B32"/>
    <w:rsid w:val="007D2711"/>
    <w:rsid w:val="007D3891"/>
    <w:rsid w:val="007D4616"/>
    <w:rsid w:val="007D46F1"/>
    <w:rsid w:val="007D54C0"/>
    <w:rsid w:val="007D5E0E"/>
    <w:rsid w:val="007D616A"/>
    <w:rsid w:val="007D65F7"/>
    <w:rsid w:val="007D6781"/>
    <w:rsid w:val="007D7136"/>
    <w:rsid w:val="007D76AD"/>
    <w:rsid w:val="007E0B37"/>
    <w:rsid w:val="007E152F"/>
    <w:rsid w:val="007E196A"/>
    <w:rsid w:val="007E3F8E"/>
    <w:rsid w:val="007E4EAF"/>
    <w:rsid w:val="007E5140"/>
    <w:rsid w:val="007E5DC9"/>
    <w:rsid w:val="007F069E"/>
    <w:rsid w:val="007F25C1"/>
    <w:rsid w:val="007F7F9D"/>
    <w:rsid w:val="00803377"/>
    <w:rsid w:val="00803468"/>
    <w:rsid w:val="008069EB"/>
    <w:rsid w:val="00806D3B"/>
    <w:rsid w:val="00807258"/>
    <w:rsid w:val="008073A2"/>
    <w:rsid w:val="008076D3"/>
    <w:rsid w:val="00810AC6"/>
    <w:rsid w:val="00810D81"/>
    <w:rsid w:val="008124E1"/>
    <w:rsid w:val="00812C7A"/>
    <w:rsid w:val="00813FD8"/>
    <w:rsid w:val="00814853"/>
    <w:rsid w:val="00817115"/>
    <w:rsid w:val="0082134A"/>
    <w:rsid w:val="008213F6"/>
    <w:rsid w:val="00822216"/>
    <w:rsid w:val="0082336E"/>
    <w:rsid w:val="00824E47"/>
    <w:rsid w:val="00825CEF"/>
    <w:rsid w:val="0082671E"/>
    <w:rsid w:val="00827A8D"/>
    <w:rsid w:val="00830294"/>
    <w:rsid w:val="00831716"/>
    <w:rsid w:val="008320A3"/>
    <w:rsid w:val="008321AB"/>
    <w:rsid w:val="00833C59"/>
    <w:rsid w:val="00834801"/>
    <w:rsid w:val="00834FAE"/>
    <w:rsid w:val="00840901"/>
    <w:rsid w:val="00841A78"/>
    <w:rsid w:val="0084581D"/>
    <w:rsid w:val="008469D0"/>
    <w:rsid w:val="008473DA"/>
    <w:rsid w:val="0085019E"/>
    <w:rsid w:val="00850AE8"/>
    <w:rsid w:val="00850E38"/>
    <w:rsid w:val="008528AD"/>
    <w:rsid w:val="00853825"/>
    <w:rsid w:val="00853D74"/>
    <w:rsid w:val="008579C1"/>
    <w:rsid w:val="008610CF"/>
    <w:rsid w:val="00861DCC"/>
    <w:rsid w:val="00861E2B"/>
    <w:rsid w:val="00862434"/>
    <w:rsid w:val="00862E17"/>
    <w:rsid w:val="00864CD9"/>
    <w:rsid w:val="00866611"/>
    <w:rsid w:val="00866EF7"/>
    <w:rsid w:val="00871E58"/>
    <w:rsid w:val="00872512"/>
    <w:rsid w:val="008727EF"/>
    <w:rsid w:val="008737A9"/>
    <w:rsid w:val="008740BF"/>
    <w:rsid w:val="0087565D"/>
    <w:rsid w:val="00881AFC"/>
    <w:rsid w:val="00881DA5"/>
    <w:rsid w:val="008832F8"/>
    <w:rsid w:val="0088333A"/>
    <w:rsid w:val="008833B5"/>
    <w:rsid w:val="00883400"/>
    <w:rsid w:val="00883B55"/>
    <w:rsid w:val="0088458E"/>
    <w:rsid w:val="00885BF8"/>
    <w:rsid w:val="00886211"/>
    <w:rsid w:val="008869B7"/>
    <w:rsid w:val="00886CD1"/>
    <w:rsid w:val="00887984"/>
    <w:rsid w:val="0089147D"/>
    <w:rsid w:val="008914CC"/>
    <w:rsid w:val="00891DE1"/>
    <w:rsid w:val="0089284E"/>
    <w:rsid w:val="00892DF1"/>
    <w:rsid w:val="008967CD"/>
    <w:rsid w:val="008976D4"/>
    <w:rsid w:val="008979FB"/>
    <w:rsid w:val="008A11A7"/>
    <w:rsid w:val="008A141D"/>
    <w:rsid w:val="008A1D50"/>
    <w:rsid w:val="008A1ED2"/>
    <w:rsid w:val="008A265A"/>
    <w:rsid w:val="008A380B"/>
    <w:rsid w:val="008A4323"/>
    <w:rsid w:val="008A4B96"/>
    <w:rsid w:val="008A5891"/>
    <w:rsid w:val="008A6970"/>
    <w:rsid w:val="008A7F06"/>
    <w:rsid w:val="008B17BB"/>
    <w:rsid w:val="008B19B0"/>
    <w:rsid w:val="008B370E"/>
    <w:rsid w:val="008B3A85"/>
    <w:rsid w:val="008B3DD4"/>
    <w:rsid w:val="008B49C6"/>
    <w:rsid w:val="008B4F6D"/>
    <w:rsid w:val="008B6170"/>
    <w:rsid w:val="008B751E"/>
    <w:rsid w:val="008C2FA0"/>
    <w:rsid w:val="008C3C2F"/>
    <w:rsid w:val="008C4930"/>
    <w:rsid w:val="008C7E03"/>
    <w:rsid w:val="008D0FCD"/>
    <w:rsid w:val="008D100F"/>
    <w:rsid w:val="008D112C"/>
    <w:rsid w:val="008D2DFC"/>
    <w:rsid w:val="008D30F0"/>
    <w:rsid w:val="008D4235"/>
    <w:rsid w:val="008D4272"/>
    <w:rsid w:val="008D5084"/>
    <w:rsid w:val="008D564E"/>
    <w:rsid w:val="008D6A7A"/>
    <w:rsid w:val="008D7410"/>
    <w:rsid w:val="008E1041"/>
    <w:rsid w:val="008E1E70"/>
    <w:rsid w:val="008E3A41"/>
    <w:rsid w:val="008E3E8B"/>
    <w:rsid w:val="008E58A5"/>
    <w:rsid w:val="008F1165"/>
    <w:rsid w:val="008F142E"/>
    <w:rsid w:val="008F1B73"/>
    <w:rsid w:val="008F28A1"/>
    <w:rsid w:val="008F30CB"/>
    <w:rsid w:val="008F54DB"/>
    <w:rsid w:val="008F5969"/>
    <w:rsid w:val="008F686C"/>
    <w:rsid w:val="008F6B36"/>
    <w:rsid w:val="0090097F"/>
    <w:rsid w:val="00901573"/>
    <w:rsid w:val="0090192E"/>
    <w:rsid w:val="00901DD5"/>
    <w:rsid w:val="00902488"/>
    <w:rsid w:val="00903A53"/>
    <w:rsid w:val="009041D1"/>
    <w:rsid w:val="00905190"/>
    <w:rsid w:val="00905371"/>
    <w:rsid w:val="009055D6"/>
    <w:rsid w:val="00911260"/>
    <w:rsid w:val="00912C9E"/>
    <w:rsid w:val="00915A2A"/>
    <w:rsid w:val="00915CB4"/>
    <w:rsid w:val="00916585"/>
    <w:rsid w:val="0092018D"/>
    <w:rsid w:val="00921928"/>
    <w:rsid w:val="009219FA"/>
    <w:rsid w:val="00921C0C"/>
    <w:rsid w:val="00921ECB"/>
    <w:rsid w:val="00922AAC"/>
    <w:rsid w:val="00926E20"/>
    <w:rsid w:val="00932C0E"/>
    <w:rsid w:val="00934290"/>
    <w:rsid w:val="00934F15"/>
    <w:rsid w:val="00936377"/>
    <w:rsid w:val="00936799"/>
    <w:rsid w:val="00937000"/>
    <w:rsid w:val="00937120"/>
    <w:rsid w:val="009378F6"/>
    <w:rsid w:val="009402C6"/>
    <w:rsid w:val="00940717"/>
    <w:rsid w:val="009409CA"/>
    <w:rsid w:val="00941065"/>
    <w:rsid w:val="009411C9"/>
    <w:rsid w:val="00942246"/>
    <w:rsid w:val="0094274C"/>
    <w:rsid w:val="00942E51"/>
    <w:rsid w:val="009439C9"/>
    <w:rsid w:val="00947ABC"/>
    <w:rsid w:val="00947CF2"/>
    <w:rsid w:val="0095197F"/>
    <w:rsid w:val="009519A5"/>
    <w:rsid w:val="0095269D"/>
    <w:rsid w:val="0095517F"/>
    <w:rsid w:val="00956297"/>
    <w:rsid w:val="0095655B"/>
    <w:rsid w:val="00956C8B"/>
    <w:rsid w:val="00957A30"/>
    <w:rsid w:val="009612D3"/>
    <w:rsid w:val="009629C1"/>
    <w:rsid w:val="009629D2"/>
    <w:rsid w:val="00962D41"/>
    <w:rsid w:val="00963AA7"/>
    <w:rsid w:val="00965145"/>
    <w:rsid w:val="009662C9"/>
    <w:rsid w:val="0096687E"/>
    <w:rsid w:val="00966C20"/>
    <w:rsid w:val="009704DF"/>
    <w:rsid w:val="009705DF"/>
    <w:rsid w:val="00971155"/>
    <w:rsid w:val="009731AC"/>
    <w:rsid w:val="009731E5"/>
    <w:rsid w:val="00973C96"/>
    <w:rsid w:val="00975285"/>
    <w:rsid w:val="00975D27"/>
    <w:rsid w:val="009763D0"/>
    <w:rsid w:val="00976B0E"/>
    <w:rsid w:val="00977969"/>
    <w:rsid w:val="009806C7"/>
    <w:rsid w:val="00981198"/>
    <w:rsid w:val="009811DC"/>
    <w:rsid w:val="00987364"/>
    <w:rsid w:val="00987CAC"/>
    <w:rsid w:val="00990345"/>
    <w:rsid w:val="009905AD"/>
    <w:rsid w:val="00990DDC"/>
    <w:rsid w:val="00991028"/>
    <w:rsid w:val="00991410"/>
    <w:rsid w:val="00992560"/>
    <w:rsid w:val="0099408E"/>
    <w:rsid w:val="00995AA3"/>
    <w:rsid w:val="00995F3D"/>
    <w:rsid w:val="00996A57"/>
    <w:rsid w:val="00996D9D"/>
    <w:rsid w:val="00996F99"/>
    <w:rsid w:val="0099756C"/>
    <w:rsid w:val="00997DC3"/>
    <w:rsid w:val="009A1C29"/>
    <w:rsid w:val="009A2061"/>
    <w:rsid w:val="009A3D46"/>
    <w:rsid w:val="009A4B5B"/>
    <w:rsid w:val="009A51A1"/>
    <w:rsid w:val="009A5A29"/>
    <w:rsid w:val="009B2434"/>
    <w:rsid w:val="009B3213"/>
    <w:rsid w:val="009B4C67"/>
    <w:rsid w:val="009B5260"/>
    <w:rsid w:val="009B70B0"/>
    <w:rsid w:val="009B7588"/>
    <w:rsid w:val="009C0ADA"/>
    <w:rsid w:val="009C10AC"/>
    <w:rsid w:val="009C1C1D"/>
    <w:rsid w:val="009C3438"/>
    <w:rsid w:val="009C5621"/>
    <w:rsid w:val="009C641B"/>
    <w:rsid w:val="009C67A6"/>
    <w:rsid w:val="009C6C6B"/>
    <w:rsid w:val="009C7AAC"/>
    <w:rsid w:val="009C7FE7"/>
    <w:rsid w:val="009D0375"/>
    <w:rsid w:val="009D111A"/>
    <w:rsid w:val="009D49CE"/>
    <w:rsid w:val="009D4E0B"/>
    <w:rsid w:val="009D5804"/>
    <w:rsid w:val="009E1AAA"/>
    <w:rsid w:val="009E1F73"/>
    <w:rsid w:val="009E281A"/>
    <w:rsid w:val="009E31CC"/>
    <w:rsid w:val="009E4AB0"/>
    <w:rsid w:val="009E4AB3"/>
    <w:rsid w:val="009E520E"/>
    <w:rsid w:val="009E5AE5"/>
    <w:rsid w:val="009E5C57"/>
    <w:rsid w:val="009E5EC0"/>
    <w:rsid w:val="009F0152"/>
    <w:rsid w:val="009F0DD7"/>
    <w:rsid w:val="009F17E6"/>
    <w:rsid w:val="009F2695"/>
    <w:rsid w:val="009F4AC2"/>
    <w:rsid w:val="009F5485"/>
    <w:rsid w:val="009F7B59"/>
    <w:rsid w:val="009F7C4E"/>
    <w:rsid w:val="00A00612"/>
    <w:rsid w:val="00A006D9"/>
    <w:rsid w:val="00A00745"/>
    <w:rsid w:val="00A02FC7"/>
    <w:rsid w:val="00A03DFF"/>
    <w:rsid w:val="00A0471F"/>
    <w:rsid w:val="00A07915"/>
    <w:rsid w:val="00A12EBD"/>
    <w:rsid w:val="00A14FBC"/>
    <w:rsid w:val="00A1637D"/>
    <w:rsid w:val="00A20261"/>
    <w:rsid w:val="00A2146E"/>
    <w:rsid w:val="00A214E3"/>
    <w:rsid w:val="00A221F1"/>
    <w:rsid w:val="00A230D1"/>
    <w:rsid w:val="00A231CE"/>
    <w:rsid w:val="00A24080"/>
    <w:rsid w:val="00A256E3"/>
    <w:rsid w:val="00A264BC"/>
    <w:rsid w:val="00A26716"/>
    <w:rsid w:val="00A27173"/>
    <w:rsid w:val="00A30704"/>
    <w:rsid w:val="00A30736"/>
    <w:rsid w:val="00A30F95"/>
    <w:rsid w:val="00A323A8"/>
    <w:rsid w:val="00A32F48"/>
    <w:rsid w:val="00A33179"/>
    <w:rsid w:val="00A335CB"/>
    <w:rsid w:val="00A35129"/>
    <w:rsid w:val="00A35194"/>
    <w:rsid w:val="00A3588B"/>
    <w:rsid w:val="00A40C5C"/>
    <w:rsid w:val="00A41B03"/>
    <w:rsid w:val="00A41FB3"/>
    <w:rsid w:val="00A422E9"/>
    <w:rsid w:val="00A4278D"/>
    <w:rsid w:val="00A440FE"/>
    <w:rsid w:val="00A444A9"/>
    <w:rsid w:val="00A44B83"/>
    <w:rsid w:val="00A44FD3"/>
    <w:rsid w:val="00A47E0E"/>
    <w:rsid w:val="00A522DD"/>
    <w:rsid w:val="00A522F6"/>
    <w:rsid w:val="00A52584"/>
    <w:rsid w:val="00A52A7F"/>
    <w:rsid w:val="00A547C1"/>
    <w:rsid w:val="00A555B3"/>
    <w:rsid w:val="00A60B30"/>
    <w:rsid w:val="00A60C08"/>
    <w:rsid w:val="00A62429"/>
    <w:rsid w:val="00A62D74"/>
    <w:rsid w:val="00A62DB1"/>
    <w:rsid w:val="00A64193"/>
    <w:rsid w:val="00A643FE"/>
    <w:rsid w:val="00A648E3"/>
    <w:rsid w:val="00A65E83"/>
    <w:rsid w:val="00A70B6C"/>
    <w:rsid w:val="00A71D93"/>
    <w:rsid w:val="00A724BA"/>
    <w:rsid w:val="00A72D88"/>
    <w:rsid w:val="00A745FD"/>
    <w:rsid w:val="00A770AB"/>
    <w:rsid w:val="00A7739C"/>
    <w:rsid w:val="00A80D66"/>
    <w:rsid w:val="00A821CE"/>
    <w:rsid w:val="00A8244B"/>
    <w:rsid w:val="00A839BF"/>
    <w:rsid w:val="00A83B1D"/>
    <w:rsid w:val="00A84D01"/>
    <w:rsid w:val="00A8602D"/>
    <w:rsid w:val="00A860DC"/>
    <w:rsid w:val="00A87016"/>
    <w:rsid w:val="00A87A0C"/>
    <w:rsid w:val="00A87AB7"/>
    <w:rsid w:val="00A87FA6"/>
    <w:rsid w:val="00A900CC"/>
    <w:rsid w:val="00A90938"/>
    <w:rsid w:val="00A917FC"/>
    <w:rsid w:val="00A9301A"/>
    <w:rsid w:val="00A934F4"/>
    <w:rsid w:val="00A948E2"/>
    <w:rsid w:val="00A94BA9"/>
    <w:rsid w:val="00A9640A"/>
    <w:rsid w:val="00A9797F"/>
    <w:rsid w:val="00A97AAA"/>
    <w:rsid w:val="00AA0376"/>
    <w:rsid w:val="00AA08AD"/>
    <w:rsid w:val="00AA0A35"/>
    <w:rsid w:val="00AA15B3"/>
    <w:rsid w:val="00AA165F"/>
    <w:rsid w:val="00AA57D7"/>
    <w:rsid w:val="00AA6138"/>
    <w:rsid w:val="00AA7EF0"/>
    <w:rsid w:val="00AB148F"/>
    <w:rsid w:val="00AB174D"/>
    <w:rsid w:val="00AB36A7"/>
    <w:rsid w:val="00AB429A"/>
    <w:rsid w:val="00AB4390"/>
    <w:rsid w:val="00AB5292"/>
    <w:rsid w:val="00AB56AD"/>
    <w:rsid w:val="00AB582D"/>
    <w:rsid w:val="00AB5C4E"/>
    <w:rsid w:val="00AB6092"/>
    <w:rsid w:val="00AC36EB"/>
    <w:rsid w:val="00AC4A9C"/>
    <w:rsid w:val="00AC52FB"/>
    <w:rsid w:val="00AC552B"/>
    <w:rsid w:val="00AC6123"/>
    <w:rsid w:val="00AC6C78"/>
    <w:rsid w:val="00AC786C"/>
    <w:rsid w:val="00AC7AB8"/>
    <w:rsid w:val="00AD0750"/>
    <w:rsid w:val="00AD130D"/>
    <w:rsid w:val="00AD2C84"/>
    <w:rsid w:val="00AD66A8"/>
    <w:rsid w:val="00AD6C9C"/>
    <w:rsid w:val="00AD7981"/>
    <w:rsid w:val="00AE07DA"/>
    <w:rsid w:val="00AE1C06"/>
    <w:rsid w:val="00AE2585"/>
    <w:rsid w:val="00AE2818"/>
    <w:rsid w:val="00AE3DE2"/>
    <w:rsid w:val="00AE42B9"/>
    <w:rsid w:val="00AE4D37"/>
    <w:rsid w:val="00AE59B9"/>
    <w:rsid w:val="00AE5E09"/>
    <w:rsid w:val="00AE5F6C"/>
    <w:rsid w:val="00AE6924"/>
    <w:rsid w:val="00AE7A2C"/>
    <w:rsid w:val="00AE7C72"/>
    <w:rsid w:val="00AF043F"/>
    <w:rsid w:val="00AF2743"/>
    <w:rsid w:val="00AF49F0"/>
    <w:rsid w:val="00AF6BBF"/>
    <w:rsid w:val="00AF7ABE"/>
    <w:rsid w:val="00B0189C"/>
    <w:rsid w:val="00B025FF"/>
    <w:rsid w:val="00B03F9A"/>
    <w:rsid w:val="00B05632"/>
    <w:rsid w:val="00B064C1"/>
    <w:rsid w:val="00B1073B"/>
    <w:rsid w:val="00B112A7"/>
    <w:rsid w:val="00B1154D"/>
    <w:rsid w:val="00B11782"/>
    <w:rsid w:val="00B12FCD"/>
    <w:rsid w:val="00B12FED"/>
    <w:rsid w:val="00B1306A"/>
    <w:rsid w:val="00B133C5"/>
    <w:rsid w:val="00B13A26"/>
    <w:rsid w:val="00B14DC9"/>
    <w:rsid w:val="00B15617"/>
    <w:rsid w:val="00B15739"/>
    <w:rsid w:val="00B158FA"/>
    <w:rsid w:val="00B20665"/>
    <w:rsid w:val="00B20825"/>
    <w:rsid w:val="00B210B8"/>
    <w:rsid w:val="00B245B2"/>
    <w:rsid w:val="00B24ACC"/>
    <w:rsid w:val="00B26FED"/>
    <w:rsid w:val="00B3196E"/>
    <w:rsid w:val="00B33361"/>
    <w:rsid w:val="00B34FD9"/>
    <w:rsid w:val="00B35FC2"/>
    <w:rsid w:val="00B373B4"/>
    <w:rsid w:val="00B37673"/>
    <w:rsid w:val="00B40CD3"/>
    <w:rsid w:val="00B41B01"/>
    <w:rsid w:val="00B41EF2"/>
    <w:rsid w:val="00B4233F"/>
    <w:rsid w:val="00B43BA6"/>
    <w:rsid w:val="00B44EB6"/>
    <w:rsid w:val="00B45C0D"/>
    <w:rsid w:val="00B45E9C"/>
    <w:rsid w:val="00B467A4"/>
    <w:rsid w:val="00B46F2C"/>
    <w:rsid w:val="00B472B9"/>
    <w:rsid w:val="00B502E7"/>
    <w:rsid w:val="00B50BB9"/>
    <w:rsid w:val="00B51A82"/>
    <w:rsid w:val="00B51E79"/>
    <w:rsid w:val="00B527CF"/>
    <w:rsid w:val="00B52951"/>
    <w:rsid w:val="00B5429F"/>
    <w:rsid w:val="00B54693"/>
    <w:rsid w:val="00B5490B"/>
    <w:rsid w:val="00B5493F"/>
    <w:rsid w:val="00B55F00"/>
    <w:rsid w:val="00B5603B"/>
    <w:rsid w:val="00B56531"/>
    <w:rsid w:val="00B572A8"/>
    <w:rsid w:val="00B611E0"/>
    <w:rsid w:val="00B61820"/>
    <w:rsid w:val="00B63B9B"/>
    <w:rsid w:val="00B652B3"/>
    <w:rsid w:val="00B655C5"/>
    <w:rsid w:val="00B65898"/>
    <w:rsid w:val="00B73E0E"/>
    <w:rsid w:val="00B74C8A"/>
    <w:rsid w:val="00B754B2"/>
    <w:rsid w:val="00B7586B"/>
    <w:rsid w:val="00B75989"/>
    <w:rsid w:val="00B76F32"/>
    <w:rsid w:val="00B813EC"/>
    <w:rsid w:val="00B8177E"/>
    <w:rsid w:val="00B81AE2"/>
    <w:rsid w:val="00B81AF0"/>
    <w:rsid w:val="00B82463"/>
    <w:rsid w:val="00B83A74"/>
    <w:rsid w:val="00B84222"/>
    <w:rsid w:val="00B857A6"/>
    <w:rsid w:val="00B85B8D"/>
    <w:rsid w:val="00B8799F"/>
    <w:rsid w:val="00B87C81"/>
    <w:rsid w:val="00B906E5"/>
    <w:rsid w:val="00B90976"/>
    <w:rsid w:val="00B909AE"/>
    <w:rsid w:val="00B90C5D"/>
    <w:rsid w:val="00B91DB6"/>
    <w:rsid w:val="00B94856"/>
    <w:rsid w:val="00B94A24"/>
    <w:rsid w:val="00B95B4E"/>
    <w:rsid w:val="00B96C0C"/>
    <w:rsid w:val="00B96D77"/>
    <w:rsid w:val="00B96F41"/>
    <w:rsid w:val="00B97397"/>
    <w:rsid w:val="00BA16A6"/>
    <w:rsid w:val="00BA17BC"/>
    <w:rsid w:val="00BA1C0A"/>
    <w:rsid w:val="00BA2761"/>
    <w:rsid w:val="00BA34D7"/>
    <w:rsid w:val="00BA6E5A"/>
    <w:rsid w:val="00BA74AB"/>
    <w:rsid w:val="00BA7AE0"/>
    <w:rsid w:val="00BB1074"/>
    <w:rsid w:val="00BB15D4"/>
    <w:rsid w:val="00BB245C"/>
    <w:rsid w:val="00BB278C"/>
    <w:rsid w:val="00BB28D2"/>
    <w:rsid w:val="00BB32E4"/>
    <w:rsid w:val="00BB3818"/>
    <w:rsid w:val="00BB3A0A"/>
    <w:rsid w:val="00BB58AD"/>
    <w:rsid w:val="00BB6079"/>
    <w:rsid w:val="00BC02A4"/>
    <w:rsid w:val="00BC1B2F"/>
    <w:rsid w:val="00BC254F"/>
    <w:rsid w:val="00BC26E4"/>
    <w:rsid w:val="00BC2D61"/>
    <w:rsid w:val="00BC32C9"/>
    <w:rsid w:val="00BC3955"/>
    <w:rsid w:val="00BD07BD"/>
    <w:rsid w:val="00BD104F"/>
    <w:rsid w:val="00BD1942"/>
    <w:rsid w:val="00BD294E"/>
    <w:rsid w:val="00BD4348"/>
    <w:rsid w:val="00BD49EA"/>
    <w:rsid w:val="00BD5727"/>
    <w:rsid w:val="00BD66E5"/>
    <w:rsid w:val="00BE0D3B"/>
    <w:rsid w:val="00BE0FA0"/>
    <w:rsid w:val="00BE17CC"/>
    <w:rsid w:val="00BE1DD6"/>
    <w:rsid w:val="00BE2618"/>
    <w:rsid w:val="00BE28BD"/>
    <w:rsid w:val="00BE3A1F"/>
    <w:rsid w:val="00BF0137"/>
    <w:rsid w:val="00BF2B4D"/>
    <w:rsid w:val="00BF4184"/>
    <w:rsid w:val="00BF4719"/>
    <w:rsid w:val="00BF4B0D"/>
    <w:rsid w:val="00BF4D91"/>
    <w:rsid w:val="00BF59B0"/>
    <w:rsid w:val="00BF753D"/>
    <w:rsid w:val="00BF7601"/>
    <w:rsid w:val="00BF786E"/>
    <w:rsid w:val="00BF79F8"/>
    <w:rsid w:val="00C00A57"/>
    <w:rsid w:val="00C017F0"/>
    <w:rsid w:val="00C02D76"/>
    <w:rsid w:val="00C03103"/>
    <w:rsid w:val="00C0362E"/>
    <w:rsid w:val="00C037C1"/>
    <w:rsid w:val="00C03ED6"/>
    <w:rsid w:val="00C048B5"/>
    <w:rsid w:val="00C04E1A"/>
    <w:rsid w:val="00C0510D"/>
    <w:rsid w:val="00C05E2F"/>
    <w:rsid w:val="00C0680F"/>
    <w:rsid w:val="00C06AE5"/>
    <w:rsid w:val="00C06C45"/>
    <w:rsid w:val="00C070BE"/>
    <w:rsid w:val="00C0712D"/>
    <w:rsid w:val="00C10190"/>
    <w:rsid w:val="00C124C8"/>
    <w:rsid w:val="00C12638"/>
    <w:rsid w:val="00C12718"/>
    <w:rsid w:val="00C13BE3"/>
    <w:rsid w:val="00C142A7"/>
    <w:rsid w:val="00C1556D"/>
    <w:rsid w:val="00C158FB"/>
    <w:rsid w:val="00C16141"/>
    <w:rsid w:val="00C20150"/>
    <w:rsid w:val="00C205B9"/>
    <w:rsid w:val="00C216CD"/>
    <w:rsid w:val="00C219D1"/>
    <w:rsid w:val="00C221C5"/>
    <w:rsid w:val="00C2295C"/>
    <w:rsid w:val="00C22BF0"/>
    <w:rsid w:val="00C2368C"/>
    <w:rsid w:val="00C2447E"/>
    <w:rsid w:val="00C2545B"/>
    <w:rsid w:val="00C30757"/>
    <w:rsid w:val="00C30C62"/>
    <w:rsid w:val="00C31D5E"/>
    <w:rsid w:val="00C326AE"/>
    <w:rsid w:val="00C32D74"/>
    <w:rsid w:val="00C336E8"/>
    <w:rsid w:val="00C350BC"/>
    <w:rsid w:val="00C3581D"/>
    <w:rsid w:val="00C35841"/>
    <w:rsid w:val="00C35E82"/>
    <w:rsid w:val="00C3689A"/>
    <w:rsid w:val="00C37503"/>
    <w:rsid w:val="00C37AD7"/>
    <w:rsid w:val="00C37E9D"/>
    <w:rsid w:val="00C405A1"/>
    <w:rsid w:val="00C412B5"/>
    <w:rsid w:val="00C41513"/>
    <w:rsid w:val="00C4218D"/>
    <w:rsid w:val="00C42BC8"/>
    <w:rsid w:val="00C475BE"/>
    <w:rsid w:val="00C50002"/>
    <w:rsid w:val="00C5296C"/>
    <w:rsid w:val="00C5365F"/>
    <w:rsid w:val="00C5489C"/>
    <w:rsid w:val="00C56610"/>
    <w:rsid w:val="00C569D4"/>
    <w:rsid w:val="00C56A45"/>
    <w:rsid w:val="00C5713A"/>
    <w:rsid w:val="00C604D8"/>
    <w:rsid w:val="00C60C5A"/>
    <w:rsid w:val="00C60E01"/>
    <w:rsid w:val="00C61E6D"/>
    <w:rsid w:val="00C62DF7"/>
    <w:rsid w:val="00C652F4"/>
    <w:rsid w:val="00C66E4E"/>
    <w:rsid w:val="00C675CF"/>
    <w:rsid w:val="00C706B8"/>
    <w:rsid w:val="00C71574"/>
    <w:rsid w:val="00C72636"/>
    <w:rsid w:val="00C7274D"/>
    <w:rsid w:val="00C727EE"/>
    <w:rsid w:val="00C73389"/>
    <w:rsid w:val="00C73E9A"/>
    <w:rsid w:val="00C74ADC"/>
    <w:rsid w:val="00C7657C"/>
    <w:rsid w:val="00C776D3"/>
    <w:rsid w:val="00C7772E"/>
    <w:rsid w:val="00C80351"/>
    <w:rsid w:val="00C8051A"/>
    <w:rsid w:val="00C8066A"/>
    <w:rsid w:val="00C80A98"/>
    <w:rsid w:val="00C80DB9"/>
    <w:rsid w:val="00C80DEF"/>
    <w:rsid w:val="00C81B9F"/>
    <w:rsid w:val="00C81C17"/>
    <w:rsid w:val="00C8273D"/>
    <w:rsid w:val="00C82CD2"/>
    <w:rsid w:val="00C8326F"/>
    <w:rsid w:val="00C83A54"/>
    <w:rsid w:val="00C83BA6"/>
    <w:rsid w:val="00C8451D"/>
    <w:rsid w:val="00C84690"/>
    <w:rsid w:val="00C85687"/>
    <w:rsid w:val="00C86739"/>
    <w:rsid w:val="00C87943"/>
    <w:rsid w:val="00C902FE"/>
    <w:rsid w:val="00C907E9"/>
    <w:rsid w:val="00C91E2F"/>
    <w:rsid w:val="00C92DB8"/>
    <w:rsid w:val="00C9379F"/>
    <w:rsid w:val="00C94208"/>
    <w:rsid w:val="00C9508D"/>
    <w:rsid w:val="00C96AF4"/>
    <w:rsid w:val="00C97164"/>
    <w:rsid w:val="00CA12A3"/>
    <w:rsid w:val="00CA22F2"/>
    <w:rsid w:val="00CA3C62"/>
    <w:rsid w:val="00CA543F"/>
    <w:rsid w:val="00CA75D7"/>
    <w:rsid w:val="00CB0404"/>
    <w:rsid w:val="00CB13E3"/>
    <w:rsid w:val="00CB2263"/>
    <w:rsid w:val="00CB2CE9"/>
    <w:rsid w:val="00CB2E65"/>
    <w:rsid w:val="00CB341E"/>
    <w:rsid w:val="00CB3B00"/>
    <w:rsid w:val="00CB3C6A"/>
    <w:rsid w:val="00CB4CF2"/>
    <w:rsid w:val="00CB4EAE"/>
    <w:rsid w:val="00CB519F"/>
    <w:rsid w:val="00CB5616"/>
    <w:rsid w:val="00CC1862"/>
    <w:rsid w:val="00CC1985"/>
    <w:rsid w:val="00CC1BF5"/>
    <w:rsid w:val="00CC3C5F"/>
    <w:rsid w:val="00CC4C31"/>
    <w:rsid w:val="00CC5343"/>
    <w:rsid w:val="00CC5675"/>
    <w:rsid w:val="00CC669F"/>
    <w:rsid w:val="00CC6752"/>
    <w:rsid w:val="00CC695E"/>
    <w:rsid w:val="00CC75D6"/>
    <w:rsid w:val="00CD0C11"/>
    <w:rsid w:val="00CD0F5D"/>
    <w:rsid w:val="00CD2E84"/>
    <w:rsid w:val="00CD3EDA"/>
    <w:rsid w:val="00CD3F0D"/>
    <w:rsid w:val="00CD4F46"/>
    <w:rsid w:val="00CD5A25"/>
    <w:rsid w:val="00CD5C85"/>
    <w:rsid w:val="00CD7F06"/>
    <w:rsid w:val="00CE06F4"/>
    <w:rsid w:val="00CE17E7"/>
    <w:rsid w:val="00CE1DCA"/>
    <w:rsid w:val="00CE27BE"/>
    <w:rsid w:val="00CE48C6"/>
    <w:rsid w:val="00CE756B"/>
    <w:rsid w:val="00CF2EA8"/>
    <w:rsid w:val="00CF3314"/>
    <w:rsid w:val="00CF33A5"/>
    <w:rsid w:val="00CF3D0C"/>
    <w:rsid w:val="00CF4529"/>
    <w:rsid w:val="00CF505E"/>
    <w:rsid w:val="00CF513A"/>
    <w:rsid w:val="00CF6BD7"/>
    <w:rsid w:val="00CF6F99"/>
    <w:rsid w:val="00D01653"/>
    <w:rsid w:val="00D02B6F"/>
    <w:rsid w:val="00D02CEE"/>
    <w:rsid w:val="00D02D99"/>
    <w:rsid w:val="00D02EE8"/>
    <w:rsid w:val="00D032C4"/>
    <w:rsid w:val="00D037AB"/>
    <w:rsid w:val="00D03821"/>
    <w:rsid w:val="00D04BD0"/>
    <w:rsid w:val="00D056C1"/>
    <w:rsid w:val="00D062CD"/>
    <w:rsid w:val="00D0691C"/>
    <w:rsid w:val="00D06B20"/>
    <w:rsid w:val="00D07D28"/>
    <w:rsid w:val="00D110EB"/>
    <w:rsid w:val="00D11441"/>
    <w:rsid w:val="00D11985"/>
    <w:rsid w:val="00D14206"/>
    <w:rsid w:val="00D14F01"/>
    <w:rsid w:val="00D16A8D"/>
    <w:rsid w:val="00D172BC"/>
    <w:rsid w:val="00D20126"/>
    <w:rsid w:val="00D2049F"/>
    <w:rsid w:val="00D24876"/>
    <w:rsid w:val="00D250A4"/>
    <w:rsid w:val="00D2513A"/>
    <w:rsid w:val="00D265F0"/>
    <w:rsid w:val="00D268DD"/>
    <w:rsid w:val="00D27216"/>
    <w:rsid w:val="00D27923"/>
    <w:rsid w:val="00D27D0D"/>
    <w:rsid w:val="00D303B2"/>
    <w:rsid w:val="00D309C1"/>
    <w:rsid w:val="00D31693"/>
    <w:rsid w:val="00D32ED9"/>
    <w:rsid w:val="00D33C82"/>
    <w:rsid w:val="00D34BD8"/>
    <w:rsid w:val="00D34CCD"/>
    <w:rsid w:val="00D35051"/>
    <w:rsid w:val="00D356D2"/>
    <w:rsid w:val="00D359A9"/>
    <w:rsid w:val="00D362E1"/>
    <w:rsid w:val="00D37DC2"/>
    <w:rsid w:val="00D40D63"/>
    <w:rsid w:val="00D411AB"/>
    <w:rsid w:val="00D41342"/>
    <w:rsid w:val="00D43B0C"/>
    <w:rsid w:val="00D44A0B"/>
    <w:rsid w:val="00D45E93"/>
    <w:rsid w:val="00D46249"/>
    <w:rsid w:val="00D466B4"/>
    <w:rsid w:val="00D50084"/>
    <w:rsid w:val="00D50F85"/>
    <w:rsid w:val="00D51760"/>
    <w:rsid w:val="00D526CB"/>
    <w:rsid w:val="00D53BEF"/>
    <w:rsid w:val="00D53F1B"/>
    <w:rsid w:val="00D54AB7"/>
    <w:rsid w:val="00D54C3F"/>
    <w:rsid w:val="00D56F69"/>
    <w:rsid w:val="00D600FE"/>
    <w:rsid w:val="00D606A5"/>
    <w:rsid w:val="00D60D27"/>
    <w:rsid w:val="00D60D96"/>
    <w:rsid w:val="00D60E2A"/>
    <w:rsid w:val="00D6205A"/>
    <w:rsid w:val="00D62529"/>
    <w:rsid w:val="00D62695"/>
    <w:rsid w:val="00D66EFD"/>
    <w:rsid w:val="00D67ECB"/>
    <w:rsid w:val="00D7058A"/>
    <w:rsid w:val="00D715CC"/>
    <w:rsid w:val="00D73411"/>
    <w:rsid w:val="00D748FC"/>
    <w:rsid w:val="00D76F6B"/>
    <w:rsid w:val="00D83166"/>
    <w:rsid w:val="00D83CAF"/>
    <w:rsid w:val="00D845F3"/>
    <w:rsid w:val="00D8487C"/>
    <w:rsid w:val="00D84E8B"/>
    <w:rsid w:val="00D85887"/>
    <w:rsid w:val="00D85A1A"/>
    <w:rsid w:val="00D86884"/>
    <w:rsid w:val="00D86A51"/>
    <w:rsid w:val="00D86AA6"/>
    <w:rsid w:val="00D87431"/>
    <w:rsid w:val="00D87D8E"/>
    <w:rsid w:val="00D915E9"/>
    <w:rsid w:val="00D926E9"/>
    <w:rsid w:val="00D95BA8"/>
    <w:rsid w:val="00D95E67"/>
    <w:rsid w:val="00D97064"/>
    <w:rsid w:val="00DA0C27"/>
    <w:rsid w:val="00DA0F0D"/>
    <w:rsid w:val="00DA20FA"/>
    <w:rsid w:val="00DA210C"/>
    <w:rsid w:val="00DA2289"/>
    <w:rsid w:val="00DA3E84"/>
    <w:rsid w:val="00DA4C17"/>
    <w:rsid w:val="00DA541F"/>
    <w:rsid w:val="00DA6B03"/>
    <w:rsid w:val="00DA725A"/>
    <w:rsid w:val="00DB17A1"/>
    <w:rsid w:val="00DB4008"/>
    <w:rsid w:val="00DB4044"/>
    <w:rsid w:val="00DB427A"/>
    <w:rsid w:val="00DB7135"/>
    <w:rsid w:val="00DB71A2"/>
    <w:rsid w:val="00DC07C0"/>
    <w:rsid w:val="00DC0C57"/>
    <w:rsid w:val="00DC0DAF"/>
    <w:rsid w:val="00DC110E"/>
    <w:rsid w:val="00DC16C6"/>
    <w:rsid w:val="00DC245E"/>
    <w:rsid w:val="00DC26FB"/>
    <w:rsid w:val="00DC521D"/>
    <w:rsid w:val="00DC612B"/>
    <w:rsid w:val="00DC6FF3"/>
    <w:rsid w:val="00DC78CE"/>
    <w:rsid w:val="00DC7CD0"/>
    <w:rsid w:val="00DD01A8"/>
    <w:rsid w:val="00DD1254"/>
    <w:rsid w:val="00DD1613"/>
    <w:rsid w:val="00DD32FA"/>
    <w:rsid w:val="00DD349B"/>
    <w:rsid w:val="00DD350C"/>
    <w:rsid w:val="00DD4547"/>
    <w:rsid w:val="00DD4C04"/>
    <w:rsid w:val="00DD4C21"/>
    <w:rsid w:val="00DD69CA"/>
    <w:rsid w:val="00DD7642"/>
    <w:rsid w:val="00DD797B"/>
    <w:rsid w:val="00DE2D97"/>
    <w:rsid w:val="00DE36D8"/>
    <w:rsid w:val="00DE5FA2"/>
    <w:rsid w:val="00DF0189"/>
    <w:rsid w:val="00DF02BF"/>
    <w:rsid w:val="00DF16DD"/>
    <w:rsid w:val="00DF191D"/>
    <w:rsid w:val="00DF2A55"/>
    <w:rsid w:val="00DF3542"/>
    <w:rsid w:val="00DF3A1C"/>
    <w:rsid w:val="00DF3E63"/>
    <w:rsid w:val="00DF753B"/>
    <w:rsid w:val="00DF78E5"/>
    <w:rsid w:val="00E01522"/>
    <w:rsid w:val="00E0200D"/>
    <w:rsid w:val="00E02483"/>
    <w:rsid w:val="00E02A64"/>
    <w:rsid w:val="00E035F7"/>
    <w:rsid w:val="00E04354"/>
    <w:rsid w:val="00E0488E"/>
    <w:rsid w:val="00E057B0"/>
    <w:rsid w:val="00E06369"/>
    <w:rsid w:val="00E063C4"/>
    <w:rsid w:val="00E07464"/>
    <w:rsid w:val="00E07849"/>
    <w:rsid w:val="00E1063B"/>
    <w:rsid w:val="00E10A86"/>
    <w:rsid w:val="00E10B98"/>
    <w:rsid w:val="00E130E2"/>
    <w:rsid w:val="00E13E68"/>
    <w:rsid w:val="00E149C0"/>
    <w:rsid w:val="00E14C66"/>
    <w:rsid w:val="00E1539F"/>
    <w:rsid w:val="00E157C8"/>
    <w:rsid w:val="00E16FBD"/>
    <w:rsid w:val="00E20219"/>
    <w:rsid w:val="00E226E6"/>
    <w:rsid w:val="00E23B51"/>
    <w:rsid w:val="00E23B5A"/>
    <w:rsid w:val="00E23DF0"/>
    <w:rsid w:val="00E24B15"/>
    <w:rsid w:val="00E25B75"/>
    <w:rsid w:val="00E30F1A"/>
    <w:rsid w:val="00E3237E"/>
    <w:rsid w:val="00E3259E"/>
    <w:rsid w:val="00E3294A"/>
    <w:rsid w:val="00E33E17"/>
    <w:rsid w:val="00E340A9"/>
    <w:rsid w:val="00E34D7A"/>
    <w:rsid w:val="00E352B0"/>
    <w:rsid w:val="00E35FF0"/>
    <w:rsid w:val="00E36B11"/>
    <w:rsid w:val="00E37E4E"/>
    <w:rsid w:val="00E40F87"/>
    <w:rsid w:val="00E43CA0"/>
    <w:rsid w:val="00E4457B"/>
    <w:rsid w:val="00E451F6"/>
    <w:rsid w:val="00E45824"/>
    <w:rsid w:val="00E46548"/>
    <w:rsid w:val="00E4722A"/>
    <w:rsid w:val="00E47313"/>
    <w:rsid w:val="00E503EF"/>
    <w:rsid w:val="00E52165"/>
    <w:rsid w:val="00E527D4"/>
    <w:rsid w:val="00E562FB"/>
    <w:rsid w:val="00E56A3A"/>
    <w:rsid w:val="00E5728D"/>
    <w:rsid w:val="00E60134"/>
    <w:rsid w:val="00E6023A"/>
    <w:rsid w:val="00E6240E"/>
    <w:rsid w:val="00E626F7"/>
    <w:rsid w:val="00E635DF"/>
    <w:rsid w:val="00E63608"/>
    <w:rsid w:val="00E647A4"/>
    <w:rsid w:val="00E64B8F"/>
    <w:rsid w:val="00E64D8C"/>
    <w:rsid w:val="00E64E33"/>
    <w:rsid w:val="00E65385"/>
    <w:rsid w:val="00E658D3"/>
    <w:rsid w:val="00E66986"/>
    <w:rsid w:val="00E67AE5"/>
    <w:rsid w:val="00E700A8"/>
    <w:rsid w:val="00E71E64"/>
    <w:rsid w:val="00E72C46"/>
    <w:rsid w:val="00E72F96"/>
    <w:rsid w:val="00E73107"/>
    <w:rsid w:val="00E73299"/>
    <w:rsid w:val="00E73473"/>
    <w:rsid w:val="00E73526"/>
    <w:rsid w:val="00E73989"/>
    <w:rsid w:val="00E75654"/>
    <w:rsid w:val="00E76167"/>
    <w:rsid w:val="00E76328"/>
    <w:rsid w:val="00E76922"/>
    <w:rsid w:val="00E76CF3"/>
    <w:rsid w:val="00E8162D"/>
    <w:rsid w:val="00E8241E"/>
    <w:rsid w:val="00E82F11"/>
    <w:rsid w:val="00E842BD"/>
    <w:rsid w:val="00E84310"/>
    <w:rsid w:val="00E8441D"/>
    <w:rsid w:val="00E84B06"/>
    <w:rsid w:val="00E87474"/>
    <w:rsid w:val="00E87992"/>
    <w:rsid w:val="00E87CE9"/>
    <w:rsid w:val="00E93C63"/>
    <w:rsid w:val="00E97DA2"/>
    <w:rsid w:val="00EA1403"/>
    <w:rsid w:val="00EA1438"/>
    <w:rsid w:val="00EA2805"/>
    <w:rsid w:val="00EA2D11"/>
    <w:rsid w:val="00EA30BC"/>
    <w:rsid w:val="00EA3349"/>
    <w:rsid w:val="00EA3C67"/>
    <w:rsid w:val="00EA3F60"/>
    <w:rsid w:val="00EA4858"/>
    <w:rsid w:val="00EA58E1"/>
    <w:rsid w:val="00EA5B87"/>
    <w:rsid w:val="00EA606E"/>
    <w:rsid w:val="00EA66EC"/>
    <w:rsid w:val="00EA6974"/>
    <w:rsid w:val="00EA6B7D"/>
    <w:rsid w:val="00EA7900"/>
    <w:rsid w:val="00EB0663"/>
    <w:rsid w:val="00EB0CA0"/>
    <w:rsid w:val="00EB1D5C"/>
    <w:rsid w:val="00EB1F7A"/>
    <w:rsid w:val="00EB2352"/>
    <w:rsid w:val="00EB28E8"/>
    <w:rsid w:val="00EB2FC9"/>
    <w:rsid w:val="00EB338F"/>
    <w:rsid w:val="00EB4C0E"/>
    <w:rsid w:val="00EB529A"/>
    <w:rsid w:val="00EB5AD5"/>
    <w:rsid w:val="00EB6796"/>
    <w:rsid w:val="00EB6FC5"/>
    <w:rsid w:val="00EC0C8A"/>
    <w:rsid w:val="00EC1F69"/>
    <w:rsid w:val="00EC2862"/>
    <w:rsid w:val="00EC299C"/>
    <w:rsid w:val="00EC2B82"/>
    <w:rsid w:val="00EC4CBA"/>
    <w:rsid w:val="00EC52CC"/>
    <w:rsid w:val="00EC7028"/>
    <w:rsid w:val="00EC7A8A"/>
    <w:rsid w:val="00ED161B"/>
    <w:rsid w:val="00ED1A5E"/>
    <w:rsid w:val="00ED30F9"/>
    <w:rsid w:val="00ED3C9C"/>
    <w:rsid w:val="00ED4D57"/>
    <w:rsid w:val="00ED5D52"/>
    <w:rsid w:val="00ED7D6E"/>
    <w:rsid w:val="00EE1180"/>
    <w:rsid w:val="00EE2EED"/>
    <w:rsid w:val="00EE5B41"/>
    <w:rsid w:val="00EE7218"/>
    <w:rsid w:val="00EF11B5"/>
    <w:rsid w:val="00EF1D5F"/>
    <w:rsid w:val="00EF22E7"/>
    <w:rsid w:val="00EF37FC"/>
    <w:rsid w:val="00EF3E4E"/>
    <w:rsid w:val="00EF49E9"/>
    <w:rsid w:val="00EF5D40"/>
    <w:rsid w:val="00EF7352"/>
    <w:rsid w:val="00EF7417"/>
    <w:rsid w:val="00F00546"/>
    <w:rsid w:val="00F038C4"/>
    <w:rsid w:val="00F059FE"/>
    <w:rsid w:val="00F11521"/>
    <w:rsid w:val="00F11B41"/>
    <w:rsid w:val="00F13599"/>
    <w:rsid w:val="00F144E3"/>
    <w:rsid w:val="00F14C27"/>
    <w:rsid w:val="00F16AA1"/>
    <w:rsid w:val="00F16DBB"/>
    <w:rsid w:val="00F179BC"/>
    <w:rsid w:val="00F200EA"/>
    <w:rsid w:val="00F214CC"/>
    <w:rsid w:val="00F21504"/>
    <w:rsid w:val="00F21BD5"/>
    <w:rsid w:val="00F221D6"/>
    <w:rsid w:val="00F22705"/>
    <w:rsid w:val="00F22BCB"/>
    <w:rsid w:val="00F23526"/>
    <w:rsid w:val="00F23DE7"/>
    <w:rsid w:val="00F24AD8"/>
    <w:rsid w:val="00F24F9A"/>
    <w:rsid w:val="00F26733"/>
    <w:rsid w:val="00F268AE"/>
    <w:rsid w:val="00F27CC0"/>
    <w:rsid w:val="00F30B31"/>
    <w:rsid w:val="00F31B47"/>
    <w:rsid w:val="00F32504"/>
    <w:rsid w:val="00F34E76"/>
    <w:rsid w:val="00F3628B"/>
    <w:rsid w:val="00F37FEC"/>
    <w:rsid w:val="00F401C5"/>
    <w:rsid w:val="00F4144C"/>
    <w:rsid w:val="00F44337"/>
    <w:rsid w:val="00F4513D"/>
    <w:rsid w:val="00F4525E"/>
    <w:rsid w:val="00F4548E"/>
    <w:rsid w:val="00F45956"/>
    <w:rsid w:val="00F45DFA"/>
    <w:rsid w:val="00F471E3"/>
    <w:rsid w:val="00F47351"/>
    <w:rsid w:val="00F47C2B"/>
    <w:rsid w:val="00F47E59"/>
    <w:rsid w:val="00F5328C"/>
    <w:rsid w:val="00F53A8E"/>
    <w:rsid w:val="00F60772"/>
    <w:rsid w:val="00F62713"/>
    <w:rsid w:val="00F649EE"/>
    <w:rsid w:val="00F64CE6"/>
    <w:rsid w:val="00F65E2B"/>
    <w:rsid w:val="00F66034"/>
    <w:rsid w:val="00F66A9A"/>
    <w:rsid w:val="00F66FA0"/>
    <w:rsid w:val="00F70DBE"/>
    <w:rsid w:val="00F71145"/>
    <w:rsid w:val="00F72D58"/>
    <w:rsid w:val="00F7481E"/>
    <w:rsid w:val="00F7656E"/>
    <w:rsid w:val="00F77673"/>
    <w:rsid w:val="00F80B3D"/>
    <w:rsid w:val="00F80E53"/>
    <w:rsid w:val="00F8137A"/>
    <w:rsid w:val="00F83A2D"/>
    <w:rsid w:val="00F84059"/>
    <w:rsid w:val="00F9069E"/>
    <w:rsid w:val="00F91265"/>
    <w:rsid w:val="00F913BE"/>
    <w:rsid w:val="00F9164E"/>
    <w:rsid w:val="00F92432"/>
    <w:rsid w:val="00F93236"/>
    <w:rsid w:val="00F933CD"/>
    <w:rsid w:val="00F94260"/>
    <w:rsid w:val="00F94326"/>
    <w:rsid w:val="00F94658"/>
    <w:rsid w:val="00F94A7D"/>
    <w:rsid w:val="00F94FE8"/>
    <w:rsid w:val="00F971B1"/>
    <w:rsid w:val="00F972E7"/>
    <w:rsid w:val="00F97B1F"/>
    <w:rsid w:val="00FA1596"/>
    <w:rsid w:val="00FA1ACB"/>
    <w:rsid w:val="00FA23D4"/>
    <w:rsid w:val="00FA2F50"/>
    <w:rsid w:val="00FA333A"/>
    <w:rsid w:val="00FA363D"/>
    <w:rsid w:val="00FA3738"/>
    <w:rsid w:val="00FA4D5A"/>
    <w:rsid w:val="00FA4F8F"/>
    <w:rsid w:val="00FA5428"/>
    <w:rsid w:val="00FA61BF"/>
    <w:rsid w:val="00FA6BE9"/>
    <w:rsid w:val="00FA6FB3"/>
    <w:rsid w:val="00FB1185"/>
    <w:rsid w:val="00FB12A1"/>
    <w:rsid w:val="00FB1875"/>
    <w:rsid w:val="00FB1D5B"/>
    <w:rsid w:val="00FB1DB8"/>
    <w:rsid w:val="00FB3950"/>
    <w:rsid w:val="00FB42EF"/>
    <w:rsid w:val="00FB4DE2"/>
    <w:rsid w:val="00FB50FF"/>
    <w:rsid w:val="00FB6508"/>
    <w:rsid w:val="00FB7F59"/>
    <w:rsid w:val="00FC0086"/>
    <w:rsid w:val="00FC0363"/>
    <w:rsid w:val="00FC0EE0"/>
    <w:rsid w:val="00FC1DB7"/>
    <w:rsid w:val="00FC3163"/>
    <w:rsid w:val="00FC3F8B"/>
    <w:rsid w:val="00FC4655"/>
    <w:rsid w:val="00FC6D21"/>
    <w:rsid w:val="00FC75CF"/>
    <w:rsid w:val="00FC7DFE"/>
    <w:rsid w:val="00FD0A2C"/>
    <w:rsid w:val="00FD3CD8"/>
    <w:rsid w:val="00FD51C6"/>
    <w:rsid w:val="00FD6F1C"/>
    <w:rsid w:val="00FD7134"/>
    <w:rsid w:val="00FD7D25"/>
    <w:rsid w:val="00FE00CF"/>
    <w:rsid w:val="00FE05BE"/>
    <w:rsid w:val="00FE0618"/>
    <w:rsid w:val="00FE06DE"/>
    <w:rsid w:val="00FE0724"/>
    <w:rsid w:val="00FE0A8E"/>
    <w:rsid w:val="00FE0E3F"/>
    <w:rsid w:val="00FE489C"/>
    <w:rsid w:val="00FE705A"/>
    <w:rsid w:val="00FE715A"/>
    <w:rsid w:val="00FE7AF7"/>
    <w:rsid w:val="00FF2A8B"/>
    <w:rsid w:val="00FF2B5F"/>
    <w:rsid w:val="00FF36F6"/>
    <w:rsid w:val="00FF3780"/>
    <w:rsid w:val="00FF3C51"/>
    <w:rsid w:val="00FF3C71"/>
    <w:rsid w:val="00FF5340"/>
    <w:rsid w:val="00FF6F21"/>
    <w:rsid w:val="123DCDB1"/>
    <w:rsid w:val="140CAB9C"/>
    <w:rsid w:val="141F27A8"/>
    <w:rsid w:val="168E83FF"/>
    <w:rsid w:val="2760A861"/>
    <w:rsid w:val="2AE315B2"/>
    <w:rsid w:val="306326ED"/>
    <w:rsid w:val="338F8E0A"/>
    <w:rsid w:val="34665519"/>
    <w:rsid w:val="398A8C4F"/>
    <w:rsid w:val="4B119786"/>
    <w:rsid w:val="4C5D10F6"/>
    <w:rsid w:val="4D641E91"/>
    <w:rsid w:val="4F598F03"/>
    <w:rsid w:val="6526A069"/>
    <w:rsid w:val="735DACE6"/>
    <w:rsid w:val="73D5DEFE"/>
    <w:rsid w:val="73F8B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F5253"/>
  <w15:chartTrackingRefBased/>
  <w15:docId w15:val="{B9FE6BE5-F59A-49C1-B0D4-AA922F13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20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8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8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82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8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8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8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Odstavec se seznamem1,Bullet List,FooterText,List Paragraph1,numbered,Paragraphe de liste1,Bulletr List Paragraph,列出段落,列出段落1,List Paragraph2,List Paragraph21,Parágrafo da Lista1,リスト段落1,List Paragraph11,Listeafsnit1,Bullet,Bullet1"/>
    <w:basedOn w:val="a"/>
    <w:link w:val="a4"/>
    <w:uiPriority w:val="34"/>
    <w:qFormat/>
    <w:rsid w:val="0050320B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B208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8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82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208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825"/>
    <w:rPr>
      <w:rFonts w:eastAsiaTheme="majorEastAsia" w:cstheme="majorBidi"/>
      <w:color w:val="595959" w:themeColor="text1" w:themeTint="A6"/>
    </w:rPr>
  </w:style>
  <w:style w:type="paragraph" w:styleId="a5">
    <w:name w:val="Title"/>
    <w:basedOn w:val="a"/>
    <w:next w:val="a"/>
    <w:link w:val="a6"/>
    <w:uiPriority w:val="10"/>
    <w:qFormat/>
    <w:rsid w:val="00B208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B20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B208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B20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B20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B20825"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sid w:val="00B2082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20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B2082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20825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045F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045FA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045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045FAD"/>
    <w:rPr>
      <w:sz w:val="18"/>
      <w:szCs w:val="18"/>
    </w:rPr>
  </w:style>
  <w:style w:type="character" w:customStyle="1" w:styleId="a4">
    <w:name w:val="列表段落 字符"/>
    <w:aliases w:val="Bullets 字符,Odstavec se seznamem1 字符,Bullet List 字符,FooterText 字符,List Paragraph1 字符,numbered 字符,Paragraphe de liste1 字符,Bulletr List Paragraph 字符,列出段落 字符,列出段落1 字符,List Paragraph2 字符,List Paragraph21 字符,Parágrafo da Lista1 字符,リスト段落1 字符,Bullet 字符"/>
    <w:basedOn w:val="a0"/>
    <w:link w:val="a3"/>
    <w:uiPriority w:val="34"/>
    <w:qFormat/>
    <w:locked/>
    <w:rsid w:val="008D2DFC"/>
  </w:style>
  <w:style w:type="character" w:styleId="af3">
    <w:name w:val="annotation reference"/>
    <w:basedOn w:val="a0"/>
    <w:uiPriority w:val="99"/>
    <w:semiHidden/>
    <w:unhideWhenUsed/>
    <w:rsid w:val="00E64E33"/>
    <w:rPr>
      <w:sz w:val="21"/>
      <w:szCs w:val="21"/>
    </w:rPr>
  </w:style>
  <w:style w:type="paragraph" w:styleId="af4">
    <w:name w:val="annotation text"/>
    <w:basedOn w:val="a"/>
    <w:link w:val="af5"/>
    <w:uiPriority w:val="99"/>
    <w:unhideWhenUsed/>
    <w:rsid w:val="00E64E33"/>
    <w:pPr>
      <w:jc w:val="left"/>
    </w:pPr>
  </w:style>
  <w:style w:type="character" w:customStyle="1" w:styleId="af5">
    <w:name w:val="批注文字 字符"/>
    <w:basedOn w:val="a0"/>
    <w:link w:val="af4"/>
    <w:uiPriority w:val="99"/>
    <w:rsid w:val="00E64E3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64E33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E64E33"/>
    <w:rPr>
      <w:b/>
      <w:bCs/>
    </w:rPr>
  </w:style>
  <w:style w:type="paragraph" w:styleId="af8">
    <w:name w:val="Revision"/>
    <w:hidden/>
    <w:uiPriority w:val="99"/>
    <w:semiHidden/>
    <w:rsid w:val="003345BA"/>
  </w:style>
  <w:style w:type="paragraph" w:customStyle="1" w:styleId="Default">
    <w:name w:val="Default"/>
    <w:rsid w:val="006B558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404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7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1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3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2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5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0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7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0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1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2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4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1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4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38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69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0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68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9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10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1297</Words>
  <Characters>7393</Characters>
  <Application>Microsoft Office Word</Application>
  <DocSecurity>0</DocSecurity>
  <Lines>61</Lines>
  <Paragraphs>17</Paragraphs>
  <ScaleCrop>false</ScaleCrop>
  <Company>BeiGene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Zou</dc:creator>
  <cp:keywords/>
  <dc:description/>
  <cp:lastModifiedBy>Xiangkun Wang</cp:lastModifiedBy>
  <cp:revision>3</cp:revision>
  <dcterms:created xsi:type="dcterms:W3CDTF">2025-05-09T09:13:00Z</dcterms:created>
  <dcterms:modified xsi:type="dcterms:W3CDTF">2025-05-09T09:13:00Z</dcterms:modified>
</cp:coreProperties>
</file>