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2F" w:rsidRDefault="00064EFF" w:rsidP="00196130">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国机重型装备集团股份有限公司</w:t>
      </w:r>
    </w:p>
    <w:p w:rsidR="000A7B2F" w:rsidRDefault="00064EFF" w:rsidP="00196130">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投资者关系活动记录表</w:t>
      </w:r>
    </w:p>
    <w:p w:rsidR="000A7B2F" w:rsidRDefault="00064EFF">
      <w:pPr>
        <w:spacing w:line="400" w:lineRule="exact"/>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                                                      编号：2025-</w:t>
      </w:r>
      <w:r>
        <w:rPr>
          <w:rFonts w:asciiTheme="minorEastAsia" w:eastAsiaTheme="minorEastAsia" w:hAnsiTheme="minorEastAsia"/>
          <w:bCs/>
          <w:iCs/>
          <w:sz w:val="24"/>
          <w:szCs w:val="24"/>
        </w:rPr>
        <w:t>0</w:t>
      </w:r>
      <w:r>
        <w:rPr>
          <w:rFonts w:asciiTheme="minorEastAsia" w:eastAsiaTheme="minorEastAsia" w:hAnsiTheme="minorEastAsia" w:hint="eastAsia"/>
          <w:bCs/>
          <w:iCs/>
          <w:sz w:val="24"/>
          <w:szCs w:val="24"/>
        </w:rPr>
        <w:t>1</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6614"/>
      </w:tblGrid>
      <w:tr w:rsidR="000A7B2F">
        <w:trPr>
          <w:jc w:val="center"/>
        </w:trPr>
        <w:tc>
          <w:tcPr>
            <w:tcW w:w="2325" w:type="dxa"/>
            <w:shd w:val="clear" w:color="auto" w:fill="auto"/>
            <w:vAlign w:val="center"/>
          </w:tcPr>
          <w:p w:rsidR="000A7B2F" w:rsidRDefault="00064EFF">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投资者关系活动类别</w:t>
            </w:r>
          </w:p>
        </w:tc>
        <w:tc>
          <w:tcPr>
            <w:tcW w:w="6614" w:type="dxa"/>
            <w:shd w:val="clear" w:color="auto" w:fill="auto"/>
            <w:vAlign w:val="center"/>
          </w:tcPr>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特定对象调研        </w:t>
            </w:r>
            <w:r>
              <w:rPr>
                <w:rFonts w:asciiTheme="minorEastAsia" w:eastAsiaTheme="minorEastAsia" w:hAnsiTheme="minorEastAsia" w:hint="eastAsia"/>
                <w:bCs/>
                <w:iCs/>
                <w:szCs w:val="21"/>
              </w:rPr>
              <w:t>□</w:t>
            </w:r>
            <w:r>
              <w:rPr>
                <w:rFonts w:asciiTheme="minorEastAsia" w:eastAsiaTheme="minorEastAsia" w:hAnsiTheme="minorEastAsia" w:hint="eastAsia"/>
                <w:szCs w:val="21"/>
              </w:rPr>
              <w:t>分析师会议</w:t>
            </w:r>
          </w:p>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媒体采访            √业绩说明会</w:t>
            </w:r>
          </w:p>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新闻发布会          </w:t>
            </w:r>
            <w:r>
              <w:rPr>
                <w:rFonts w:asciiTheme="minorEastAsia" w:eastAsiaTheme="minorEastAsia" w:hAnsiTheme="minorEastAsia" w:hint="eastAsia"/>
                <w:bCs/>
                <w:iCs/>
                <w:szCs w:val="21"/>
              </w:rPr>
              <w:t>□</w:t>
            </w:r>
            <w:r>
              <w:rPr>
                <w:rFonts w:asciiTheme="minorEastAsia" w:eastAsiaTheme="minorEastAsia" w:hAnsiTheme="minorEastAsia" w:hint="eastAsia"/>
                <w:szCs w:val="21"/>
              </w:rPr>
              <w:t>路演活动</w:t>
            </w:r>
          </w:p>
          <w:p w:rsidR="000A7B2F" w:rsidRDefault="00064EFF">
            <w:pPr>
              <w:tabs>
                <w:tab w:val="left" w:pos="3045"/>
                <w:tab w:val="center" w:pos="3199"/>
              </w:tabs>
              <w:rPr>
                <w:rFonts w:asciiTheme="minorEastAsia" w:eastAsiaTheme="minorEastAsia" w:hAnsiTheme="minorEastAsia"/>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现场参观            </w:t>
            </w:r>
            <w:r>
              <w:rPr>
                <w:rFonts w:asciiTheme="minorEastAsia" w:eastAsiaTheme="minorEastAsia" w:hAnsiTheme="minorEastAsia" w:hint="eastAsia"/>
                <w:bCs/>
                <w:iCs/>
                <w:szCs w:val="21"/>
              </w:rPr>
              <w:t>□</w:t>
            </w:r>
            <w:r>
              <w:rPr>
                <w:rFonts w:asciiTheme="minorEastAsia" w:eastAsiaTheme="minorEastAsia" w:hAnsiTheme="minorEastAsia" w:hint="eastAsia"/>
                <w:szCs w:val="21"/>
              </w:rPr>
              <w:t>其他</w:t>
            </w:r>
          </w:p>
        </w:tc>
      </w:tr>
      <w:tr w:rsidR="000A7B2F">
        <w:trPr>
          <w:jc w:val="center"/>
        </w:trPr>
        <w:tc>
          <w:tcPr>
            <w:tcW w:w="2325" w:type="dxa"/>
            <w:shd w:val="clear" w:color="auto" w:fill="auto"/>
            <w:vAlign w:val="center"/>
          </w:tcPr>
          <w:p w:rsidR="000A7B2F" w:rsidRDefault="00064EFF">
            <w:pPr>
              <w:rPr>
                <w:rFonts w:asciiTheme="minorEastAsia" w:eastAsiaTheme="minorEastAsia" w:hAnsiTheme="minorEastAsia"/>
                <w:b/>
                <w:bCs/>
                <w:iCs/>
                <w:szCs w:val="21"/>
              </w:rPr>
            </w:pPr>
            <w:r>
              <w:rPr>
                <w:rFonts w:asciiTheme="minorEastAsia" w:eastAsiaTheme="minorEastAsia" w:hAnsiTheme="minorEastAsia" w:hint="eastAsia"/>
                <w:b/>
                <w:bCs/>
                <w:iCs/>
                <w:szCs w:val="21"/>
              </w:rPr>
              <w:t>参与单位名称</w:t>
            </w:r>
          </w:p>
        </w:tc>
        <w:tc>
          <w:tcPr>
            <w:tcW w:w="6614" w:type="dxa"/>
            <w:shd w:val="clear" w:color="auto" w:fill="auto"/>
            <w:vAlign w:val="center"/>
          </w:tcPr>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长城证券股份有限公司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华泰证券股份有限公司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中信证券股份有限公司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中信建投证券股份有限公司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华创证券有限责任公司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国泰海通证券股份有限公司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东方证券股份有限公司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浙商证券股份有限公司</w:t>
            </w:r>
          </w:p>
          <w:p w:rsidR="000A7B2F" w:rsidRDefault="00064EFF">
            <w:pPr>
              <w:rPr>
                <w:rFonts w:asciiTheme="minorEastAsia" w:eastAsiaTheme="minorEastAsia" w:hAnsiTheme="minorEastAsia"/>
                <w:iCs/>
                <w:szCs w:val="21"/>
              </w:rPr>
            </w:pPr>
            <w:r>
              <w:rPr>
                <w:rFonts w:asciiTheme="minorEastAsia" w:eastAsiaTheme="minorEastAsia" w:hAnsiTheme="minorEastAsia"/>
                <w:iCs/>
                <w:szCs w:val="21"/>
              </w:rPr>
              <w:t>（以上排名不分先后）</w:t>
            </w:r>
          </w:p>
          <w:p w:rsidR="000A7B2F" w:rsidRDefault="00064EFF">
            <w:pPr>
              <w:rPr>
                <w:rFonts w:asciiTheme="minorEastAsia" w:eastAsiaTheme="minorEastAsia" w:hAnsiTheme="minorEastAsia"/>
                <w:iCs/>
                <w:sz w:val="18"/>
                <w:szCs w:val="21"/>
              </w:rPr>
            </w:pPr>
            <w:r>
              <w:rPr>
                <w:rFonts w:asciiTheme="minorEastAsia" w:eastAsiaTheme="minorEastAsia" w:hAnsiTheme="minorEastAsia" w:hint="eastAsia"/>
                <w:iCs/>
                <w:szCs w:val="21"/>
              </w:rPr>
              <w:t>线上参与公司业绩说明会的投资者</w:t>
            </w:r>
          </w:p>
        </w:tc>
      </w:tr>
      <w:tr w:rsidR="000A7B2F">
        <w:trPr>
          <w:jc w:val="center"/>
        </w:trPr>
        <w:tc>
          <w:tcPr>
            <w:tcW w:w="2325" w:type="dxa"/>
            <w:shd w:val="clear" w:color="auto" w:fill="auto"/>
            <w:vAlign w:val="center"/>
          </w:tcPr>
          <w:p w:rsidR="000A7B2F" w:rsidRDefault="00064EFF">
            <w:pPr>
              <w:rPr>
                <w:rFonts w:asciiTheme="minorEastAsia" w:eastAsiaTheme="minorEastAsia" w:hAnsiTheme="minorEastAsia"/>
                <w:b/>
                <w:bCs/>
                <w:iCs/>
                <w:szCs w:val="21"/>
              </w:rPr>
            </w:pPr>
            <w:r>
              <w:rPr>
                <w:rFonts w:asciiTheme="minorEastAsia" w:eastAsiaTheme="minorEastAsia" w:hAnsiTheme="minorEastAsia" w:hint="eastAsia"/>
                <w:b/>
                <w:bCs/>
                <w:iCs/>
                <w:szCs w:val="21"/>
              </w:rPr>
              <w:t>时间</w:t>
            </w:r>
          </w:p>
        </w:tc>
        <w:tc>
          <w:tcPr>
            <w:tcW w:w="6614" w:type="dxa"/>
            <w:shd w:val="clear" w:color="auto" w:fill="auto"/>
            <w:vAlign w:val="center"/>
          </w:tcPr>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2025年4月28日</w:t>
            </w:r>
          </w:p>
        </w:tc>
      </w:tr>
      <w:tr w:rsidR="000A7B2F">
        <w:trPr>
          <w:jc w:val="center"/>
        </w:trPr>
        <w:tc>
          <w:tcPr>
            <w:tcW w:w="2325" w:type="dxa"/>
            <w:shd w:val="clear" w:color="auto" w:fill="auto"/>
            <w:vAlign w:val="center"/>
          </w:tcPr>
          <w:p w:rsidR="000A7B2F" w:rsidRDefault="00064EFF">
            <w:pPr>
              <w:rPr>
                <w:rFonts w:asciiTheme="minorEastAsia" w:eastAsiaTheme="minorEastAsia" w:hAnsiTheme="minorEastAsia"/>
                <w:b/>
                <w:bCs/>
                <w:iCs/>
                <w:szCs w:val="21"/>
              </w:rPr>
            </w:pPr>
            <w:r>
              <w:rPr>
                <w:rFonts w:asciiTheme="minorEastAsia" w:eastAsiaTheme="minorEastAsia" w:hAnsiTheme="minorEastAsia" w:hint="eastAsia"/>
                <w:b/>
                <w:bCs/>
                <w:iCs/>
                <w:szCs w:val="21"/>
              </w:rPr>
              <w:t>地点</w:t>
            </w:r>
          </w:p>
        </w:tc>
        <w:tc>
          <w:tcPr>
            <w:tcW w:w="6614" w:type="dxa"/>
            <w:shd w:val="clear" w:color="auto" w:fill="auto"/>
            <w:vAlign w:val="center"/>
          </w:tcPr>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上证路演中心</w:t>
            </w:r>
          </w:p>
        </w:tc>
      </w:tr>
      <w:tr w:rsidR="000A7B2F">
        <w:trPr>
          <w:jc w:val="center"/>
        </w:trPr>
        <w:tc>
          <w:tcPr>
            <w:tcW w:w="2325" w:type="dxa"/>
            <w:shd w:val="clear" w:color="auto" w:fill="auto"/>
            <w:vAlign w:val="center"/>
          </w:tcPr>
          <w:p w:rsidR="000A7B2F" w:rsidRDefault="00064EFF">
            <w:pPr>
              <w:rPr>
                <w:rFonts w:asciiTheme="minorEastAsia" w:eastAsiaTheme="minorEastAsia" w:hAnsiTheme="minorEastAsia"/>
                <w:b/>
                <w:bCs/>
                <w:iCs/>
                <w:szCs w:val="21"/>
              </w:rPr>
            </w:pPr>
            <w:r>
              <w:rPr>
                <w:rFonts w:asciiTheme="minorEastAsia" w:eastAsiaTheme="minorEastAsia" w:hAnsiTheme="minorEastAsia" w:hint="eastAsia"/>
                <w:b/>
                <w:bCs/>
                <w:iCs/>
                <w:szCs w:val="21"/>
              </w:rPr>
              <w:t>上市公司接待人员姓名</w:t>
            </w:r>
          </w:p>
        </w:tc>
        <w:tc>
          <w:tcPr>
            <w:tcW w:w="6614" w:type="dxa"/>
            <w:shd w:val="clear" w:color="auto" w:fill="auto"/>
            <w:vAlign w:val="center"/>
          </w:tcPr>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公司董事长：韩晓军</w:t>
            </w:r>
          </w:p>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公司董事、总经理：王晖球</w:t>
            </w:r>
          </w:p>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公司独立董事：李晓明</w:t>
            </w:r>
          </w:p>
          <w:p w:rsidR="000A7B2F" w:rsidRDefault="00064EFF">
            <w:pPr>
              <w:rPr>
                <w:rFonts w:asciiTheme="minorEastAsia" w:eastAsiaTheme="minorEastAsia" w:hAnsiTheme="minorEastAsia"/>
                <w:bCs/>
                <w:iCs/>
                <w:szCs w:val="21"/>
              </w:rPr>
            </w:pPr>
            <w:r>
              <w:rPr>
                <w:rFonts w:asciiTheme="minorEastAsia" w:eastAsiaTheme="minorEastAsia" w:hAnsiTheme="minorEastAsia" w:hint="eastAsia"/>
                <w:bCs/>
                <w:iCs/>
                <w:szCs w:val="21"/>
              </w:rPr>
              <w:t>公司副总经理、董事会秘书：李俊辉</w:t>
            </w:r>
          </w:p>
        </w:tc>
      </w:tr>
      <w:tr w:rsidR="000A7B2F">
        <w:trPr>
          <w:trHeight w:val="1757"/>
          <w:jc w:val="center"/>
        </w:trPr>
        <w:tc>
          <w:tcPr>
            <w:tcW w:w="2325" w:type="dxa"/>
            <w:shd w:val="clear" w:color="auto" w:fill="auto"/>
            <w:vAlign w:val="center"/>
          </w:tcPr>
          <w:p w:rsidR="000A7B2F" w:rsidRDefault="00064EFF">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投资者关系活动主要内容介绍</w:t>
            </w:r>
          </w:p>
        </w:tc>
        <w:tc>
          <w:tcPr>
            <w:tcW w:w="6614" w:type="dxa"/>
            <w:shd w:val="clear" w:color="auto" w:fill="auto"/>
            <w:vAlign w:val="center"/>
          </w:tcPr>
          <w:p w:rsidR="000A7B2F" w:rsidRDefault="00064EFF">
            <w:pPr>
              <w:ind w:firstLineChars="200" w:firstLine="420"/>
              <w:rPr>
                <w:rFonts w:ascii="宋体" w:hAnsi="宋体" w:cs="仿宋_GB2312"/>
                <w:bCs/>
                <w:szCs w:val="21"/>
              </w:rPr>
            </w:pPr>
            <w:r>
              <w:rPr>
                <w:rFonts w:ascii="宋体" w:hAnsi="宋体" w:hint="eastAsia"/>
                <w:color w:val="000000"/>
                <w:szCs w:val="21"/>
              </w:rPr>
              <w:t>公司于2025年4月28日在上证路演中心</w:t>
            </w:r>
            <w:r>
              <w:rPr>
                <w:rFonts w:ascii="宋体" w:hAnsi="宋体" w:cs="宋体"/>
                <w:kern w:val="0"/>
                <w:szCs w:val="21"/>
              </w:rPr>
              <w:t>以“新质生产力+‘一带一路’双赋能，助力公司高质量发展”为主题，采用现场直播与网络互动相结合的方式</w:t>
            </w:r>
            <w:r>
              <w:rPr>
                <w:rFonts w:ascii="宋体" w:hAnsi="宋体" w:hint="eastAsia"/>
                <w:color w:val="000000"/>
                <w:szCs w:val="21"/>
              </w:rPr>
              <w:t>举办了2024年度暨2025年第一季度业绩说明会。</w:t>
            </w:r>
          </w:p>
          <w:p w:rsidR="000A7B2F" w:rsidRDefault="00064EFF" w:rsidP="00517064">
            <w:pPr>
              <w:pStyle w:val="2"/>
              <w:keepNext w:val="0"/>
              <w:keepLines w:val="0"/>
              <w:spacing w:before="0" w:after="0" w:line="240" w:lineRule="auto"/>
              <w:ind w:firstLineChars="200" w:firstLine="422"/>
              <w:rPr>
                <w:rFonts w:asciiTheme="minorEastAsia" w:eastAsiaTheme="minorEastAsia" w:hAnsiTheme="minorEastAsia" w:cs="仿宋_GB2312"/>
                <w:bCs w:val="0"/>
                <w:sz w:val="21"/>
                <w:szCs w:val="21"/>
              </w:rPr>
            </w:pPr>
            <w:r>
              <w:rPr>
                <w:rFonts w:asciiTheme="minorEastAsia" w:eastAsiaTheme="minorEastAsia" w:hAnsiTheme="minorEastAsia" w:cs="仿宋_GB2312" w:hint="eastAsia"/>
                <w:bCs w:val="0"/>
                <w:sz w:val="21"/>
                <w:szCs w:val="21"/>
              </w:rPr>
              <w:t>一、公司经营情况介绍</w:t>
            </w:r>
          </w:p>
          <w:p w:rsidR="000A7B2F" w:rsidRDefault="00064EFF">
            <w:pPr>
              <w:pStyle w:val="a3"/>
              <w:spacing w:after="0"/>
              <w:ind w:firstLineChars="200" w:firstLine="420"/>
              <w:rPr>
                <w:rFonts w:asciiTheme="minorEastAsia" w:eastAsiaTheme="minorEastAsia" w:hAnsiTheme="minorEastAsia" w:cstheme="minorBidi"/>
              </w:rPr>
            </w:pPr>
            <w:r>
              <w:rPr>
                <w:rFonts w:asciiTheme="minorEastAsia" w:eastAsiaTheme="minorEastAsia" w:hAnsiTheme="minorEastAsia" w:cstheme="minorBidi" w:hint="eastAsia"/>
              </w:rPr>
              <w:t>2024年，公司实现营业收入126.74亿元,同比增长12.58%；利润总额5.65亿元，同比增长9.51%；合同成交额176.74亿元，同比增长23.70%。营业收入、利润总额、合同成交额均创历史新高。</w:t>
            </w:r>
          </w:p>
          <w:p w:rsidR="000A7B2F" w:rsidRDefault="00064EFF">
            <w:pPr>
              <w:pStyle w:val="a3"/>
              <w:spacing w:after="0"/>
              <w:ind w:firstLineChars="200" w:firstLine="420"/>
              <w:rPr>
                <w:rFonts w:asciiTheme="minorEastAsia" w:eastAsiaTheme="minorEastAsia" w:hAnsiTheme="minorEastAsia" w:cs="Arial"/>
                <w:shd w:val="clear" w:color="auto" w:fill="FFFFFF"/>
              </w:rPr>
            </w:pPr>
            <w:r>
              <w:rPr>
                <w:rFonts w:asciiTheme="minorEastAsia" w:eastAsiaTheme="minorEastAsia" w:hAnsiTheme="minorEastAsia" w:cs="Arial" w:hint="eastAsia"/>
                <w:shd w:val="clear" w:color="auto" w:fill="FFFFFF"/>
              </w:rPr>
              <w:t>今年一季度公司实现营业收入34.81亿元，同比增长21.24%；利润总额1.37亿元，同比增长14.35%；合同新签额</w:t>
            </w:r>
            <w:r>
              <w:rPr>
                <w:rFonts w:asciiTheme="minorEastAsia" w:eastAsiaTheme="minorEastAsia" w:hAnsiTheme="minorEastAsia" w:cs="Arial"/>
                <w:shd w:val="clear" w:color="auto" w:fill="FFFFFF"/>
              </w:rPr>
              <w:t>124.54</w:t>
            </w:r>
            <w:r>
              <w:rPr>
                <w:rFonts w:asciiTheme="minorEastAsia" w:eastAsiaTheme="minorEastAsia" w:hAnsiTheme="minorEastAsia" w:cs="Arial" w:hint="eastAsia"/>
                <w:shd w:val="clear" w:color="auto" w:fill="FFFFFF"/>
              </w:rPr>
              <w:t>亿元，同比增长</w:t>
            </w:r>
            <w:r>
              <w:rPr>
                <w:rFonts w:asciiTheme="minorEastAsia" w:eastAsiaTheme="minorEastAsia" w:hAnsiTheme="minorEastAsia" w:cs="Arial"/>
                <w:shd w:val="clear" w:color="auto" w:fill="FFFFFF"/>
              </w:rPr>
              <w:t>80.54</w:t>
            </w:r>
            <w:r>
              <w:rPr>
                <w:rFonts w:asciiTheme="minorEastAsia" w:eastAsiaTheme="minorEastAsia" w:hAnsiTheme="minorEastAsia" w:cs="Arial" w:hint="eastAsia"/>
                <w:shd w:val="clear" w:color="auto" w:fill="FFFFFF"/>
              </w:rPr>
              <w:t>%，顺利实现首季“开门红”。</w:t>
            </w:r>
          </w:p>
          <w:p w:rsidR="000A7B2F" w:rsidRDefault="00064EFF" w:rsidP="00517064">
            <w:pPr>
              <w:ind w:firstLineChars="200" w:firstLine="422"/>
              <w:rPr>
                <w:rFonts w:asciiTheme="minorEastAsia" w:eastAsiaTheme="minorEastAsia" w:hAnsiTheme="minorEastAsia"/>
                <w:b/>
              </w:rPr>
            </w:pPr>
            <w:r>
              <w:rPr>
                <w:rFonts w:asciiTheme="minorEastAsia" w:eastAsiaTheme="minorEastAsia" w:hAnsiTheme="minorEastAsia" w:hint="eastAsia"/>
                <w:b/>
              </w:rPr>
              <w:t>二、问答环节主要内容</w:t>
            </w:r>
          </w:p>
          <w:p w:rsidR="000A7B2F" w:rsidRDefault="00064EFF" w:rsidP="00517064">
            <w:pPr>
              <w:pStyle w:val="2"/>
              <w:keepNext w:val="0"/>
              <w:keepLines w:val="0"/>
              <w:spacing w:before="0" w:after="0" w:line="240" w:lineRule="auto"/>
              <w:ind w:firstLineChars="200" w:firstLine="422"/>
              <w:rPr>
                <w:rFonts w:asciiTheme="minorEastAsia" w:eastAsiaTheme="minorEastAsia" w:hAnsiTheme="minorEastAsia" w:cs="Times New Roman"/>
                <w:bCs w:val="0"/>
                <w:sz w:val="21"/>
                <w:szCs w:val="20"/>
              </w:rPr>
            </w:pPr>
            <w:r>
              <w:rPr>
                <w:rFonts w:asciiTheme="minorEastAsia" w:eastAsiaTheme="minorEastAsia" w:hAnsiTheme="minorEastAsia" w:hint="eastAsia"/>
                <w:bCs w:val="0"/>
                <w:sz w:val="21"/>
                <w:szCs w:val="21"/>
              </w:rPr>
              <w:t>1</w:t>
            </w:r>
            <w:r>
              <w:rPr>
                <w:rFonts w:asciiTheme="minorEastAsia" w:eastAsiaTheme="minorEastAsia" w:hAnsiTheme="minorEastAsia" w:cs="Times New Roman" w:hint="eastAsia"/>
                <w:bCs w:val="0"/>
                <w:sz w:val="21"/>
                <w:szCs w:val="20"/>
              </w:rPr>
              <w:t>.公司2024年核能装备的营业收入是多少？订单是多少？公司的核能装备在一台核电机组中的价值量大概是多少，占比大概是多少？生产周期大概是多少？</w:t>
            </w:r>
          </w:p>
          <w:p w:rsidR="000A7B2F" w:rsidRDefault="00064EFF">
            <w:pPr>
              <w:ind w:firstLineChars="200" w:firstLine="420"/>
              <w:rPr>
                <w:rFonts w:ascii="宋体" w:hAnsi="宋体"/>
                <w:szCs w:val="21"/>
              </w:rPr>
            </w:pPr>
            <w:r>
              <w:rPr>
                <w:rFonts w:ascii="宋体" w:hAnsi="宋体" w:hint="eastAsia"/>
                <w:szCs w:val="21"/>
              </w:rPr>
              <w:t>2024年公司核能装备营业收入6.80亿元，同比增长88.37%。2024年核能装备的订单为16.63亿元，同比增长48.88%。</w:t>
            </w:r>
          </w:p>
          <w:p w:rsidR="000A7B2F" w:rsidRDefault="00064EFF">
            <w:pPr>
              <w:ind w:firstLineChars="200" w:firstLine="420"/>
              <w:rPr>
                <w:rFonts w:ascii="仿宋_GB2312" w:eastAsia="仿宋_GB2312"/>
                <w:sz w:val="32"/>
                <w:szCs w:val="32"/>
              </w:rPr>
            </w:pPr>
            <w:r>
              <w:rPr>
                <w:rFonts w:ascii="宋体" w:hAnsi="宋体" w:cs="仿宋_GB2312" w:hint="eastAsia"/>
                <w:szCs w:val="21"/>
              </w:rPr>
              <w:t>公司核电装备主要供货产品有主管道及波动管、堆芯补水箱、主泵泵壳、主设备支撑、核岛和常规岛铸锻件，在一台核电机组中的价值量约</w:t>
            </w:r>
            <w:r>
              <w:rPr>
                <w:rFonts w:ascii="宋体" w:hAnsi="宋体" w:cs="仿宋_GB2312"/>
                <w:szCs w:val="21"/>
              </w:rPr>
              <w:t>5-6</w:t>
            </w:r>
            <w:r>
              <w:rPr>
                <w:rFonts w:ascii="宋体" w:hAnsi="宋体" w:cs="仿宋_GB2312" w:hint="eastAsia"/>
                <w:szCs w:val="21"/>
              </w:rPr>
              <w:t>亿元，占比约5%。生产周期按产品种类划分，铸锻件约6</w:t>
            </w:r>
            <w:r>
              <w:rPr>
                <w:rFonts w:ascii="宋体" w:hAnsi="宋体" w:cs="仿宋_GB2312" w:hint="eastAsia"/>
                <w:szCs w:val="21"/>
              </w:rPr>
              <w:lastRenderedPageBreak/>
              <w:t>到12个月，核岛主设备约20到30个月。</w:t>
            </w:r>
          </w:p>
          <w:p w:rsidR="000A7B2F" w:rsidRDefault="00064EFF" w:rsidP="00517064">
            <w:pPr>
              <w:ind w:firstLineChars="200" w:firstLine="422"/>
              <w:rPr>
                <w:rFonts w:ascii="宋体" w:hAnsi="宋体"/>
                <w:b/>
                <w:szCs w:val="21"/>
              </w:rPr>
            </w:pPr>
            <w:r>
              <w:rPr>
                <w:rFonts w:ascii="宋体" w:hAnsi="宋体" w:hint="eastAsia"/>
                <w:b/>
                <w:szCs w:val="21"/>
              </w:rPr>
              <w:t>2.公司抽水蓄项目审批怎么样了，什么时候开工建设？</w:t>
            </w:r>
          </w:p>
          <w:p w:rsidR="000A7B2F" w:rsidRDefault="00064EFF">
            <w:pPr>
              <w:ind w:firstLineChars="200" w:firstLine="420"/>
              <w:rPr>
                <w:rFonts w:ascii="宋体" w:hAnsi="宋体" w:cs="仿宋_GB2312"/>
                <w:bCs/>
                <w:szCs w:val="21"/>
              </w:rPr>
            </w:pPr>
            <w:r>
              <w:rPr>
                <w:rFonts w:ascii="宋体" w:hAnsi="宋体" w:cs="仿宋_GB2312" w:hint="eastAsia"/>
                <w:bCs/>
                <w:szCs w:val="21"/>
              </w:rPr>
              <w:t>公司上达岱抽水蓄能项目已履行董事会决策等公司内部审批程序，目前其他合作方在加快推进其内部审批事项，后续待履行完境内外相关部门、机构审批后尽快开工建设。</w:t>
            </w:r>
          </w:p>
          <w:p w:rsidR="000A7B2F" w:rsidRDefault="00064EFF">
            <w:pPr>
              <w:ind w:firstLineChars="200" w:firstLine="420"/>
              <w:rPr>
                <w:rFonts w:ascii="宋体" w:hAnsi="宋体" w:cs="仿宋_GB2312"/>
                <w:bCs/>
                <w:szCs w:val="21"/>
              </w:rPr>
            </w:pPr>
            <w:r>
              <w:rPr>
                <w:rFonts w:ascii="宋体" w:hAnsi="宋体" w:cs="仿宋_GB2312" w:hint="eastAsia"/>
                <w:bCs/>
                <w:szCs w:val="21"/>
              </w:rPr>
              <w:t>该项目是公司打造柬埔寨达岱综合能源基地的重要举措，有利于提升公司整体盈利水平和经营效益。该项目的实施将进一步提升公司在“一带一路”市场的知名度和影响力。</w:t>
            </w:r>
          </w:p>
          <w:p w:rsidR="000A7B2F" w:rsidRDefault="00064EFF" w:rsidP="00517064">
            <w:pPr>
              <w:ind w:firstLineChars="200" w:firstLine="422"/>
              <w:rPr>
                <w:rFonts w:ascii="宋体" w:hAnsi="宋体"/>
                <w:b/>
                <w:szCs w:val="21"/>
              </w:rPr>
            </w:pPr>
            <w:r>
              <w:rPr>
                <w:rFonts w:ascii="宋体" w:hAnsi="宋体" w:hint="eastAsia"/>
                <w:b/>
                <w:szCs w:val="21"/>
              </w:rPr>
              <w:t>3.公司有哪方面的前沿科技及应用？</w:t>
            </w:r>
          </w:p>
          <w:p w:rsidR="000A7B2F" w:rsidRDefault="00064EFF">
            <w:pPr>
              <w:ind w:firstLineChars="200" w:firstLine="420"/>
              <w:rPr>
                <w:rFonts w:ascii="宋体" w:hAnsi="宋体" w:cs="仿宋_GB2312"/>
                <w:bCs/>
                <w:szCs w:val="21"/>
              </w:rPr>
            </w:pPr>
            <w:r>
              <w:rPr>
                <w:rFonts w:ascii="宋体" w:hAnsi="宋体" w:cs="仿宋_GB2312" w:hint="eastAsia"/>
                <w:bCs/>
                <w:szCs w:val="21"/>
              </w:rPr>
              <w:t>公司拥有以金属成形技术与重型装备全国重点实验室、大型铸锻件先进制造技术及装备国家工</w:t>
            </w:r>
            <w:bookmarkStart w:id="0" w:name="_GoBack"/>
            <w:bookmarkEnd w:id="0"/>
            <w:r>
              <w:rPr>
                <w:rFonts w:ascii="宋体" w:hAnsi="宋体" w:cs="仿宋_GB2312" w:hint="eastAsia"/>
                <w:bCs/>
                <w:szCs w:val="21"/>
              </w:rPr>
              <w:t>程研究中心等为代表的32个省部级以上研发创新与产业化平台，牵头组建国家实验室预备队——“旌湖实验室”，强力支撑国家战略和地区产业发展，护航国家高端装备产业链供应链安全。公司聚焦“前沿技术突破、新兴产业培育、未来产业布局”，加快发展战略性新兴产业和未来产业，包括可控核聚变技术、飞轮储能技术等。</w:t>
            </w:r>
          </w:p>
          <w:p w:rsidR="000A7B2F" w:rsidRDefault="00064EFF" w:rsidP="00517064">
            <w:pPr>
              <w:ind w:firstLineChars="200" w:firstLine="422"/>
              <w:rPr>
                <w:rFonts w:ascii="宋体" w:hAnsi="宋体"/>
                <w:b/>
                <w:szCs w:val="21"/>
              </w:rPr>
            </w:pPr>
            <w:r>
              <w:rPr>
                <w:rFonts w:ascii="宋体" w:hAnsi="宋体" w:hint="eastAsia"/>
                <w:b/>
                <w:szCs w:val="21"/>
              </w:rPr>
              <w:t>4.公司是否将市值管理纳入负责人业绩考核？下一步关于市值管理是否有相关举措？</w:t>
            </w:r>
          </w:p>
          <w:p w:rsidR="000A7B2F" w:rsidRDefault="00064EFF">
            <w:pPr>
              <w:ind w:firstLineChars="200" w:firstLine="420"/>
              <w:rPr>
                <w:rFonts w:ascii="宋体" w:hAnsi="宋体" w:cs="仿宋_GB2312"/>
                <w:bCs/>
                <w:szCs w:val="21"/>
              </w:rPr>
            </w:pPr>
            <w:r>
              <w:rPr>
                <w:rFonts w:ascii="宋体" w:hAnsi="宋体" w:cs="仿宋_GB2312" w:hint="eastAsia"/>
                <w:bCs/>
                <w:szCs w:val="21"/>
              </w:rPr>
              <w:t>公司已按照相关制度规定，将市值管理工作纳入部分高级管理人员的考核、激励中。同时，公司控股股东国机集团已将市值管理工作纳入对公司主要负责人的业绩考核。</w:t>
            </w:r>
          </w:p>
          <w:p w:rsidR="000A7B2F" w:rsidRDefault="00064EFF">
            <w:pPr>
              <w:ind w:firstLineChars="200" w:firstLine="420"/>
              <w:rPr>
                <w:rFonts w:ascii="宋体" w:hAnsi="宋体" w:cs="仿宋_GB2312"/>
                <w:bCs/>
                <w:szCs w:val="21"/>
              </w:rPr>
            </w:pPr>
            <w:r>
              <w:rPr>
                <w:rFonts w:ascii="宋体" w:hAnsi="宋体" w:cs="仿宋_GB2312" w:hint="eastAsia"/>
                <w:bCs/>
                <w:szCs w:val="21"/>
              </w:rPr>
              <w:t>公司始终高度重视市值管理工作。</w:t>
            </w:r>
            <w:r>
              <w:rPr>
                <w:rFonts w:ascii="宋体" w:hAnsi="宋体" w:cs="仿宋_GB2312" w:hint="eastAsia"/>
                <w:szCs w:val="21"/>
              </w:rPr>
              <w:t>一是</w:t>
            </w:r>
            <w:r>
              <w:rPr>
                <w:rFonts w:ascii="宋体" w:hAnsi="宋体" w:cs="仿宋_GB2312" w:hint="eastAsia"/>
                <w:bCs/>
                <w:szCs w:val="21"/>
              </w:rPr>
              <w:t>以提高上市公司质量为目标，不断提升公司核心竞争力保证公司持续稳定向好发展。</w:t>
            </w:r>
            <w:r>
              <w:rPr>
                <w:rFonts w:ascii="宋体" w:hAnsi="宋体" w:cs="仿宋_GB2312" w:hint="eastAsia"/>
                <w:szCs w:val="21"/>
              </w:rPr>
              <w:t>二是</w:t>
            </w:r>
            <w:r>
              <w:rPr>
                <w:rFonts w:ascii="宋体" w:hAnsi="宋体" w:cs="仿宋_GB2312" w:hint="eastAsia"/>
                <w:bCs/>
                <w:szCs w:val="21"/>
              </w:rPr>
              <w:t>通过业绩说明会、反向路演、分析师调研座谈、财经媒体等多种渠道多种方式积极传递公司投资价值，增强市场及投资者对公司的了解和认可。</w:t>
            </w:r>
            <w:r>
              <w:rPr>
                <w:rFonts w:ascii="宋体" w:hAnsi="宋体" w:cs="仿宋_GB2312" w:hint="eastAsia"/>
                <w:szCs w:val="21"/>
              </w:rPr>
              <w:t>三是</w:t>
            </w:r>
            <w:r>
              <w:rPr>
                <w:rFonts w:ascii="宋体" w:hAnsi="宋体" w:cs="仿宋_GB2312" w:hint="eastAsia"/>
                <w:bCs/>
                <w:szCs w:val="21"/>
              </w:rPr>
              <w:t>探索引入积极股东，进一步优化公司股东结构，增强投资者对公司的信心和认可。</w:t>
            </w:r>
          </w:p>
          <w:p w:rsidR="000A7B2F" w:rsidRPr="00517064" w:rsidRDefault="00064EFF" w:rsidP="00517064">
            <w:pPr>
              <w:ind w:firstLineChars="200" w:firstLine="420"/>
              <w:rPr>
                <w:rFonts w:ascii="宋体" w:hAnsi="宋体" w:cs="仿宋_GB2312"/>
                <w:bCs/>
                <w:szCs w:val="21"/>
              </w:rPr>
            </w:pPr>
            <w:r>
              <w:rPr>
                <w:rFonts w:ascii="宋体" w:hAnsi="宋体" w:cs="仿宋_GB2312" w:hint="eastAsia"/>
                <w:bCs/>
                <w:szCs w:val="21"/>
              </w:rPr>
              <w:t>未来，公司</w:t>
            </w:r>
            <w:r>
              <w:rPr>
                <w:rFonts w:ascii="宋体" w:hAnsi="宋体" w:cs="仿宋_GB2312"/>
                <w:bCs/>
                <w:szCs w:val="21"/>
              </w:rPr>
              <w:t>将充分考虑公司的发展战略、财务状况、市场环境以及股东利益等多方面因素，</w:t>
            </w:r>
            <w:r>
              <w:rPr>
                <w:rFonts w:ascii="宋体" w:hAnsi="宋体" w:cs="仿宋_GB2312" w:hint="eastAsia"/>
                <w:bCs/>
                <w:szCs w:val="21"/>
              </w:rPr>
              <w:t>积极关注研究相关政策，做好市值维护。如有相关</w:t>
            </w:r>
            <w:r>
              <w:rPr>
                <w:rFonts w:ascii="宋体" w:hAnsi="宋体" w:cs="仿宋_GB2312"/>
                <w:bCs/>
                <w:szCs w:val="21"/>
              </w:rPr>
              <w:t>计划和安排，公司将严格按照相关法律法规和监管要求，及时履行信息披露义务，确保广大投资者能够及时、准确地了解相关信息。</w:t>
            </w:r>
          </w:p>
        </w:tc>
      </w:tr>
      <w:tr w:rsidR="000A7B2F">
        <w:trPr>
          <w:trHeight w:val="706"/>
          <w:jc w:val="center"/>
        </w:trPr>
        <w:tc>
          <w:tcPr>
            <w:tcW w:w="2325" w:type="dxa"/>
            <w:shd w:val="clear" w:color="auto" w:fill="auto"/>
            <w:vAlign w:val="center"/>
          </w:tcPr>
          <w:p w:rsidR="000A7B2F" w:rsidRDefault="00064EFF">
            <w:pPr>
              <w:jc w:val="center"/>
              <w:rPr>
                <w:rFonts w:asciiTheme="minorEastAsia" w:hAnsiTheme="minorEastAsia"/>
                <w:b/>
                <w:sz w:val="24"/>
                <w:szCs w:val="24"/>
              </w:rPr>
            </w:pPr>
            <w:r>
              <w:rPr>
                <w:rFonts w:asciiTheme="minorEastAsia" w:hAnsiTheme="minorEastAsia" w:hint="eastAsia"/>
                <w:b/>
                <w:sz w:val="24"/>
                <w:szCs w:val="24"/>
              </w:rPr>
              <w:lastRenderedPageBreak/>
              <w:t>附件清单</w:t>
            </w:r>
          </w:p>
          <w:p w:rsidR="000A7B2F" w:rsidRDefault="00064EFF">
            <w:pPr>
              <w:jc w:val="center"/>
              <w:rPr>
                <w:rFonts w:asciiTheme="minorEastAsia" w:hAnsiTheme="minorEastAsia"/>
                <w:b/>
                <w:sz w:val="24"/>
                <w:szCs w:val="24"/>
              </w:rPr>
            </w:pPr>
            <w:r>
              <w:rPr>
                <w:rFonts w:asciiTheme="minorEastAsia" w:hAnsiTheme="minorEastAsia" w:hint="eastAsia"/>
                <w:b/>
                <w:sz w:val="24"/>
                <w:szCs w:val="24"/>
              </w:rPr>
              <w:t>（如有）</w:t>
            </w:r>
          </w:p>
        </w:tc>
        <w:tc>
          <w:tcPr>
            <w:tcW w:w="6614" w:type="dxa"/>
            <w:shd w:val="clear" w:color="auto" w:fill="auto"/>
            <w:vAlign w:val="center"/>
          </w:tcPr>
          <w:p w:rsidR="000A7B2F" w:rsidRDefault="00064EFF">
            <w:pPr>
              <w:pStyle w:val="ac"/>
              <w:spacing w:line="360" w:lineRule="exact"/>
              <w:ind w:firstLineChars="0" w:firstLine="0"/>
              <w:rPr>
                <w:rFonts w:asciiTheme="minorEastAsia" w:hAnsiTheme="minorEastAsia"/>
                <w:b/>
                <w:sz w:val="24"/>
                <w:szCs w:val="21"/>
              </w:rPr>
            </w:pPr>
            <w:r>
              <w:rPr>
                <w:rFonts w:asciiTheme="minorEastAsia" w:hAnsiTheme="minorEastAsia" w:hint="eastAsia"/>
                <w:b/>
                <w:sz w:val="24"/>
                <w:szCs w:val="21"/>
              </w:rPr>
              <w:t>无</w:t>
            </w:r>
          </w:p>
        </w:tc>
      </w:tr>
      <w:tr w:rsidR="000A7B2F">
        <w:trPr>
          <w:trHeight w:val="460"/>
          <w:jc w:val="center"/>
        </w:trPr>
        <w:tc>
          <w:tcPr>
            <w:tcW w:w="2325" w:type="dxa"/>
            <w:shd w:val="clear" w:color="auto" w:fill="auto"/>
            <w:vAlign w:val="center"/>
          </w:tcPr>
          <w:p w:rsidR="000A7B2F" w:rsidRDefault="00064EFF">
            <w:pPr>
              <w:jc w:val="center"/>
              <w:rPr>
                <w:rFonts w:asciiTheme="minorEastAsia" w:hAnsiTheme="minorEastAsia"/>
                <w:b/>
                <w:sz w:val="24"/>
                <w:szCs w:val="24"/>
              </w:rPr>
            </w:pPr>
            <w:r>
              <w:rPr>
                <w:rFonts w:asciiTheme="minorEastAsia" w:hAnsiTheme="minorEastAsia" w:hint="eastAsia"/>
                <w:b/>
                <w:sz w:val="24"/>
                <w:szCs w:val="24"/>
              </w:rPr>
              <w:t>日期</w:t>
            </w:r>
          </w:p>
        </w:tc>
        <w:tc>
          <w:tcPr>
            <w:tcW w:w="6614" w:type="dxa"/>
            <w:shd w:val="clear" w:color="auto" w:fill="auto"/>
            <w:vAlign w:val="center"/>
          </w:tcPr>
          <w:p w:rsidR="000A7B2F" w:rsidRDefault="00064EFF" w:rsidP="00517064">
            <w:pPr>
              <w:rPr>
                <w:rFonts w:asciiTheme="minorEastAsia" w:hAnsiTheme="minorEastAsia"/>
                <w:b/>
                <w:sz w:val="24"/>
                <w:szCs w:val="21"/>
              </w:rPr>
            </w:pPr>
            <w:r>
              <w:rPr>
                <w:rFonts w:asciiTheme="minorEastAsia" w:hAnsiTheme="minorEastAsia" w:hint="eastAsia"/>
                <w:b/>
                <w:sz w:val="24"/>
                <w:szCs w:val="21"/>
              </w:rPr>
              <w:t>2</w:t>
            </w:r>
            <w:r>
              <w:rPr>
                <w:rFonts w:asciiTheme="minorEastAsia" w:hAnsiTheme="minorEastAsia"/>
                <w:b/>
                <w:sz w:val="24"/>
                <w:szCs w:val="21"/>
              </w:rPr>
              <w:t>02</w:t>
            </w:r>
            <w:r>
              <w:rPr>
                <w:rFonts w:asciiTheme="minorEastAsia" w:hAnsiTheme="minorEastAsia" w:hint="eastAsia"/>
                <w:b/>
                <w:sz w:val="24"/>
                <w:szCs w:val="21"/>
              </w:rPr>
              <w:t>5年5月</w:t>
            </w:r>
            <w:r w:rsidR="00517064">
              <w:rPr>
                <w:rFonts w:asciiTheme="minorEastAsia" w:hAnsiTheme="minorEastAsia" w:hint="eastAsia"/>
                <w:b/>
                <w:sz w:val="24"/>
                <w:szCs w:val="21"/>
              </w:rPr>
              <w:t>9</w:t>
            </w:r>
            <w:r>
              <w:rPr>
                <w:rFonts w:asciiTheme="minorEastAsia" w:hAnsiTheme="minorEastAsia" w:hint="eastAsia"/>
                <w:b/>
                <w:sz w:val="24"/>
                <w:szCs w:val="21"/>
              </w:rPr>
              <w:t>日</w:t>
            </w:r>
          </w:p>
        </w:tc>
      </w:tr>
    </w:tbl>
    <w:p w:rsidR="000A7B2F" w:rsidRDefault="000A7B2F">
      <w:pPr>
        <w:ind w:firstLineChars="200" w:firstLine="480"/>
        <w:rPr>
          <w:rFonts w:asciiTheme="minorEastAsia" w:eastAsiaTheme="minorEastAsia" w:hAnsiTheme="minorEastAsia"/>
          <w:sz w:val="24"/>
          <w:szCs w:val="24"/>
        </w:rPr>
      </w:pPr>
    </w:p>
    <w:sectPr w:rsidR="000A7B2F" w:rsidSect="000A7B2F">
      <w:headerReference w:type="default" r:id="rId7"/>
      <w:footerReference w:type="default" r:id="rId8"/>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32D" w:rsidRDefault="00C9632D" w:rsidP="000A7B2F">
      <w:r>
        <w:separator/>
      </w:r>
    </w:p>
  </w:endnote>
  <w:endnote w:type="continuationSeparator" w:id="1">
    <w:p w:rsidR="00C9632D" w:rsidRDefault="00C9632D" w:rsidP="000A7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39715"/>
    </w:sdtPr>
    <w:sdtContent>
      <w:p w:rsidR="000A7B2F" w:rsidRDefault="00427E9B">
        <w:pPr>
          <w:pStyle w:val="a6"/>
          <w:jc w:val="center"/>
        </w:pPr>
        <w:r>
          <w:rPr>
            <w:rFonts w:asciiTheme="minorEastAsia" w:eastAsiaTheme="minorEastAsia" w:hAnsiTheme="minorEastAsia"/>
            <w:sz w:val="21"/>
            <w:szCs w:val="21"/>
          </w:rPr>
          <w:fldChar w:fldCharType="begin"/>
        </w:r>
        <w:r w:rsidR="00064EFF">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sidR="00196130" w:rsidRPr="00196130">
          <w:rPr>
            <w:rFonts w:asciiTheme="minorEastAsia" w:eastAsiaTheme="minorEastAsia" w:hAnsiTheme="minorEastAsia"/>
            <w:noProof/>
            <w:sz w:val="21"/>
            <w:szCs w:val="21"/>
            <w:lang w:val="zh-CN"/>
          </w:rPr>
          <w:t>-</w:t>
        </w:r>
        <w:r w:rsidR="00196130">
          <w:rPr>
            <w:rFonts w:asciiTheme="minorEastAsia" w:eastAsiaTheme="minorEastAsia" w:hAnsiTheme="minorEastAsia"/>
            <w:noProof/>
            <w:sz w:val="21"/>
            <w:szCs w:val="21"/>
          </w:rPr>
          <w:t xml:space="preserve"> 1 -</w:t>
        </w:r>
        <w:r>
          <w:rPr>
            <w:rFonts w:asciiTheme="minorEastAsia" w:eastAsiaTheme="minorEastAsia" w:hAnsiTheme="minorEastAsia"/>
            <w:sz w:val="21"/>
            <w:szCs w:val="21"/>
          </w:rPr>
          <w:fldChar w:fldCharType="end"/>
        </w:r>
      </w:p>
    </w:sdtContent>
  </w:sdt>
  <w:p w:rsidR="000A7B2F" w:rsidRDefault="000A7B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32D" w:rsidRDefault="00C9632D" w:rsidP="000A7B2F">
      <w:r>
        <w:separator/>
      </w:r>
    </w:p>
  </w:footnote>
  <w:footnote w:type="continuationSeparator" w:id="1">
    <w:p w:rsidR="00C9632D" w:rsidRDefault="00C9632D" w:rsidP="000A7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2F" w:rsidRDefault="00064EFF">
    <w:pPr>
      <w:pStyle w:val="a7"/>
    </w:pPr>
    <w:r>
      <w:rPr>
        <w:rFonts w:hint="eastAsia"/>
      </w:rPr>
      <w:t>证券代码：</w:t>
    </w:r>
    <w:r>
      <w:rPr>
        <w:rFonts w:hint="eastAsia"/>
      </w:rPr>
      <w:t xml:space="preserve">601399                                                           </w:t>
    </w:r>
    <w:r>
      <w:rPr>
        <w:rFonts w:hint="eastAsia"/>
      </w:rPr>
      <w:t>证券简称：国机重装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QyYTIxMjk0YmVkZWQ3MTZhNzJmNDlmZTNiMWM0NDgifQ=="/>
  </w:docVars>
  <w:rsids>
    <w:rsidRoot w:val="00D0027B"/>
    <w:rsid w:val="0004356F"/>
    <w:rsid w:val="00043AC7"/>
    <w:rsid w:val="00045517"/>
    <w:rsid w:val="00045DC9"/>
    <w:rsid w:val="00055062"/>
    <w:rsid w:val="00064EFF"/>
    <w:rsid w:val="00083617"/>
    <w:rsid w:val="000861EA"/>
    <w:rsid w:val="000870F9"/>
    <w:rsid w:val="000A7B2F"/>
    <w:rsid w:val="000D0BCE"/>
    <w:rsid w:val="00116051"/>
    <w:rsid w:val="00120DB3"/>
    <w:rsid w:val="00156E6B"/>
    <w:rsid w:val="00173F52"/>
    <w:rsid w:val="00196130"/>
    <w:rsid w:val="001E5897"/>
    <w:rsid w:val="00220552"/>
    <w:rsid w:val="00231B20"/>
    <w:rsid w:val="002569A8"/>
    <w:rsid w:val="00264AC8"/>
    <w:rsid w:val="002B14D9"/>
    <w:rsid w:val="002E4FB5"/>
    <w:rsid w:val="002F71A0"/>
    <w:rsid w:val="00303330"/>
    <w:rsid w:val="003034E6"/>
    <w:rsid w:val="00345648"/>
    <w:rsid w:val="003511E8"/>
    <w:rsid w:val="0037747A"/>
    <w:rsid w:val="00380FA4"/>
    <w:rsid w:val="003E239D"/>
    <w:rsid w:val="003E3B3A"/>
    <w:rsid w:val="00406449"/>
    <w:rsid w:val="00416CBC"/>
    <w:rsid w:val="00424884"/>
    <w:rsid w:val="00427E9B"/>
    <w:rsid w:val="00447985"/>
    <w:rsid w:val="004617EA"/>
    <w:rsid w:val="004631D5"/>
    <w:rsid w:val="00480ED6"/>
    <w:rsid w:val="00490632"/>
    <w:rsid w:val="004E281C"/>
    <w:rsid w:val="004F1AAE"/>
    <w:rsid w:val="004F41E7"/>
    <w:rsid w:val="00511DEC"/>
    <w:rsid w:val="0051263E"/>
    <w:rsid w:val="00517064"/>
    <w:rsid w:val="0051719A"/>
    <w:rsid w:val="00521924"/>
    <w:rsid w:val="005A5BAF"/>
    <w:rsid w:val="005E6E36"/>
    <w:rsid w:val="006104D6"/>
    <w:rsid w:val="00632EEC"/>
    <w:rsid w:val="006374F9"/>
    <w:rsid w:val="00676CED"/>
    <w:rsid w:val="006B3C5E"/>
    <w:rsid w:val="006C1952"/>
    <w:rsid w:val="006C4CBB"/>
    <w:rsid w:val="0070537C"/>
    <w:rsid w:val="007061D3"/>
    <w:rsid w:val="00713E10"/>
    <w:rsid w:val="007601B9"/>
    <w:rsid w:val="007934A7"/>
    <w:rsid w:val="007C608A"/>
    <w:rsid w:val="007C6FA4"/>
    <w:rsid w:val="007D3C0F"/>
    <w:rsid w:val="00804856"/>
    <w:rsid w:val="00830189"/>
    <w:rsid w:val="0086391A"/>
    <w:rsid w:val="00864EF0"/>
    <w:rsid w:val="00872441"/>
    <w:rsid w:val="00884518"/>
    <w:rsid w:val="00895007"/>
    <w:rsid w:val="00895DA7"/>
    <w:rsid w:val="008A67AE"/>
    <w:rsid w:val="008E5C3B"/>
    <w:rsid w:val="008F0A8B"/>
    <w:rsid w:val="0090522B"/>
    <w:rsid w:val="00914530"/>
    <w:rsid w:val="00926FAD"/>
    <w:rsid w:val="00951B61"/>
    <w:rsid w:val="009624F8"/>
    <w:rsid w:val="009B609B"/>
    <w:rsid w:val="009D04AE"/>
    <w:rsid w:val="009E17C1"/>
    <w:rsid w:val="00A01867"/>
    <w:rsid w:val="00A24651"/>
    <w:rsid w:val="00A41AD5"/>
    <w:rsid w:val="00A43551"/>
    <w:rsid w:val="00A471DA"/>
    <w:rsid w:val="00A8455B"/>
    <w:rsid w:val="00A94605"/>
    <w:rsid w:val="00A95CFC"/>
    <w:rsid w:val="00AB39B5"/>
    <w:rsid w:val="00AC14A5"/>
    <w:rsid w:val="00AC4CE6"/>
    <w:rsid w:val="00AD3B86"/>
    <w:rsid w:val="00AD45FD"/>
    <w:rsid w:val="00AE1360"/>
    <w:rsid w:val="00AE59A0"/>
    <w:rsid w:val="00AF402E"/>
    <w:rsid w:val="00AF678F"/>
    <w:rsid w:val="00B119B5"/>
    <w:rsid w:val="00B11E37"/>
    <w:rsid w:val="00B443ED"/>
    <w:rsid w:val="00B66383"/>
    <w:rsid w:val="00B93079"/>
    <w:rsid w:val="00B931E8"/>
    <w:rsid w:val="00B96BA7"/>
    <w:rsid w:val="00BE1D06"/>
    <w:rsid w:val="00C0557D"/>
    <w:rsid w:val="00C12C0A"/>
    <w:rsid w:val="00C247E6"/>
    <w:rsid w:val="00C30AE5"/>
    <w:rsid w:val="00C6425A"/>
    <w:rsid w:val="00C9632D"/>
    <w:rsid w:val="00CA5A45"/>
    <w:rsid w:val="00CC7331"/>
    <w:rsid w:val="00CD32B3"/>
    <w:rsid w:val="00CD7CAA"/>
    <w:rsid w:val="00CE58D5"/>
    <w:rsid w:val="00CF0B1E"/>
    <w:rsid w:val="00D0027B"/>
    <w:rsid w:val="00D05850"/>
    <w:rsid w:val="00D067AF"/>
    <w:rsid w:val="00D1126D"/>
    <w:rsid w:val="00D54E00"/>
    <w:rsid w:val="00D67852"/>
    <w:rsid w:val="00D71010"/>
    <w:rsid w:val="00DF4D0B"/>
    <w:rsid w:val="00E1107F"/>
    <w:rsid w:val="00E2508A"/>
    <w:rsid w:val="00E43ECD"/>
    <w:rsid w:val="00E45885"/>
    <w:rsid w:val="00E52CFC"/>
    <w:rsid w:val="00E932A2"/>
    <w:rsid w:val="00ED50A7"/>
    <w:rsid w:val="00F15DB1"/>
    <w:rsid w:val="00F33094"/>
    <w:rsid w:val="00F5105F"/>
    <w:rsid w:val="00F77931"/>
    <w:rsid w:val="00F82DCD"/>
    <w:rsid w:val="00F90161"/>
    <w:rsid w:val="00F941C3"/>
    <w:rsid w:val="023F2FE7"/>
    <w:rsid w:val="025F4647"/>
    <w:rsid w:val="03525F75"/>
    <w:rsid w:val="037B54CB"/>
    <w:rsid w:val="045B52FD"/>
    <w:rsid w:val="09D753ED"/>
    <w:rsid w:val="0AA277E2"/>
    <w:rsid w:val="0BA57785"/>
    <w:rsid w:val="0C0B7609"/>
    <w:rsid w:val="1053332C"/>
    <w:rsid w:val="14B82C55"/>
    <w:rsid w:val="178339E8"/>
    <w:rsid w:val="19C13EFC"/>
    <w:rsid w:val="19F4079A"/>
    <w:rsid w:val="1BB235FD"/>
    <w:rsid w:val="21333461"/>
    <w:rsid w:val="21CB5646"/>
    <w:rsid w:val="227D7AA0"/>
    <w:rsid w:val="282E4521"/>
    <w:rsid w:val="29971577"/>
    <w:rsid w:val="2A473AAA"/>
    <w:rsid w:val="2DF45098"/>
    <w:rsid w:val="349B6ECC"/>
    <w:rsid w:val="367F090C"/>
    <w:rsid w:val="3E7E351E"/>
    <w:rsid w:val="49031546"/>
    <w:rsid w:val="4A0B51AB"/>
    <w:rsid w:val="4B017CA9"/>
    <w:rsid w:val="4D5A127B"/>
    <w:rsid w:val="4E5C4BE5"/>
    <w:rsid w:val="50152FAF"/>
    <w:rsid w:val="50647D7E"/>
    <w:rsid w:val="5D8F7BE2"/>
    <w:rsid w:val="5F1579E4"/>
    <w:rsid w:val="642F2FDE"/>
    <w:rsid w:val="66DC63AD"/>
    <w:rsid w:val="6B9C0E4F"/>
    <w:rsid w:val="6BA51E03"/>
    <w:rsid w:val="6D3A2C9F"/>
    <w:rsid w:val="78A70F68"/>
    <w:rsid w:val="7B1829C4"/>
    <w:rsid w:val="7BAA1B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B2F"/>
    <w:pPr>
      <w:widowControl w:val="0"/>
      <w:jc w:val="both"/>
    </w:pPr>
    <w:rPr>
      <w:kern w:val="2"/>
      <w:sz w:val="21"/>
    </w:rPr>
  </w:style>
  <w:style w:type="paragraph" w:styleId="1">
    <w:name w:val="heading 1"/>
    <w:basedOn w:val="a"/>
    <w:next w:val="a"/>
    <w:link w:val="1Char"/>
    <w:uiPriority w:val="99"/>
    <w:qFormat/>
    <w:rsid w:val="000A7B2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A7B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A7B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A7B2F"/>
    <w:pPr>
      <w:spacing w:after="120"/>
    </w:pPr>
    <w:rPr>
      <w:szCs w:val="21"/>
    </w:rPr>
  </w:style>
  <w:style w:type="paragraph" w:styleId="a4">
    <w:name w:val="Plain Text"/>
    <w:basedOn w:val="a"/>
    <w:qFormat/>
    <w:rsid w:val="000A7B2F"/>
    <w:rPr>
      <w:rFonts w:ascii="宋体" w:hAnsi="Courier New"/>
    </w:rPr>
  </w:style>
  <w:style w:type="paragraph" w:styleId="a5">
    <w:name w:val="Balloon Text"/>
    <w:basedOn w:val="a"/>
    <w:link w:val="Char0"/>
    <w:uiPriority w:val="99"/>
    <w:semiHidden/>
    <w:unhideWhenUsed/>
    <w:qFormat/>
    <w:rsid w:val="000A7B2F"/>
    <w:rPr>
      <w:sz w:val="18"/>
      <w:szCs w:val="18"/>
    </w:rPr>
  </w:style>
  <w:style w:type="paragraph" w:styleId="a6">
    <w:name w:val="footer"/>
    <w:basedOn w:val="a"/>
    <w:link w:val="Char1"/>
    <w:uiPriority w:val="99"/>
    <w:unhideWhenUsed/>
    <w:qFormat/>
    <w:rsid w:val="000A7B2F"/>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0A7B2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A7B2F"/>
    <w:rPr>
      <w:sz w:val="28"/>
    </w:rPr>
  </w:style>
  <w:style w:type="paragraph" w:styleId="20">
    <w:name w:val="toc 2"/>
    <w:basedOn w:val="a"/>
    <w:next w:val="a"/>
    <w:uiPriority w:val="39"/>
    <w:unhideWhenUsed/>
    <w:qFormat/>
    <w:rsid w:val="000A7B2F"/>
    <w:pPr>
      <w:ind w:leftChars="200" w:left="420"/>
    </w:pPr>
    <w:rPr>
      <w:sz w:val="28"/>
    </w:rPr>
  </w:style>
  <w:style w:type="paragraph" w:styleId="a8">
    <w:name w:val="Normal (Web)"/>
    <w:basedOn w:val="a"/>
    <w:uiPriority w:val="99"/>
    <w:qFormat/>
    <w:rsid w:val="000A7B2F"/>
    <w:pPr>
      <w:widowControl/>
      <w:spacing w:before="100" w:beforeAutospacing="1" w:after="100" w:afterAutospacing="1" w:line="360" w:lineRule="auto"/>
      <w:jc w:val="left"/>
    </w:pPr>
    <w:rPr>
      <w:rFonts w:ascii="Arial Unicode MS" w:eastAsia="Arial Unicode MS" w:hAnsi="Arial Unicode MS" w:cs="Arial Unicode MS"/>
      <w:kern w:val="0"/>
      <w:sz w:val="18"/>
      <w:szCs w:val="18"/>
    </w:rPr>
  </w:style>
  <w:style w:type="character" w:styleId="a9">
    <w:name w:val="Strong"/>
    <w:basedOn w:val="a0"/>
    <w:uiPriority w:val="22"/>
    <w:qFormat/>
    <w:rsid w:val="000A7B2F"/>
    <w:rPr>
      <w:b/>
      <w:bCs/>
    </w:rPr>
  </w:style>
  <w:style w:type="character" w:styleId="aa">
    <w:name w:val="Hyperlink"/>
    <w:basedOn w:val="a0"/>
    <w:uiPriority w:val="99"/>
    <w:unhideWhenUsed/>
    <w:qFormat/>
    <w:rsid w:val="000A7B2F"/>
    <w:rPr>
      <w:color w:val="0000FF" w:themeColor="hyperlink"/>
      <w:u w:val="single"/>
    </w:rPr>
  </w:style>
  <w:style w:type="character" w:customStyle="1" w:styleId="1Char">
    <w:name w:val="标题 1 Char"/>
    <w:basedOn w:val="a0"/>
    <w:link w:val="1"/>
    <w:uiPriority w:val="99"/>
    <w:qFormat/>
    <w:rsid w:val="000A7B2F"/>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0A7B2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0A7B2F"/>
    <w:rPr>
      <w:rFonts w:ascii="Times New Roman" w:eastAsia="宋体" w:hAnsi="Times New Roman" w:cs="Times New Roman"/>
      <w:b/>
      <w:bCs/>
      <w:sz w:val="32"/>
      <w:szCs w:val="32"/>
    </w:rPr>
  </w:style>
  <w:style w:type="paragraph" w:styleId="ab">
    <w:name w:val="No Spacing"/>
    <w:link w:val="Char3"/>
    <w:uiPriority w:val="1"/>
    <w:qFormat/>
    <w:rsid w:val="000A7B2F"/>
    <w:rPr>
      <w:rFonts w:asciiTheme="minorHAnsi" w:eastAsiaTheme="minorEastAsia" w:hAnsiTheme="minorHAnsi" w:cstheme="minorBidi"/>
      <w:sz w:val="22"/>
      <w:szCs w:val="22"/>
    </w:rPr>
  </w:style>
  <w:style w:type="character" w:customStyle="1" w:styleId="Char3">
    <w:name w:val="无间隔 Char"/>
    <w:basedOn w:val="a0"/>
    <w:link w:val="ab"/>
    <w:uiPriority w:val="1"/>
    <w:qFormat/>
    <w:rsid w:val="000A7B2F"/>
    <w:rPr>
      <w:kern w:val="0"/>
      <w:sz w:val="22"/>
    </w:rPr>
  </w:style>
  <w:style w:type="character" w:customStyle="1" w:styleId="Char0">
    <w:name w:val="批注框文本 Char"/>
    <w:basedOn w:val="a0"/>
    <w:link w:val="a5"/>
    <w:uiPriority w:val="99"/>
    <w:semiHidden/>
    <w:qFormat/>
    <w:rsid w:val="000A7B2F"/>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0A7B2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页眉 Char"/>
    <w:basedOn w:val="a0"/>
    <w:link w:val="a7"/>
    <w:uiPriority w:val="99"/>
    <w:qFormat/>
    <w:rsid w:val="000A7B2F"/>
    <w:rPr>
      <w:rFonts w:ascii="Times New Roman" w:eastAsia="宋体" w:hAnsi="Times New Roman" w:cs="Times New Roman"/>
      <w:sz w:val="18"/>
      <w:szCs w:val="18"/>
    </w:rPr>
  </w:style>
  <w:style w:type="character" w:customStyle="1" w:styleId="Char1">
    <w:name w:val="页脚 Char"/>
    <w:basedOn w:val="a0"/>
    <w:link w:val="a6"/>
    <w:uiPriority w:val="99"/>
    <w:qFormat/>
    <w:rsid w:val="000A7B2F"/>
    <w:rPr>
      <w:rFonts w:ascii="Times New Roman" w:eastAsia="宋体" w:hAnsi="Times New Roman" w:cs="Times New Roman"/>
      <w:sz w:val="18"/>
      <w:szCs w:val="18"/>
    </w:rPr>
  </w:style>
  <w:style w:type="paragraph" w:styleId="ac">
    <w:name w:val="List Paragraph"/>
    <w:basedOn w:val="a"/>
    <w:uiPriority w:val="99"/>
    <w:qFormat/>
    <w:rsid w:val="000A7B2F"/>
    <w:pPr>
      <w:ind w:firstLineChars="200" w:firstLine="420"/>
    </w:pPr>
    <w:rPr>
      <w:rFonts w:asciiTheme="minorHAnsi" w:eastAsiaTheme="minorEastAsia" w:hAnsiTheme="minorHAnsi" w:cstheme="minorBidi"/>
      <w:szCs w:val="22"/>
    </w:rPr>
  </w:style>
  <w:style w:type="paragraph" w:customStyle="1" w:styleId="0">
    <w:name w:val="@0正文"/>
    <w:basedOn w:val="a"/>
    <w:link w:val="00"/>
    <w:qFormat/>
    <w:rsid w:val="000A7B2F"/>
    <w:pPr>
      <w:ind w:firstLineChars="200" w:firstLine="600"/>
    </w:pPr>
    <w:rPr>
      <w:rFonts w:ascii="仿宋_GB2312" w:eastAsia="仿宋_GB2312" w:hAnsi="仿宋" w:cstheme="minorBidi"/>
      <w:sz w:val="32"/>
      <w:szCs w:val="30"/>
    </w:rPr>
  </w:style>
  <w:style w:type="character" w:customStyle="1" w:styleId="00">
    <w:name w:val="@0正文 字符"/>
    <w:link w:val="0"/>
    <w:qFormat/>
    <w:rsid w:val="000A7B2F"/>
    <w:rPr>
      <w:rFonts w:ascii="仿宋_GB2312" w:eastAsia="仿宋_GB2312" w:hAnsi="仿宋"/>
      <w:kern w:val="2"/>
      <w:sz w:val="32"/>
      <w:szCs w:val="30"/>
    </w:rPr>
  </w:style>
  <w:style w:type="paragraph" w:customStyle="1" w:styleId="11">
    <w:name w:val="修订1"/>
    <w:hidden/>
    <w:uiPriority w:val="99"/>
    <w:unhideWhenUsed/>
    <w:qFormat/>
    <w:rsid w:val="000A7B2F"/>
    <w:rPr>
      <w:kern w:val="2"/>
      <w:sz w:val="21"/>
    </w:rPr>
  </w:style>
  <w:style w:type="character" w:customStyle="1" w:styleId="Char">
    <w:name w:val="正文文本 Char"/>
    <w:basedOn w:val="a0"/>
    <w:link w:val="a3"/>
    <w:uiPriority w:val="99"/>
    <w:qFormat/>
    <w:rsid w:val="000A7B2F"/>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52BB-FEBE-4276-8717-F9103D30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王忻[xinwang]</dc:creator>
  <cp:lastModifiedBy>GCJ</cp:lastModifiedBy>
  <cp:revision>6</cp:revision>
  <dcterms:created xsi:type="dcterms:W3CDTF">2025-05-08T06:39:00Z</dcterms:created>
  <dcterms:modified xsi:type="dcterms:W3CDTF">2025-05-09T11:06:00Z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8928786184464847B695DF66A26EDCF0_12</vt:lpwstr>
  </property>
  <property fmtid="{D5CDD505-2E9C-101B-9397-08002B2CF9AE}" pid="4" name="KSOTemplateDocerSaveRecord">
    <vt:lpwstr>eyJoZGlkIjoiNzQyYTIxMjk0YmVkZWQ3MTZhNzJmNDlmZTNiMWM0NDgiLCJ1c2VySWQiOiIzMzEyODI1OTUifQ==</vt:lpwstr>
  </property>
</Properties>
</file>