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5EC50" w14:textId="77777777" w:rsidR="00BC5266" w:rsidRDefault="00BC5266" w:rsidP="00BC5266">
      <w:pPr>
        <w:pStyle w:val="a3"/>
        <w:ind w:right="-635"/>
        <w:rPr>
          <w:rFonts w:asciiTheme="majorEastAsia" w:eastAsiaTheme="majorEastAsia" w:hAnsiTheme="majorEastAsia" w:hint="eastAsia"/>
          <w:sz w:val="24"/>
          <w:szCs w:val="24"/>
          <w:lang w:val="en-US"/>
        </w:rPr>
      </w:pPr>
      <w:r w:rsidRPr="00E8302D">
        <w:rPr>
          <w:rFonts w:asciiTheme="majorEastAsia" w:eastAsiaTheme="majorEastAsia" w:hAnsiTheme="majorEastAsia" w:hint="eastAsia"/>
          <w:sz w:val="24"/>
          <w:szCs w:val="24"/>
          <w:lang w:val="en-US"/>
        </w:rPr>
        <w:t xml:space="preserve">证券代码：603931                                     </w:t>
      </w:r>
      <w:r>
        <w:rPr>
          <w:rFonts w:asciiTheme="majorEastAsia" w:eastAsiaTheme="majorEastAsia" w:hAnsiTheme="majorEastAsia" w:hint="eastAsia"/>
          <w:sz w:val="24"/>
          <w:szCs w:val="24"/>
          <w:lang w:val="en-US"/>
        </w:rPr>
        <w:t xml:space="preserve">        </w:t>
      </w:r>
      <w:r w:rsidRPr="00E8302D">
        <w:rPr>
          <w:rFonts w:asciiTheme="majorEastAsia" w:eastAsiaTheme="majorEastAsia" w:hAnsiTheme="majorEastAsia" w:hint="eastAsia"/>
          <w:sz w:val="24"/>
          <w:szCs w:val="24"/>
          <w:lang w:val="en-US"/>
        </w:rPr>
        <w:t xml:space="preserve">  证券简称：格林达</w:t>
      </w:r>
    </w:p>
    <w:p w14:paraId="53E09175" w14:textId="70A6F4B0" w:rsidR="00BC5266" w:rsidRDefault="00000000" w:rsidP="00BC5266">
      <w:pPr>
        <w:pStyle w:val="a3"/>
        <w:ind w:right="-635"/>
        <w:rPr>
          <w:rFonts w:hint="eastAsia"/>
          <w:lang w:val="en-US"/>
        </w:rPr>
      </w:pPr>
      <w:r>
        <w:rPr>
          <w:rFonts w:hint="eastAsia"/>
          <w:lang w:val="en-US"/>
        </w:rPr>
        <w:t xml:space="preserve">      </w:t>
      </w:r>
    </w:p>
    <w:p w14:paraId="6A0CD552" w14:textId="77777777" w:rsidR="00BC5266" w:rsidRPr="006C6E4D" w:rsidRDefault="00BC5266" w:rsidP="00963D95">
      <w:pPr>
        <w:pStyle w:val="a3"/>
        <w:ind w:leftChars="257" w:left="565" w:right="824"/>
        <w:jc w:val="center"/>
        <w:rPr>
          <w:rFonts w:hint="eastAsia"/>
          <w:sz w:val="32"/>
          <w:szCs w:val="32"/>
        </w:rPr>
      </w:pPr>
      <w:r w:rsidRPr="006C6E4D">
        <w:rPr>
          <w:rFonts w:hint="eastAsia"/>
          <w:sz w:val="32"/>
          <w:szCs w:val="32"/>
          <w:lang w:val="en-US"/>
        </w:rPr>
        <w:t>杭州格林达电子材料</w:t>
      </w:r>
      <w:r w:rsidRPr="006C6E4D">
        <w:rPr>
          <w:sz w:val="32"/>
          <w:szCs w:val="32"/>
        </w:rPr>
        <w:t>股份有限公司投资者关系活动记录表</w:t>
      </w:r>
    </w:p>
    <w:p w14:paraId="0960AB72" w14:textId="095817A5" w:rsidR="00BC5266" w:rsidRPr="00DE46FB" w:rsidRDefault="00BC5266" w:rsidP="00BC5266">
      <w:pPr>
        <w:spacing w:before="154" w:after="32"/>
        <w:ind w:right="-635"/>
        <w:jc w:val="right"/>
        <w:rPr>
          <w:rFonts w:asciiTheme="minorEastAsia" w:eastAsiaTheme="minorEastAsia" w:hAnsiTheme="minorEastAsia" w:hint="eastAsia"/>
          <w:sz w:val="24"/>
          <w:szCs w:val="21"/>
        </w:rPr>
      </w:pPr>
      <w:r w:rsidRPr="00DE46FB">
        <w:rPr>
          <w:rFonts w:asciiTheme="minorEastAsia" w:eastAsiaTheme="minorEastAsia" w:hAnsiTheme="minorEastAsia"/>
          <w:sz w:val="24"/>
          <w:szCs w:val="21"/>
        </w:rPr>
        <w:t>编号：</w:t>
      </w:r>
      <w:r w:rsidRPr="00DE46FB">
        <w:rPr>
          <w:rFonts w:asciiTheme="minorEastAsia" w:eastAsiaTheme="minorEastAsia" w:hAnsiTheme="minorEastAsia" w:hint="eastAsia"/>
          <w:sz w:val="24"/>
          <w:szCs w:val="21"/>
        </w:rPr>
        <w:t>2025-00</w:t>
      </w:r>
      <w:r>
        <w:rPr>
          <w:rFonts w:asciiTheme="minorEastAsia" w:eastAsiaTheme="minorEastAsia" w:hAnsiTheme="minorEastAsia" w:hint="eastAsia"/>
          <w:sz w:val="24"/>
          <w:szCs w:val="21"/>
        </w:rPr>
        <w:t>2</w:t>
      </w: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552"/>
        <w:gridCol w:w="7513"/>
      </w:tblGrid>
      <w:tr w:rsidR="00A83E0B" w:rsidRPr="005E08E4" w14:paraId="2FF66DA9" w14:textId="77777777" w:rsidTr="005E08E4">
        <w:trPr>
          <w:trHeight w:val="2177"/>
        </w:trPr>
        <w:tc>
          <w:tcPr>
            <w:tcW w:w="2552" w:type="dxa"/>
          </w:tcPr>
          <w:p w14:paraId="0C1D15A6" w14:textId="77777777" w:rsidR="00A83E0B" w:rsidRPr="005E08E4" w:rsidRDefault="00A83E0B">
            <w:pPr>
              <w:pStyle w:val="TableParagraph"/>
              <w:ind w:left="0"/>
              <w:rPr>
                <w:rFonts w:asciiTheme="majorEastAsia" w:eastAsiaTheme="majorEastAsia" w:hAnsiTheme="majorEastAsia" w:hint="eastAsia"/>
                <w:sz w:val="24"/>
                <w:szCs w:val="24"/>
              </w:rPr>
            </w:pPr>
          </w:p>
          <w:p w14:paraId="52D4324F" w14:textId="77777777" w:rsidR="00A83E0B" w:rsidRPr="005E08E4" w:rsidRDefault="00A83E0B">
            <w:pPr>
              <w:pStyle w:val="TableParagraph"/>
              <w:spacing w:before="12"/>
              <w:ind w:left="0"/>
              <w:rPr>
                <w:rFonts w:asciiTheme="majorEastAsia" w:eastAsiaTheme="majorEastAsia" w:hAnsiTheme="majorEastAsia" w:hint="eastAsia"/>
                <w:sz w:val="24"/>
                <w:szCs w:val="24"/>
              </w:rPr>
            </w:pPr>
          </w:p>
          <w:p w14:paraId="319AE997" w14:textId="77777777" w:rsidR="00A83E0B" w:rsidRPr="005E08E4" w:rsidRDefault="00000000">
            <w:pPr>
              <w:pStyle w:val="TableParagraph"/>
              <w:rPr>
                <w:rFonts w:asciiTheme="majorEastAsia" w:eastAsiaTheme="majorEastAsia" w:hAnsiTheme="majorEastAsia" w:hint="eastAsia"/>
                <w:sz w:val="24"/>
                <w:szCs w:val="24"/>
              </w:rPr>
            </w:pPr>
            <w:r w:rsidRPr="005E08E4">
              <w:rPr>
                <w:rFonts w:asciiTheme="majorEastAsia" w:eastAsiaTheme="majorEastAsia" w:hAnsiTheme="majorEastAsia"/>
                <w:sz w:val="24"/>
                <w:szCs w:val="24"/>
              </w:rPr>
              <w:t>投资者关系活动类别</w:t>
            </w:r>
          </w:p>
        </w:tc>
        <w:tc>
          <w:tcPr>
            <w:tcW w:w="7513" w:type="dxa"/>
          </w:tcPr>
          <w:p w14:paraId="1F001BCD" w14:textId="096F8A4E" w:rsidR="00A83E0B" w:rsidRPr="005E08E4" w:rsidRDefault="001305E4">
            <w:pPr>
              <w:pStyle w:val="TableParagraph"/>
              <w:tabs>
                <w:tab w:val="left" w:pos="2747"/>
              </w:tabs>
              <w:spacing w:before="64"/>
              <w:rPr>
                <w:rFonts w:asciiTheme="majorEastAsia" w:eastAsiaTheme="majorEastAsia" w:hAnsiTheme="majorEastAsia" w:hint="eastAsia"/>
                <w:sz w:val="24"/>
                <w:szCs w:val="24"/>
              </w:rPr>
            </w:pPr>
            <w:r w:rsidRPr="005E08E4">
              <w:rPr>
                <w:rFonts w:asciiTheme="majorEastAsia" w:eastAsiaTheme="majorEastAsia" w:hAnsiTheme="majorEastAsia" w:hint="eastAsia"/>
                <w:sz w:val="24"/>
                <w:szCs w:val="24"/>
              </w:rPr>
              <w:t>√</w:t>
            </w:r>
            <w:r w:rsidRPr="005E08E4">
              <w:rPr>
                <w:rFonts w:asciiTheme="majorEastAsia" w:eastAsiaTheme="majorEastAsia" w:hAnsiTheme="majorEastAsia"/>
                <w:sz w:val="24"/>
                <w:szCs w:val="24"/>
              </w:rPr>
              <w:t>特定对象调研</w:t>
            </w:r>
            <w:r w:rsidRPr="005E08E4">
              <w:rPr>
                <w:rFonts w:asciiTheme="majorEastAsia" w:eastAsiaTheme="majorEastAsia" w:hAnsiTheme="majorEastAsia"/>
                <w:sz w:val="24"/>
                <w:szCs w:val="24"/>
              </w:rPr>
              <w:tab/>
              <w:t>□分析师会议</w:t>
            </w:r>
          </w:p>
          <w:p w14:paraId="6237480F" w14:textId="77777777" w:rsidR="00A83E0B" w:rsidRPr="005E08E4" w:rsidRDefault="00000000">
            <w:pPr>
              <w:pStyle w:val="TableParagraph"/>
              <w:tabs>
                <w:tab w:val="left" w:pos="2747"/>
              </w:tabs>
              <w:spacing w:before="130"/>
              <w:rPr>
                <w:rFonts w:asciiTheme="majorEastAsia" w:eastAsiaTheme="majorEastAsia" w:hAnsiTheme="majorEastAsia" w:hint="eastAsia"/>
                <w:sz w:val="24"/>
                <w:szCs w:val="24"/>
              </w:rPr>
            </w:pPr>
            <w:r w:rsidRPr="005E08E4">
              <w:rPr>
                <w:rFonts w:asciiTheme="majorEastAsia" w:eastAsiaTheme="majorEastAsia" w:hAnsiTheme="majorEastAsia"/>
                <w:sz w:val="24"/>
                <w:szCs w:val="24"/>
              </w:rPr>
              <w:t>□媒体采访</w:t>
            </w:r>
            <w:r w:rsidRPr="005E08E4">
              <w:rPr>
                <w:rFonts w:asciiTheme="majorEastAsia" w:eastAsiaTheme="majorEastAsia" w:hAnsiTheme="majorEastAsia"/>
                <w:sz w:val="24"/>
                <w:szCs w:val="24"/>
              </w:rPr>
              <w:tab/>
              <w:t>□业绩说明会</w:t>
            </w:r>
          </w:p>
          <w:p w14:paraId="7DD45750" w14:textId="77777777" w:rsidR="00A83E0B" w:rsidRPr="005E08E4" w:rsidRDefault="00000000">
            <w:pPr>
              <w:pStyle w:val="TableParagraph"/>
              <w:tabs>
                <w:tab w:val="left" w:pos="2747"/>
              </w:tabs>
              <w:spacing w:before="126"/>
              <w:rPr>
                <w:rFonts w:asciiTheme="majorEastAsia" w:eastAsiaTheme="majorEastAsia" w:hAnsiTheme="majorEastAsia" w:hint="eastAsia"/>
                <w:sz w:val="24"/>
                <w:szCs w:val="24"/>
              </w:rPr>
            </w:pPr>
            <w:r w:rsidRPr="005E08E4">
              <w:rPr>
                <w:rFonts w:asciiTheme="majorEastAsia" w:eastAsiaTheme="majorEastAsia" w:hAnsiTheme="majorEastAsia"/>
                <w:sz w:val="24"/>
                <w:szCs w:val="24"/>
              </w:rPr>
              <w:t>□新闻发布会</w:t>
            </w:r>
            <w:r w:rsidRPr="005E08E4">
              <w:rPr>
                <w:rFonts w:asciiTheme="majorEastAsia" w:eastAsiaTheme="majorEastAsia" w:hAnsiTheme="majorEastAsia"/>
                <w:sz w:val="24"/>
                <w:szCs w:val="24"/>
              </w:rPr>
              <w:tab/>
              <w:t>□路演活动</w:t>
            </w:r>
          </w:p>
          <w:p w14:paraId="56269F88" w14:textId="77777777" w:rsidR="00A83E0B" w:rsidRPr="005E08E4" w:rsidRDefault="00000000">
            <w:pPr>
              <w:pStyle w:val="TableParagraph"/>
              <w:spacing w:before="128"/>
              <w:rPr>
                <w:rFonts w:asciiTheme="majorEastAsia" w:eastAsiaTheme="majorEastAsia" w:hAnsiTheme="majorEastAsia" w:hint="eastAsia"/>
                <w:sz w:val="24"/>
                <w:szCs w:val="24"/>
              </w:rPr>
            </w:pPr>
            <w:r w:rsidRPr="005E08E4">
              <w:rPr>
                <w:rFonts w:asciiTheme="majorEastAsia" w:eastAsiaTheme="majorEastAsia" w:hAnsiTheme="majorEastAsia"/>
                <w:sz w:val="24"/>
                <w:szCs w:val="24"/>
              </w:rPr>
              <w:t>□现场参观</w:t>
            </w:r>
          </w:p>
          <w:p w14:paraId="22C30DD5" w14:textId="77777777" w:rsidR="00A83E0B" w:rsidRPr="005E08E4" w:rsidRDefault="00000000">
            <w:pPr>
              <w:pStyle w:val="TableParagraph"/>
              <w:spacing w:before="127"/>
              <w:rPr>
                <w:rFonts w:asciiTheme="majorEastAsia" w:eastAsiaTheme="majorEastAsia" w:hAnsiTheme="majorEastAsia" w:hint="eastAsia"/>
                <w:sz w:val="24"/>
                <w:szCs w:val="24"/>
              </w:rPr>
            </w:pPr>
            <w:r w:rsidRPr="005E08E4">
              <w:rPr>
                <w:rFonts w:asciiTheme="majorEastAsia" w:eastAsiaTheme="majorEastAsia" w:hAnsiTheme="majorEastAsia"/>
                <w:sz w:val="24"/>
                <w:szCs w:val="24"/>
              </w:rPr>
              <w:t>□其他（请文字说明其他活动内容）</w:t>
            </w:r>
          </w:p>
        </w:tc>
      </w:tr>
      <w:tr w:rsidR="00A83E0B" w:rsidRPr="005E08E4" w14:paraId="27E035E2" w14:textId="77777777" w:rsidTr="005E08E4">
        <w:trPr>
          <w:trHeight w:val="688"/>
        </w:trPr>
        <w:tc>
          <w:tcPr>
            <w:tcW w:w="2552" w:type="dxa"/>
          </w:tcPr>
          <w:p w14:paraId="1BD9B899" w14:textId="77777777" w:rsidR="00A83E0B" w:rsidRPr="005E08E4" w:rsidRDefault="00000000">
            <w:pPr>
              <w:pStyle w:val="TableParagraph"/>
              <w:spacing w:before="64"/>
              <w:rPr>
                <w:rFonts w:asciiTheme="majorEastAsia" w:eastAsiaTheme="majorEastAsia" w:hAnsiTheme="majorEastAsia" w:hint="eastAsia"/>
                <w:sz w:val="24"/>
                <w:szCs w:val="24"/>
              </w:rPr>
            </w:pPr>
            <w:r w:rsidRPr="005E08E4">
              <w:rPr>
                <w:rFonts w:asciiTheme="majorEastAsia" w:eastAsiaTheme="majorEastAsia" w:hAnsiTheme="majorEastAsia"/>
                <w:sz w:val="24"/>
                <w:szCs w:val="24"/>
              </w:rPr>
              <w:t>活动参与人员</w:t>
            </w:r>
          </w:p>
        </w:tc>
        <w:tc>
          <w:tcPr>
            <w:tcW w:w="7513" w:type="dxa"/>
          </w:tcPr>
          <w:p w14:paraId="0A8B9502" w14:textId="2742DF67" w:rsidR="00A83E0B" w:rsidRPr="005E08E4" w:rsidRDefault="00BC5266" w:rsidP="00FD431E">
            <w:pPr>
              <w:pStyle w:val="TableParagraph"/>
              <w:ind w:left="0"/>
              <w:rPr>
                <w:rFonts w:asciiTheme="majorEastAsia" w:eastAsiaTheme="majorEastAsia" w:hAnsiTheme="majorEastAsia" w:hint="eastAsia"/>
                <w:sz w:val="24"/>
                <w:szCs w:val="24"/>
              </w:rPr>
            </w:pPr>
            <w:r w:rsidRPr="005E08E4">
              <w:rPr>
                <w:rFonts w:asciiTheme="majorEastAsia" w:eastAsiaTheme="majorEastAsia" w:hAnsiTheme="majorEastAsia"/>
                <w:sz w:val="24"/>
                <w:szCs w:val="24"/>
              </w:rPr>
              <w:t>天风</w:t>
            </w:r>
            <w:r w:rsidR="005E08E4">
              <w:rPr>
                <w:rFonts w:asciiTheme="majorEastAsia" w:eastAsiaTheme="majorEastAsia" w:hAnsiTheme="majorEastAsia" w:hint="eastAsia"/>
                <w:sz w:val="24"/>
                <w:szCs w:val="24"/>
              </w:rPr>
              <w:t>证券</w:t>
            </w:r>
            <w:r w:rsidRPr="005E08E4">
              <w:rPr>
                <w:rFonts w:asciiTheme="majorEastAsia" w:eastAsiaTheme="majorEastAsia" w:hAnsiTheme="majorEastAsia"/>
                <w:sz w:val="24"/>
                <w:szCs w:val="24"/>
              </w:rPr>
              <w:t>，兴业证券，中信建投</w:t>
            </w:r>
            <w:r w:rsidRPr="005E08E4">
              <w:rPr>
                <w:rFonts w:asciiTheme="majorEastAsia" w:eastAsiaTheme="majorEastAsia" w:hAnsiTheme="majorEastAsia" w:hint="eastAsia"/>
                <w:sz w:val="24"/>
                <w:szCs w:val="24"/>
              </w:rPr>
              <w:t>，</w:t>
            </w:r>
            <w:r w:rsidR="00D66389" w:rsidRPr="005E08E4">
              <w:rPr>
                <w:rFonts w:asciiTheme="majorEastAsia" w:eastAsiaTheme="majorEastAsia" w:hAnsiTheme="majorEastAsia" w:hint="eastAsia"/>
                <w:sz w:val="24"/>
                <w:szCs w:val="24"/>
              </w:rPr>
              <w:t>拾贝投资，</w:t>
            </w:r>
            <w:r w:rsidR="00D66389" w:rsidRPr="005E08E4">
              <w:rPr>
                <w:rFonts w:asciiTheme="majorEastAsia" w:eastAsiaTheme="majorEastAsia" w:hAnsiTheme="majorEastAsia"/>
                <w:sz w:val="24"/>
                <w:szCs w:val="24"/>
              </w:rPr>
              <w:t>泉胜投资，杭州点铁，井商投资，风尚投资，时代伯乐，上海钧泽，湘楚资产</w:t>
            </w:r>
          </w:p>
        </w:tc>
      </w:tr>
      <w:tr w:rsidR="00A83E0B" w:rsidRPr="005E08E4" w14:paraId="13A0F995" w14:textId="77777777" w:rsidTr="005E08E4">
        <w:trPr>
          <w:trHeight w:val="436"/>
        </w:trPr>
        <w:tc>
          <w:tcPr>
            <w:tcW w:w="2552" w:type="dxa"/>
          </w:tcPr>
          <w:p w14:paraId="5F7FF5DE" w14:textId="77777777" w:rsidR="00A83E0B" w:rsidRPr="005E08E4" w:rsidRDefault="00000000">
            <w:pPr>
              <w:pStyle w:val="TableParagraph"/>
              <w:spacing w:before="64"/>
              <w:rPr>
                <w:rFonts w:asciiTheme="majorEastAsia" w:eastAsiaTheme="majorEastAsia" w:hAnsiTheme="majorEastAsia" w:hint="eastAsia"/>
                <w:sz w:val="24"/>
                <w:szCs w:val="24"/>
              </w:rPr>
            </w:pPr>
            <w:r w:rsidRPr="005E08E4">
              <w:rPr>
                <w:rFonts w:asciiTheme="majorEastAsia" w:eastAsiaTheme="majorEastAsia" w:hAnsiTheme="majorEastAsia"/>
                <w:sz w:val="24"/>
                <w:szCs w:val="24"/>
              </w:rPr>
              <w:t>时间</w:t>
            </w:r>
          </w:p>
        </w:tc>
        <w:tc>
          <w:tcPr>
            <w:tcW w:w="7513" w:type="dxa"/>
          </w:tcPr>
          <w:p w14:paraId="4B082C86" w14:textId="533FAB46" w:rsidR="00A83E0B" w:rsidRPr="005E08E4" w:rsidRDefault="00BC5266">
            <w:pPr>
              <w:pStyle w:val="TableParagraph"/>
              <w:ind w:left="0"/>
              <w:rPr>
                <w:rFonts w:asciiTheme="majorEastAsia" w:eastAsiaTheme="majorEastAsia" w:hAnsiTheme="majorEastAsia" w:hint="eastAsia"/>
                <w:sz w:val="24"/>
                <w:szCs w:val="24"/>
              </w:rPr>
            </w:pPr>
            <w:r w:rsidRPr="005E08E4">
              <w:rPr>
                <w:rFonts w:asciiTheme="majorEastAsia" w:eastAsiaTheme="majorEastAsia" w:hAnsiTheme="majorEastAsia"/>
                <w:sz w:val="24"/>
                <w:szCs w:val="24"/>
              </w:rPr>
              <w:t>2025年5月8日</w:t>
            </w:r>
            <w:r w:rsidRPr="005E08E4">
              <w:rPr>
                <w:rFonts w:asciiTheme="majorEastAsia" w:eastAsiaTheme="majorEastAsia" w:hAnsiTheme="majorEastAsia" w:hint="eastAsia"/>
                <w:sz w:val="24"/>
                <w:szCs w:val="24"/>
              </w:rPr>
              <w:t xml:space="preserve"> </w:t>
            </w:r>
          </w:p>
        </w:tc>
      </w:tr>
      <w:tr w:rsidR="00A83E0B" w:rsidRPr="005E08E4" w14:paraId="0E13B0F5" w14:textId="77777777" w:rsidTr="005E08E4">
        <w:trPr>
          <w:trHeight w:val="434"/>
        </w:trPr>
        <w:tc>
          <w:tcPr>
            <w:tcW w:w="2552" w:type="dxa"/>
          </w:tcPr>
          <w:p w14:paraId="219387FF" w14:textId="77777777" w:rsidR="00A83E0B" w:rsidRPr="005E08E4" w:rsidRDefault="00000000">
            <w:pPr>
              <w:pStyle w:val="TableParagraph"/>
              <w:spacing w:before="64"/>
              <w:rPr>
                <w:rFonts w:asciiTheme="majorEastAsia" w:eastAsiaTheme="majorEastAsia" w:hAnsiTheme="majorEastAsia" w:hint="eastAsia"/>
                <w:sz w:val="24"/>
                <w:szCs w:val="24"/>
              </w:rPr>
            </w:pPr>
            <w:r w:rsidRPr="005E08E4">
              <w:rPr>
                <w:rFonts w:asciiTheme="majorEastAsia" w:eastAsiaTheme="majorEastAsia" w:hAnsiTheme="majorEastAsia"/>
                <w:sz w:val="24"/>
                <w:szCs w:val="24"/>
              </w:rPr>
              <w:t>地点</w:t>
            </w:r>
          </w:p>
        </w:tc>
        <w:tc>
          <w:tcPr>
            <w:tcW w:w="7513" w:type="dxa"/>
          </w:tcPr>
          <w:p w14:paraId="33D50453" w14:textId="0AFB2EDA" w:rsidR="00A83E0B" w:rsidRPr="005E08E4" w:rsidRDefault="001305E4">
            <w:pPr>
              <w:pStyle w:val="TableParagraph"/>
              <w:ind w:left="0"/>
              <w:rPr>
                <w:rFonts w:asciiTheme="majorEastAsia" w:eastAsiaTheme="majorEastAsia" w:hAnsiTheme="majorEastAsia" w:hint="eastAsia"/>
                <w:sz w:val="24"/>
                <w:szCs w:val="24"/>
              </w:rPr>
            </w:pPr>
            <w:r w:rsidRPr="005E08E4">
              <w:rPr>
                <w:rFonts w:asciiTheme="majorEastAsia" w:eastAsiaTheme="majorEastAsia" w:hAnsiTheme="majorEastAsia" w:hint="eastAsia"/>
                <w:sz w:val="24"/>
                <w:szCs w:val="24"/>
              </w:rPr>
              <w:t>格林达会议室</w:t>
            </w:r>
          </w:p>
        </w:tc>
      </w:tr>
      <w:tr w:rsidR="00552E3E" w:rsidRPr="005E08E4" w14:paraId="78BE5BAD" w14:textId="77777777" w:rsidTr="005E08E4">
        <w:trPr>
          <w:trHeight w:val="434"/>
        </w:trPr>
        <w:tc>
          <w:tcPr>
            <w:tcW w:w="2552" w:type="dxa"/>
          </w:tcPr>
          <w:p w14:paraId="03B0FE89" w14:textId="79AC5FFC" w:rsidR="00552E3E" w:rsidRPr="005E08E4" w:rsidRDefault="00552E3E">
            <w:pPr>
              <w:pStyle w:val="TableParagraph"/>
              <w:spacing w:before="64"/>
              <w:rPr>
                <w:rFonts w:asciiTheme="majorEastAsia" w:eastAsiaTheme="majorEastAsia" w:hAnsiTheme="majorEastAsia" w:hint="eastAsia"/>
                <w:sz w:val="24"/>
                <w:szCs w:val="24"/>
              </w:rPr>
            </w:pPr>
            <w:r w:rsidRPr="005E08E4">
              <w:rPr>
                <w:rFonts w:asciiTheme="majorEastAsia" w:eastAsiaTheme="majorEastAsia" w:hAnsiTheme="majorEastAsia" w:hint="eastAsia"/>
                <w:sz w:val="24"/>
                <w:szCs w:val="24"/>
              </w:rPr>
              <w:t>上市公司接待人员</w:t>
            </w:r>
          </w:p>
        </w:tc>
        <w:tc>
          <w:tcPr>
            <w:tcW w:w="7513" w:type="dxa"/>
          </w:tcPr>
          <w:p w14:paraId="5A46A710" w14:textId="78A1FA3E" w:rsidR="00162871" w:rsidRPr="005E08E4" w:rsidRDefault="00162871" w:rsidP="00162871">
            <w:pPr>
              <w:pStyle w:val="TableParagraph"/>
              <w:rPr>
                <w:rFonts w:asciiTheme="majorEastAsia" w:eastAsiaTheme="majorEastAsia" w:hAnsiTheme="majorEastAsia" w:hint="eastAsia"/>
                <w:sz w:val="24"/>
                <w:szCs w:val="24"/>
              </w:rPr>
            </w:pPr>
            <w:r w:rsidRPr="005E08E4">
              <w:rPr>
                <w:rFonts w:asciiTheme="majorEastAsia" w:eastAsiaTheme="majorEastAsia" w:hAnsiTheme="majorEastAsia" w:hint="eastAsia"/>
                <w:sz w:val="24"/>
                <w:szCs w:val="24"/>
              </w:rPr>
              <w:t xml:space="preserve">方伟华      </w:t>
            </w:r>
            <w:r w:rsidR="00BC5266" w:rsidRPr="005E08E4">
              <w:rPr>
                <w:rFonts w:asciiTheme="majorEastAsia" w:eastAsiaTheme="majorEastAsia" w:hAnsiTheme="majorEastAsia"/>
                <w:sz w:val="24"/>
                <w:szCs w:val="24"/>
              </w:rPr>
              <w:t>董事</w:t>
            </w:r>
            <w:r w:rsidR="00BC5266" w:rsidRPr="005E08E4">
              <w:rPr>
                <w:rFonts w:asciiTheme="majorEastAsia" w:eastAsiaTheme="majorEastAsia" w:hAnsiTheme="majorEastAsia" w:hint="eastAsia"/>
                <w:sz w:val="24"/>
                <w:szCs w:val="24"/>
              </w:rPr>
              <w:t>、</w:t>
            </w:r>
            <w:r w:rsidRPr="005E08E4">
              <w:rPr>
                <w:rFonts w:asciiTheme="majorEastAsia" w:eastAsiaTheme="majorEastAsia" w:hAnsiTheme="majorEastAsia" w:hint="eastAsia"/>
                <w:sz w:val="24"/>
                <w:szCs w:val="24"/>
              </w:rPr>
              <w:t>总经理</w:t>
            </w:r>
          </w:p>
          <w:p w14:paraId="061D9705" w14:textId="19DF1DA4" w:rsidR="00162871" w:rsidRPr="005E08E4" w:rsidRDefault="00162871" w:rsidP="00162871">
            <w:pPr>
              <w:pStyle w:val="TableParagraph"/>
              <w:rPr>
                <w:rFonts w:asciiTheme="majorEastAsia" w:eastAsiaTheme="majorEastAsia" w:hAnsiTheme="majorEastAsia" w:hint="eastAsia"/>
                <w:sz w:val="24"/>
                <w:szCs w:val="24"/>
              </w:rPr>
            </w:pPr>
            <w:r w:rsidRPr="005E08E4">
              <w:rPr>
                <w:rFonts w:asciiTheme="majorEastAsia" w:eastAsiaTheme="majorEastAsia" w:hAnsiTheme="majorEastAsia" w:hint="eastAsia"/>
                <w:sz w:val="24"/>
                <w:szCs w:val="24"/>
              </w:rPr>
              <w:t>章琪</w:t>
            </w:r>
            <w:r w:rsidRPr="005E08E4">
              <w:rPr>
                <w:rFonts w:asciiTheme="majorEastAsia" w:eastAsiaTheme="majorEastAsia" w:hAnsiTheme="majorEastAsia"/>
                <w:sz w:val="24"/>
                <w:szCs w:val="24"/>
              </w:rPr>
              <w:t xml:space="preserve"> </w:t>
            </w:r>
            <w:r w:rsidRPr="005E08E4">
              <w:rPr>
                <w:rFonts w:asciiTheme="majorEastAsia" w:eastAsiaTheme="majorEastAsia" w:hAnsiTheme="majorEastAsia" w:hint="eastAsia"/>
                <w:sz w:val="24"/>
                <w:szCs w:val="24"/>
              </w:rPr>
              <w:t xml:space="preserve">       董事会秘书</w:t>
            </w:r>
          </w:p>
          <w:p w14:paraId="3821837E" w14:textId="37EA728E" w:rsidR="00552E3E" w:rsidRPr="005E08E4" w:rsidRDefault="00162871" w:rsidP="00162871">
            <w:pPr>
              <w:pStyle w:val="TableParagraph"/>
              <w:rPr>
                <w:rFonts w:asciiTheme="majorEastAsia" w:eastAsiaTheme="majorEastAsia" w:hAnsiTheme="majorEastAsia" w:hint="eastAsia"/>
                <w:sz w:val="24"/>
                <w:szCs w:val="24"/>
              </w:rPr>
            </w:pPr>
            <w:r w:rsidRPr="005E08E4">
              <w:rPr>
                <w:rFonts w:asciiTheme="majorEastAsia" w:eastAsiaTheme="majorEastAsia" w:hAnsiTheme="majorEastAsia" w:hint="eastAsia"/>
                <w:sz w:val="24"/>
                <w:szCs w:val="24"/>
              </w:rPr>
              <w:t>王责宇</w:t>
            </w:r>
            <w:r w:rsidRPr="005E08E4">
              <w:rPr>
                <w:rFonts w:asciiTheme="majorEastAsia" w:eastAsiaTheme="majorEastAsia" w:hAnsiTheme="majorEastAsia"/>
                <w:sz w:val="24"/>
                <w:szCs w:val="24"/>
              </w:rPr>
              <w:t xml:space="preserve"> </w:t>
            </w:r>
            <w:r w:rsidRPr="005E08E4">
              <w:rPr>
                <w:rFonts w:asciiTheme="majorEastAsia" w:eastAsiaTheme="majorEastAsia" w:hAnsiTheme="majorEastAsia" w:hint="eastAsia"/>
                <w:sz w:val="24"/>
                <w:szCs w:val="24"/>
              </w:rPr>
              <w:t xml:space="preserve">     证券事务专员</w:t>
            </w:r>
          </w:p>
        </w:tc>
      </w:tr>
      <w:tr w:rsidR="00A83E0B" w:rsidRPr="005E08E4" w14:paraId="41889C9F" w14:textId="77777777" w:rsidTr="005E08E4">
        <w:trPr>
          <w:trHeight w:val="2337"/>
        </w:trPr>
        <w:tc>
          <w:tcPr>
            <w:tcW w:w="2552" w:type="dxa"/>
          </w:tcPr>
          <w:p w14:paraId="1D513ADD" w14:textId="77777777" w:rsidR="00A83E0B" w:rsidRPr="005E08E4" w:rsidRDefault="00000000">
            <w:pPr>
              <w:pStyle w:val="TableParagraph"/>
              <w:spacing w:before="67"/>
              <w:rPr>
                <w:rFonts w:asciiTheme="majorEastAsia" w:eastAsiaTheme="majorEastAsia" w:hAnsiTheme="majorEastAsia" w:hint="eastAsia"/>
                <w:sz w:val="24"/>
                <w:szCs w:val="24"/>
              </w:rPr>
            </w:pPr>
            <w:r w:rsidRPr="005E08E4">
              <w:rPr>
                <w:rFonts w:asciiTheme="majorEastAsia" w:eastAsiaTheme="majorEastAsia" w:hAnsiTheme="majorEastAsia"/>
                <w:sz w:val="24"/>
                <w:szCs w:val="24"/>
              </w:rPr>
              <w:t>交流内容及具体问答</w:t>
            </w:r>
          </w:p>
          <w:p w14:paraId="504BE76F" w14:textId="77777777" w:rsidR="00A83E0B" w:rsidRPr="005E08E4" w:rsidRDefault="00000000">
            <w:pPr>
              <w:pStyle w:val="TableParagraph"/>
              <w:spacing w:before="127"/>
              <w:rPr>
                <w:rFonts w:asciiTheme="majorEastAsia" w:eastAsiaTheme="majorEastAsia" w:hAnsiTheme="majorEastAsia" w:hint="eastAsia"/>
                <w:sz w:val="24"/>
                <w:szCs w:val="24"/>
              </w:rPr>
            </w:pPr>
            <w:r w:rsidRPr="005E08E4">
              <w:rPr>
                <w:rFonts w:asciiTheme="majorEastAsia" w:eastAsiaTheme="majorEastAsia" w:hAnsiTheme="majorEastAsia"/>
                <w:sz w:val="24"/>
                <w:szCs w:val="24"/>
              </w:rPr>
              <w:t>记录</w:t>
            </w:r>
          </w:p>
        </w:tc>
        <w:tc>
          <w:tcPr>
            <w:tcW w:w="7513" w:type="dxa"/>
          </w:tcPr>
          <w:p w14:paraId="1053C77B" w14:textId="12841FB6" w:rsidR="00BC5266" w:rsidRPr="005E08E4" w:rsidRDefault="00BC5266" w:rsidP="00BC5266">
            <w:pPr>
              <w:spacing w:line="360" w:lineRule="auto"/>
              <w:ind w:firstLineChars="200" w:firstLine="480"/>
              <w:rPr>
                <w:rFonts w:asciiTheme="majorEastAsia" w:eastAsiaTheme="majorEastAsia" w:hAnsiTheme="majorEastAsia" w:hint="eastAsia"/>
                <w:sz w:val="24"/>
                <w:szCs w:val="24"/>
              </w:rPr>
            </w:pPr>
            <w:r w:rsidRPr="005E08E4">
              <w:rPr>
                <w:rFonts w:asciiTheme="majorEastAsia" w:eastAsiaTheme="majorEastAsia" w:hAnsiTheme="majorEastAsia" w:hint="eastAsia"/>
                <w:sz w:val="24"/>
                <w:szCs w:val="24"/>
              </w:rPr>
              <w:t>公司与来访投资者进行了沟通交流，就投资者提出的问题进行回答，具体内容如下：</w:t>
            </w:r>
          </w:p>
          <w:p w14:paraId="41BEC492" w14:textId="03985E51" w:rsidR="00D66389" w:rsidRPr="005E08E4" w:rsidRDefault="00BC5266" w:rsidP="00661C8B">
            <w:pPr>
              <w:spacing w:line="360" w:lineRule="auto"/>
              <w:ind w:firstLineChars="200" w:firstLine="480"/>
              <w:rPr>
                <w:rFonts w:asciiTheme="majorEastAsia" w:eastAsiaTheme="majorEastAsia" w:hAnsiTheme="majorEastAsia" w:hint="eastAsia"/>
                <w:sz w:val="24"/>
                <w:szCs w:val="24"/>
              </w:rPr>
            </w:pPr>
            <w:r w:rsidRPr="005E08E4">
              <w:rPr>
                <w:rFonts w:asciiTheme="majorEastAsia" w:eastAsiaTheme="majorEastAsia" w:hAnsiTheme="majorEastAsia" w:hint="eastAsia"/>
                <w:sz w:val="24"/>
                <w:szCs w:val="24"/>
              </w:rPr>
              <w:t>1、</w:t>
            </w:r>
            <w:r w:rsidR="00661C8B" w:rsidRPr="005E08E4">
              <w:rPr>
                <w:rFonts w:asciiTheme="majorEastAsia" w:eastAsiaTheme="majorEastAsia" w:hAnsiTheme="majorEastAsia" w:hint="eastAsia"/>
                <w:sz w:val="24"/>
                <w:szCs w:val="24"/>
              </w:rPr>
              <w:t>公司产品目前主要应用领域在哪里？下游市场情况如何？</w:t>
            </w:r>
          </w:p>
          <w:p w14:paraId="3E582D3F" w14:textId="77777777" w:rsidR="005E08E4" w:rsidRPr="005E08E4" w:rsidRDefault="001C2F39" w:rsidP="00C91D90">
            <w:pPr>
              <w:spacing w:line="360" w:lineRule="auto"/>
              <w:ind w:firstLineChars="200" w:firstLine="480"/>
              <w:rPr>
                <w:rFonts w:asciiTheme="majorEastAsia" w:eastAsiaTheme="majorEastAsia" w:hAnsiTheme="majorEastAsia"/>
                <w:sz w:val="24"/>
                <w:szCs w:val="24"/>
              </w:rPr>
            </w:pPr>
            <w:r w:rsidRPr="005E08E4">
              <w:rPr>
                <w:rFonts w:asciiTheme="majorEastAsia" w:eastAsiaTheme="majorEastAsia" w:hAnsiTheme="majorEastAsia" w:hint="eastAsia"/>
                <w:sz w:val="24"/>
                <w:szCs w:val="24"/>
              </w:rPr>
              <w:t>答：</w:t>
            </w:r>
            <w:r w:rsidR="00D66389" w:rsidRPr="005E08E4">
              <w:rPr>
                <w:rFonts w:asciiTheme="majorEastAsia" w:eastAsiaTheme="majorEastAsia" w:hAnsiTheme="majorEastAsia" w:hint="eastAsia"/>
                <w:sz w:val="24"/>
                <w:szCs w:val="24"/>
              </w:rPr>
              <w:t>公司主营</w:t>
            </w:r>
            <w:r w:rsidRPr="005E08E4">
              <w:rPr>
                <w:rFonts w:asciiTheme="majorEastAsia" w:eastAsiaTheme="majorEastAsia" w:hAnsiTheme="majorEastAsia" w:hint="eastAsia"/>
                <w:sz w:val="24"/>
                <w:szCs w:val="24"/>
              </w:rPr>
              <w:t>超净高纯</w:t>
            </w:r>
            <w:r w:rsidR="00D66389" w:rsidRPr="005E08E4">
              <w:rPr>
                <w:rFonts w:asciiTheme="majorEastAsia" w:eastAsiaTheme="majorEastAsia" w:hAnsiTheme="majorEastAsia" w:hint="eastAsia"/>
                <w:sz w:val="24"/>
                <w:szCs w:val="24"/>
              </w:rPr>
              <w:t>湿电子化学品，主要产品</w:t>
            </w:r>
            <w:r w:rsidRPr="005E08E4">
              <w:rPr>
                <w:rFonts w:asciiTheme="majorEastAsia" w:eastAsiaTheme="majorEastAsia" w:hAnsiTheme="majorEastAsia" w:hint="eastAsia"/>
                <w:sz w:val="24"/>
                <w:szCs w:val="24"/>
              </w:rPr>
              <w:t>包括</w:t>
            </w:r>
            <w:r w:rsidR="00D66389" w:rsidRPr="005E08E4">
              <w:rPr>
                <w:rFonts w:asciiTheme="majorEastAsia" w:eastAsiaTheme="majorEastAsia" w:hAnsiTheme="majorEastAsia" w:hint="eastAsia"/>
                <w:sz w:val="24"/>
                <w:szCs w:val="24"/>
              </w:rPr>
              <w:t>显影液、剥离液、蚀刻液</w:t>
            </w:r>
            <w:r w:rsidR="005E08E4" w:rsidRPr="005E08E4">
              <w:rPr>
                <w:rFonts w:asciiTheme="majorEastAsia" w:eastAsiaTheme="majorEastAsia" w:hAnsiTheme="majorEastAsia" w:hint="eastAsia"/>
                <w:sz w:val="24"/>
                <w:szCs w:val="24"/>
              </w:rPr>
              <w:t>、</w:t>
            </w:r>
            <w:r w:rsidR="00D66389" w:rsidRPr="005E08E4">
              <w:rPr>
                <w:rFonts w:asciiTheme="majorEastAsia" w:eastAsiaTheme="majorEastAsia" w:hAnsiTheme="majorEastAsia" w:hint="eastAsia"/>
                <w:sz w:val="24"/>
                <w:szCs w:val="24"/>
              </w:rPr>
              <w:t>清洗液</w:t>
            </w:r>
            <w:r w:rsidR="005E08E4" w:rsidRPr="005E08E4">
              <w:rPr>
                <w:rFonts w:asciiTheme="majorEastAsia" w:eastAsiaTheme="majorEastAsia" w:hAnsiTheme="majorEastAsia" w:hint="eastAsia"/>
                <w:sz w:val="24"/>
                <w:szCs w:val="24"/>
              </w:rPr>
              <w:t>和稀释液</w:t>
            </w:r>
            <w:r w:rsidRPr="005E08E4">
              <w:rPr>
                <w:rFonts w:asciiTheme="majorEastAsia" w:eastAsiaTheme="majorEastAsia" w:hAnsiTheme="majorEastAsia" w:hint="eastAsia"/>
                <w:sz w:val="24"/>
                <w:szCs w:val="24"/>
              </w:rPr>
              <w:t>等，</w:t>
            </w:r>
            <w:r w:rsidR="005E08E4" w:rsidRPr="005E08E4">
              <w:rPr>
                <w:rFonts w:asciiTheme="majorEastAsia" w:eastAsiaTheme="majorEastAsia" w:hAnsiTheme="majorEastAsia" w:hint="eastAsia"/>
                <w:sz w:val="24"/>
                <w:szCs w:val="24"/>
              </w:rPr>
              <w:t>下游应用领域主要为显示面板、半导体、太阳能电池等，主要用于显影、蚀刻、清洗等电子产品制造工艺中</w:t>
            </w:r>
            <w:r w:rsidRPr="005E08E4">
              <w:rPr>
                <w:rFonts w:asciiTheme="majorEastAsia" w:eastAsiaTheme="majorEastAsia" w:hAnsiTheme="majorEastAsia" w:hint="eastAsia"/>
                <w:sz w:val="24"/>
                <w:szCs w:val="24"/>
              </w:rPr>
              <w:t>，系光刻胶配套用产品</w:t>
            </w:r>
            <w:r w:rsidR="00D66389" w:rsidRPr="005E08E4">
              <w:rPr>
                <w:rFonts w:asciiTheme="majorEastAsia" w:eastAsiaTheme="majorEastAsia" w:hAnsiTheme="majorEastAsia"/>
                <w:sz w:val="24"/>
                <w:szCs w:val="24"/>
              </w:rPr>
              <w:t>。</w:t>
            </w:r>
            <w:r w:rsidRPr="005E08E4">
              <w:rPr>
                <w:rFonts w:asciiTheme="majorEastAsia" w:eastAsiaTheme="majorEastAsia" w:hAnsiTheme="majorEastAsia" w:hint="eastAsia"/>
                <w:sz w:val="24"/>
                <w:szCs w:val="24"/>
              </w:rPr>
              <w:t>目前公司主要客户包括京东方集团、韩国LG集团、华星光电、天马微和维信诺等国内外知名企业。</w:t>
            </w:r>
          </w:p>
          <w:p w14:paraId="5F46C31C" w14:textId="2BA39A03" w:rsidR="00C91D90" w:rsidRPr="005E08E4" w:rsidRDefault="00C91D90" w:rsidP="00C91D90">
            <w:pPr>
              <w:spacing w:line="360" w:lineRule="auto"/>
              <w:ind w:firstLineChars="200" w:firstLine="480"/>
              <w:rPr>
                <w:rFonts w:asciiTheme="majorEastAsia" w:eastAsiaTheme="majorEastAsia" w:hAnsiTheme="majorEastAsia"/>
                <w:sz w:val="24"/>
                <w:szCs w:val="24"/>
              </w:rPr>
            </w:pPr>
            <w:r w:rsidRPr="005E08E4">
              <w:rPr>
                <w:rFonts w:asciiTheme="majorEastAsia" w:eastAsiaTheme="majorEastAsia" w:hAnsiTheme="majorEastAsia" w:hint="eastAsia"/>
                <w:sz w:val="24"/>
                <w:szCs w:val="24"/>
              </w:rPr>
              <w:t>根据中国</w:t>
            </w:r>
            <w:r w:rsidR="001C2F39" w:rsidRPr="005E08E4">
              <w:rPr>
                <w:rFonts w:asciiTheme="majorEastAsia" w:eastAsiaTheme="majorEastAsia" w:hAnsiTheme="majorEastAsia" w:hint="eastAsia"/>
                <w:sz w:val="24"/>
                <w:szCs w:val="24"/>
              </w:rPr>
              <w:t>电子材料行业</w:t>
            </w:r>
            <w:r w:rsidRPr="005E08E4">
              <w:rPr>
                <w:rFonts w:asciiTheme="majorEastAsia" w:eastAsiaTheme="majorEastAsia" w:hAnsiTheme="majorEastAsia" w:hint="eastAsia"/>
                <w:sz w:val="24"/>
                <w:szCs w:val="24"/>
              </w:rPr>
              <w:t>协会《2024版湿化学品产业研究报告》数据，国内集成电路、新型显示、光伏太阳能电池三大领域用湿化学品2023年总计市场需求约367.29万吨。预计到2025年国内湿化学品市场需求将增长至582.04万吨，其中集成电路领域约130.64万吨，新型显示约110.7万吨。以上数据供各位投资者参考。</w:t>
            </w:r>
          </w:p>
          <w:p w14:paraId="37980D47" w14:textId="77777777" w:rsidR="00661C8B" w:rsidRPr="005E08E4" w:rsidRDefault="00661C8B" w:rsidP="00661C8B">
            <w:pPr>
              <w:spacing w:line="360" w:lineRule="auto"/>
              <w:ind w:firstLineChars="200" w:firstLine="480"/>
              <w:rPr>
                <w:rFonts w:asciiTheme="majorEastAsia" w:eastAsiaTheme="majorEastAsia" w:hAnsiTheme="majorEastAsia" w:hint="eastAsia"/>
                <w:sz w:val="24"/>
                <w:szCs w:val="24"/>
              </w:rPr>
            </w:pPr>
            <w:r w:rsidRPr="005E08E4">
              <w:rPr>
                <w:rFonts w:asciiTheme="majorEastAsia" w:eastAsiaTheme="majorEastAsia" w:hAnsiTheme="majorEastAsia" w:hint="eastAsia"/>
                <w:sz w:val="24"/>
                <w:szCs w:val="24"/>
              </w:rPr>
              <w:t>2、</w:t>
            </w:r>
            <w:r w:rsidRPr="005E08E4">
              <w:rPr>
                <w:rFonts w:asciiTheme="majorEastAsia" w:eastAsiaTheme="majorEastAsia" w:hAnsiTheme="majorEastAsia" w:hint="eastAsia"/>
                <w:sz w:val="24"/>
                <w:szCs w:val="24"/>
              </w:rPr>
              <w:t>公司参与的工信部国家项目现在进度如何？</w:t>
            </w:r>
          </w:p>
          <w:p w14:paraId="46A03393" w14:textId="0766FC15" w:rsidR="00661C8B" w:rsidRPr="005E08E4" w:rsidRDefault="00661C8B" w:rsidP="00661C8B">
            <w:pPr>
              <w:spacing w:line="360" w:lineRule="auto"/>
              <w:ind w:firstLineChars="200" w:firstLine="480"/>
              <w:rPr>
                <w:rFonts w:asciiTheme="majorEastAsia" w:eastAsiaTheme="majorEastAsia" w:hAnsiTheme="majorEastAsia" w:hint="eastAsia"/>
                <w:sz w:val="24"/>
                <w:szCs w:val="24"/>
              </w:rPr>
            </w:pPr>
            <w:r w:rsidRPr="005E08E4">
              <w:rPr>
                <w:rFonts w:asciiTheme="majorEastAsia" w:eastAsiaTheme="majorEastAsia" w:hAnsiTheme="majorEastAsia" w:hint="eastAsia"/>
                <w:sz w:val="24"/>
                <w:szCs w:val="24"/>
              </w:rPr>
              <w:t>答： 公司承接的工信部“集成电路制造产线零部件、材料和关键设备关键材料研发及产业化验证项目”，目前已进入验收阶段。项目涉及的零部件、材料等多领域多家公司的联合攻关，整体验收需要一定时间，计划今年上半年完成验收工作。具体请关注公司发布的定期报告和</w:t>
            </w:r>
            <w:r w:rsidRPr="005E08E4">
              <w:rPr>
                <w:rFonts w:asciiTheme="majorEastAsia" w:eastAsiaTheme="majorEastAsia" w:hAnsiTheme="majorEastAsia" w:hint="eastAsia"/>
                <w:sz w:val="24"/>
                <w:szCs w:val="24"/>
              </w:rPr>
              <w:lastRenderedPageBreak/>
              <w:t>临时公告相关内容。公司承担多个国家级研发项目和课题，不断提升公司的研发创新能力，不断增强与下游客户协调沟通，提升客户产线的定制化服务能力，为后续公司产品的产业化运用和推广打下坚实基础。</w:t>
            </w:r>
          </w:p>
          <w:p w14:paraId="3C334664" w14:textId="16AD72A4" w:rsidR="00B819F2" w:rsidRPr="005E08E4" w:rsidRDefault="00B819F2" w:rsidP="00C91D90">
            <w:pPr>
              <w:spacing w:line="360" w:lineRule="auto"/>
              <w:ind w:firstLineChars="200" w:firstLine="480"/>
              <w:rPr>
                <w:rFonts w:asciiTheme="majorEastAsia" w:eastAsiaTheme="majorEastAsia" w:hAnsiTheme="majorEastAsia" w:hint="eastAsia"/>
                <w:sz w:val="24"/>
                <w:szCs w:val="24"/>
              </w:rPr>
            </w:pPr>
            <w:r w:rsidRPr="005E08E4">
              <w:rPr>
                <w:rFonts w:asciiTheme="majorEastAsia" w:eastAsiaTheme="majorEastAsia" w:hAnsiTheme="majorEastAsia" w:hint="eastAsia"/>
                <w:sz w:val="24"/>
                <w:szCs w:val="24"/>
              </w:rPr>
              <w:t>3、公司产品</w:t>
            </w:r>
            <w:r w:rsidRPr="005E08E4">
              <w:rPr>
                <w:rFonts w:asciiTheme="majorEastAsia" w:eastAsiaTheme="majorEastAsia" w:hAnsiTheme="majorEastAsia" w:hint="eastAsia"/>
                <w:sz w:val="24"/>
                <w:szCs w:val="24"/>
              </w:rPr>
              <w:t>在显示面板领域的市占率多少？下游显示面板市场行情如何？</w:t>
            </w:r>
            <w:r w:rsidR="007659E4" w:rsidRPr="005E08E4">
              <w:rPr>
                <w:rFonts w:asciiTheme="majorEastAsia" w:eastAsiaTheme="majorEastAsia" w:hAnsiTheme="majorEastAsia" w:hint="eastAsia"/>
                <w:sz w:val="24"/>
                <w:szCs w:val="24"/>
              </w:rPr>
              <w:t xml:space="preserve"> </w:t>
            </w:r>
          </w:p>
          <w:p w14:paraId="4E94EAAB" w14:textId="79821724" w:rsidR="00B819F2" w:rsidRPr="005E08E4" w:rsidRDefault="00B819F2" w:rsidP="007659E4">
            <w:pPr>
              <w:spacing w:line="360" w:lineRule="auto"/>
              <w:ind w:firstLineChars="200" w:firstLine="480"/>
              <w:rPr>
                <w:rFonts w:asciiTheme="majorEastAsia" w:eastAsiaTheme="majorEastAsia" w:hAnsiTheme="majorEastAsia" w:hint="eastAsia"/>
                <w:sz w:val="24"/>
                <w:szCs w:val="24"/>
              </w:rPr>
            </w:pPr>
            <w:r w:rsidRPr="005E08E4">
              <w:rPr>
                <w:rFonts w:asciiTheme="majorEastAsia" w:eastAsiaTheme="majorEastAsia" w:hAnsiTheme="majorEastAsia" w:hint="eastAsia"/>
                <w:sz w:val="24"/>
                <w:szCs w:val="24"/>
              </w:rPr>
              <w:t>答：</w:t>
            </w:r>
            <w:r w:rsidRPr="005E08E4">
              <w:rPr>
                <w:rFonts w:asciiTheme="majorEastAsia" w:eastAsiaTheme="majorEastAsia" w:hAnsiTheme="majorEastAsia" w:hint="eastAsia"/>
                <w:sz w:val="24"/>
                <w:szCs w:val="24"/>
              </w:rPr>
              <w:t>公司核心产品显影液的主要客户为京东方集团、韩国LG集团、华星光电、天马微电子、维信诺等国内外大型面板企业，同时公司系工信部认定的第六批制造业单项冠军示范企业，投资者可参考工信部关于单项冠军申报标准中对于产品市场占有率的相关要求。2024年半导体显示行业机遇与挑战并存。在经济下行压力影响下，市场呈现剧烈波动特征，下游行业正处于逐步修复阶段。</w:t>
            </w:r>
            <w:r w:rsidRPr="005E08E4">
              <w:rPr>
                <w:rFonts w:asciiTheme="majorEastAsia" w:eastAsiaTheme="majorEastAsia" w:hAnsiTheme="majorEastAsia" w:hint="eastAsia"/>
                <w:sz w:val="24"/>
                <w:szCs w:val="24"/>
              </w:rPr>
              <w:t>进入2025年，</w:t>
            </w:r>
            <w:r w:rsidRPr="005E08E4">
              <w:rPr>
                <w:rFonts w:asciiTheme="majorEastAsia" w:eastAsiaTheme="majorEastAsia" w:hAnsiTheme="majorEastAsia" w:hint="eastAsia"/>
                <w:sz w:val="24"/>
                <w:szCs w:val="24"/>
              </w:rPr>
              <w:t>下游</w:t>
            </w:r>
            <w:r w:rsidRPr="005E08E4">
              <w:rPr>
                <w:rFonts w:asciiTheme="majorEastAsia" w:eastAsiaTheme="majorEastAsia" w:hAnsiTheme="majorEastAsia" w:hint="eastAsia"/>
                <w:sz w:val="24"/>
                <w:szCs w:val="24"/>
              </w:rPr>
              <w:t>面板</w:t>
            </w:r>
            <w:r w:rsidRPr="005E08E4">
              <w:rPr>
                <w:rFonts w:asciiTheme="majorEastAsia" w:eastAsiaTheme="majorEastAsia" w:hAnsiTheme="majorEastAsia" w:hint="eastAsia"/>
                <w:sz w:val="24"/>
                <w:szCs w:val="24"/>
              </w:rPr>
              <w:t>厂商</w:t>
            </w:r>
            <w:r w:rsidR="007659E4" w:rsidRPr="005E08E4">
              <w:rPr>
                <w:rFonts w:asciiTheme="majorEastAsia" w:eastAsiaTheme="majorEastAsia" w:hAnsiTheme="majorEastAsia" w:hint="eastAsia"/>
                <w:sz w:val="24"/>
                <w:szCs w:val="24"/>
              </w:rPr>
              <w:t>坚持</w:t>
            </w:r>
            <w:r w:rsidRPr="005E08E4">
              <w:rPr>
                <w:rFonts w:asciiTheme="majorEastAsia" w:eastAsiaTheme="majorEastAsia" w:hAnsiTheme="majorEastAsia" w:hint="eastAsia"/>
                <w:sz w:val="24"/>
                <w:szCs w:val="24"/>
              </w:rPr>
              <w:t>控产稳价策略，</w:t>
            </w:r>
            <w:r w:rsidR="007659E4" w:rsidRPr="005E08E4">
              <w:rPr>
                <w:rFonts w:asciiTheme="majorEastAsia" w:eastAsiaTheme="majorEastAsia" w:hAnsiTheme="majorEastAsia" w:hint="eastAsia"/>
                <w:sz w:val="24"/>
                <w:szCs w:val="24"/>
              </w:rPr>
              <w:t>按需生产，</w:t>
            </w:r>
            <w:r w:rsidR="007659E4" w:rsidRPr="005E08E4">
              <w:rPr>
                <w:rFonts w:asciiTheme="majorEastAsia" w:eastAsiaTheme="majorEastAsia" w:hAnsiTheme="majorEastAsia"/>
                <w:sz w:val="24"/>
                <w:szCs w:val="24"/>
              </w:rPr>
              <w:t>根据市场需求，弹性调节产线稼动率</w:t>
            </w:r>
            <w:r w:rsidR="007659E4" w:rsidRPr="005E08E4">
              <w:rPr>
                <w:rFonts w:asciiTheme="majorEastAsia" w:eastAsiaTheme="majorEastAsia" w:hAnsiTheme="majorEastAsia" w:hint="eastAsia"/>
                <w:sz w:val="24"/>
                <w:szCs w:val="24"/>
              </w:rPr>
              <w:t>。</w:t>
            </w:r>
            <w:r w:rsidR="007659E4" w:rsidRPr="005E08E4">
              <w:rPr>
                <w:rFonts w:asciiTheme="majorEastAsia" w:eastAsiaTheme="majorEastAsia" w:hAnsiTheme="majorEastAsia" w:hint="eastAsia"/>
                <w:sz w:val="24"/>
                <w:szCs w:val="24"/>
              </w:rPr>
              <w:t>在此基础上，需求端库存实现加速去化，产业库存趋近健康标准，行业需求回归正常节奏。</w:t>
            </w:r>
            <w:r w:rsidRPr="005E08E4">
              <w:rPr>
                <w:rFonts w:asciiTheme="majorEastAsia" w:eastAsiaTheme="majorEastAsia" w:hAnsiTheme="majorEastAsia" w:hint="eastAsia"/>
                <w:sz w:val="24"/>
                <w:szCs w:val="24"/>
              </w:rPr>
              <w:t>从全球产业格局演变来看，LCD面板产能正加速向中国大陆聚集，我国已形成覆盖全尺寸、多品类的显示面板产业集群，持续巩固全球产能与产量双冠地位。与之形成对比的是，韩国厂商加速退出LCD制造领域，转而聚焦OLED等新型显示技术的研发突破。中长期来看，随着供需关系的动态平衡和供给结构的深度优化，技术迭代加速、应用场景延展、性能指标跃升与创新应用迸发已形成协同效应，为下游产业升级构筑了坚实的技术底座，并在一定程度上正面影响下游行业需求，行业整体呈现良好的发展态势。</w:t>
            </w:r>
          </w:p>
          <w:p w14:paraId="705BDEA3" w14:textId="14E15D04" w:rsidR="00D66389" w:rsidRPr="005E08E4" w:rsidRDefault="00B819F2" w:rsidP="00661C8B">
            <w:pPr>
              <w:spacing w:line="360" w:lineRule="auto"/>
              <w:ind w:firstLineChars="200" w:firstLine="480"/>
              <w:rPr>
                <w:rFonts w:asciiTheme="majorEastAsia" w:eastAsiaTheme="majorEastAsia" w:hAnsiTheme="majorEastAsia" w:hint="eastAsia"/>
                <w:sz w:val="24"/>
                <w:szCs w:val="24"/>
              </w:rPr>
            </w:pPr>
            <w:r w:rsidRPr="005E08E4">
              <w:rPr>
                <w:rFonts w:asciiTheme="majorEastAsia" w:eastAsiaTheme="majorEastAsia" w:hAnsiTheme="majorEastAsia" w:hint="eastAsia"/>
                <w:sz w:val="24"/>
                <w:szCs w:val="24"/>
              </w:rPr>
              <w:t>作为显示面板产业链的重要配套企业，国内外面板厂商的持续健康发展对企业经营具有双重价值：一方面，产业链协同效应持续增强为企业构建了稳定的市场基础；另一方面，技术演进带来的配套需求升级，为企业开拓市场创造了战略机遇。这种产业生态的优化升级，既保障了当前业务的可持续发展，更为把握未来市场机遇提供了重要支点。</w:t>
            </w:r>
          </w:p>
          <w:p w14:paraId="0F78FAC5" w14:textId="4AEFBF07" w:rsidR="00D66389" w:rsidRPr="005E08E4" w:rsidRDefault="00304AA5" w:rsidP="00304AA5">
            <w:pPr>
              <w:spacing w:line="360" w:lineRule="auto"/>
              <w:ind w:firstLineChars="200" w:firstLine="480"/>
              <w:rPr>
                <w:rFonts w:asciiTheme="majorEastAsia" w:eastAsiaTheme="majorEastAsia" w:hAnsiTheme="majorEastAsia" w:hint="eastAsia"/>
                <w:sz w:val="24"/>
                <w:szCs w:val="24"/>
              </w:rPr>
            </w:pPr>
            <w:r w:rsidRPr="005E08E4">
              <w:rPr>
                <w:rFonts w:asciiTheme="majorEastAsia" w:eastAsiaTheme="majorEastAsia" w:hAnsiTheme="majorEastAsia" w:hint="eastAsia"/>
                <w:sz w:val="24"/>
                <w:szCs w:val="24"/>
              </w:rPr>
              <w:t>4、</w:t>
            </w:r>
            <w:r w:rsidR="00D66389" w:rsidRPr="005E08E4">
              <w:rPr>
                <w:rFonts w:asciiTheme="majorEastAsia" w:eastAsiaTheme="majorEastAsia" w:hAnsiTheme="majorEastAsia" w:hint="eastAsia"/>
                <w:sz w:val="24"/>
                <w:szCs w:val="24"/>
              </w:rPr>
              <w:t>四川工厂</w:t>
            </w:r>
            <w:r w:rsidR="007659E4" w:rsidRPr="005E08E4">
              <w:rPr>
                <w:rFonts w:asciiTheme="majorEastAsia" w:eastAsiaTheme="majorEastAsia" w:hAnsiTheme="majorEastAsia" w:hint="eastAsia"/>
                <w:sz w:val="24"/>
                <w:szCs w:val="24"/>
              </w:rPr>
              <w:t>产品测试进展情况？</w:t>
            </w:r>
          </w:p>
          <w:p w14:paraId="3A977499" w14:textId="0EBEAA1B" w:rsidR="00D66389" w:rsidRPr="005E08E4" w:rsidRDefault="00304AA5" w:rsidP="005E08E4">
            <w:pPr>
              <w:spacing w:line="360" w:lineRule="auto"/>
              <w:ind w:firstLineChars="200" w:firstLine="480"/>
              <w:rPr>
                <w:rFonts w:asciiTheme="majorEastAsia" w:eastAsiaTheme="majorEastAsia" w:hAnsiTheme="majorEastAsia" w:hint="eastAsia"/>
                <w:sz w:val="24"/>
                <w:szCs w:val="24"/>
              </w:rPr>
            </w:pPr>
            <w:r w:rsidRPr="005E08E4">
              <w:rPr>
                <w:rFonts w:asciiTheme="majorEastAsia" w:eastAsiaTheme="majorEastAsia" w:hAnsiTheme="majorEastAsia" w:hint="eastAsia"/>
                <w:sz w:val="24"/>
                <w:szCs w:val="24"/>
              </w:rPr>
              <w:t>答：</w:t>
            </w:r>
            <w:r w:rsidR="00D66389" w:rsidRPr="005E08E4">
              <w:rPr>
                <w:rFonts w:asciiTheme="majorEastAsia" w:eastAsiaTheme="majorEastAsia" w:hAnsiTheme="majorEastAsia" w:hint="eastAsia"/>
                <w:sz w:val="24"/>
                <w:szCs w:val="24"/>
              </w:rPr>
              <w:t>四川工厂</w:t>
            </w:r>
            <w:r w:rsidR="007659E4" w:rsidRPr="005E08E4">
              <w:rPr>
                <w:rFonts w:asciiTheme="majorEastAsia" w:eastAsiaTheme="majorEastAsia" w:hAnsiTheme="majorEastAsia" w:hint="eastAsia"/>
                <w:sz w:val="24"/>
                <w:szCs w:val="24"/>
              </w:rPr>
              <w:t>于</w:t>
            </w:r>
            <w:r w:rsidR="00D66389" w:rsidRPr="005E08E4">
              <w:rPr>
                <w:rFonts w:asciiTheme="majorEastAsia" w:eastAsiaTheme="majorEastAsia" w:hAnsiTheme="majorEastAsia"/>
                <w:sz w:val="24"/>
                <w:szCs w:val="24"/>
              </w:rPr>
              <w:t>2024年</w:t>
            </w:r>
            <w:r w:rsidRPr="005E08E4">
              <w:rPr>
                <w:rFonts w:asciiTheme="majorEastAsia" w:eastAsiaTheme="majorEastAsia" w:hAnsiTheme="majorEastAsia" w:hint="eastAsia"/>
                <w:sz w:val="24"/>
                <w:szCs w:val="24"/>
              </w:rPr>
              <w:t>第三季度</w:t>
            </w:r>
            <w:r w:rsidR="00D66389" w:rsidRPr="005E08E4">
              <w:rPr>
                <w:rFonts w:asciiTheme="majorEastAsia" w:eastAsiaTheme="majorEastAsia" w:hAnsiTheme="majorEastAsia"/>
                <w:sz w:val="24"/>
                <w:szCs w:val="24"/>
              </w:rPr>
              <w:t>拿到安全生产许可证，</w:t>
            </w:r>
            <w:r w:rsidR="007659E4" w:rsidRPr="005E08E4">
              <w:rPr>
                <w:rFonts w:asciiTheme="majorEastAsia" w:eastAsiaTheme="majorEastAsia" w:hAnsiTheme="majorEastAsia" w:hint="eastAsia"/>
                <w:sz w:val="24"/>
                <w:szCs w:val="24"/>
              </w:rPr>
              <w:t>并通过了体系认证</w:t>
            </w:r>
            <w:r w:rsidR="00D822D7" w:rsidRPr="005E08E4">
              <w:rPr>
                <w:rFonts w:asciiTheme="majorEastAsia" w:eastAsiaTheme="majorEastAsia" w:hAnsiTheme="majorEastAsia" w:hint="eastAsia"/>
                <w:sz w:val="24"/>
                <w:szCs w:val="24"/>
              </w:rPr>
              <w:t>，</w:t>
            </w:r>
            <w:r w:rsidR="007659E4" w:rsidRPr="005E08E4">
              <w:rPr>
                <w:rFonts w:asciiTheme="majorEastAsia" w:eastAsiaTheme="majorEastAsia" w:hAnsiTheme="majorEastAsia" w:hint="eastAsia"/>
                <w:sz w:val="24"/>
                <w:szCs w:val="24"/>
              </w:rPr>
              <w:t>产品在下游主要客户的多个产线进行测试</w:t>
            </w:r>
            <w:r w:rsidR="00D822D7" w:rsidRPr="005E08E4">
              <w:rPr>
                <w:rFonts w:asciiTheme="majorEastAsia" w:eastAsiaTheme="majorEastAsia" w:hAnsiTheme="majorEastAsia" w:hint="eastAsia"/>
                <w:sz w:val="24"/>
                <w:szCs w:val="24"/>
              </w:rPr>
              <w:t>。今年上半年四川工厂</w:t>
            </w:r>
            <w:r w:rsidR="004F1E49" w:rsidRPr="005E08E4">
              <w:rPr>
                <w:rFonts w:asciiTheme="majorEastAsia" w:eastAsiaTheme="majorEastAsia" w:hAnsiTheme="majorEastAsia" w:hint="eastAsia"/>
                <w:sz w:val="24"/>
                <w:szCs w:val="24"/>
              </w:rPr>
              <w:t>显影液在西南体系客户中已实现单厂转产测试成功</w:t>
            </w:r>
            <w:r w:rsidR="004F1E49" w:rsidRPr="005E08E4">
              <w:rPr>
                <w:rFonts w:asciiTheme="majorEastAsia" w:eastAsiaTheme="majorEastAsia" w:hAnsiTheme="majorEastAsia" w:hint="eastAsia"/>
                <w:sz w:val="24"/>
                <w:szCs w:val="24"/>
              </w:rPr>
              <w:t>、签署框架</w:t>
            </w:r>
            <w:r w:rsidR="004F1E49" w:rsidRPr="005E08E4">
              <w:rPr>
                <w:rFonts w:asciiTheme="majorEastAsia" w:eastAsiaTheme="majorEastAsia" w:hAnsiTheme="majorEastAsia" w:hint="eastAsia"/>
                <w:sz w:val="24"/>
                <w:szCs w:val="24"/>
              </w:rPr>
              <w:t>合同</w:t>
            </w:r>
            <w:r w:rsidR="004F1E49" w:rsidRPr="005E08E4">
              <w:rPr>
                <w:rFonts w:asciiTheme="majorEastAsia" w:eastAsiaTheme="majorEastAsia" w:hAnsiTheme="majorEastAsia" w:hint="eastAsia"/>
                <w:sz w:val="24"/>
                <w:szCs w:val="24"/>
              </w:rPr>
              <w:t>并完成</w:t>
            </w:r>
            <w:r w:rsidR="004F1E49" w:rsidRPr="005E08E4">
              <w:rPr>
                <w:rFonts w:asciiTheme="majorEastAsia" w:eastAsiaTheme="majorEastAsia" w:hAnsiTheme="majorEastAsia" w:hint="eastAsia"/>
                <w:sz w:val="24"/>
                <w:szCs w:val="24"/>
              </w:rPr>
              <w:t>量供切换，其他单厂的转产测试进程</w:t>
            </w:r>
            <w:r w:rsidR="004F1E49" w:rsidRPr="005E08E4">
              <w:rPr>
                <w:rFonts w:asciiTheme="majorEastAsia" w:eastAsiaTheme="majorEastAsia" w:hAnsiTheme="majorEastAsia" w:hint="eastAsia"/>
                <w:sz w:val="24"/>
                <w:szCs w:val="24"/>
              </w:rPr>
              <w:t>也在持续推进中。</w:t>
            </w:r>
            <w:r w:rsidR="004F1E49" w:rsidRPr="005E08E4">
              <w:rPr>
                <w:rFonts w:asciiTheme="majorEastAsia" w:eastAsiaTheme="majorEastAsia" w:hAnsiTheme="majorEastAsia" w:hint="eastAsia"/>
                <w:sz w:val="24"/>
                <w:szCs w:val="24"/>
              </w:rPr>
              <w:t>四川工厂作为西南区域客户配套企业，从运输距离、客户服务、响应速度等各方面</w:t>
            </w:r>
            <w:r w:rsidR="004F1E49" w:rsidRPr="005E08E4">
              <w:rPr>
                <w:rFonts w:asciiTheme="majorEastAsia" w:eastAsiaTheme="majorEastAsia" w:hAnsiTheme="majorEastAsia" w:hint="eastAsia"/>
                <w:sz w:val="24"/>
                <w:szCs w:val="24"/>
              </w:rPr>
              <w:lastRenderedPageBreak/>
              <w:t>均具备其独特的竞争优势。公司将通过持续拓展市场、降本增效等方式，</w:t>
            </w:r>
            <w:r w:rsidR="004F1E49" w:rsidRPr="005E08E4">
              <w:rPr>
                <w:rFonts w:asciiTheme="majorEastAsia" w:eastAsiaTheme="majorEastAsia" w:hAnsiTheme="majorEastAsia" w:hint="eastAsia"/>
                <w:sz w:val="24"/>
                <w:szCs w:val="24"/>
              </w:rPr>
              <w:t>不断</w:t>
            </w:r>
            <w:r w:rsidR="004F1E49" w:rsidRPr="005E08E4">
              <w:rPr>
                <w:rFonts w:asciiTheme="majorEastAsia" w:eastAsiaTheme="majorEastAsia" w:hAnsiTheme="majorEastAsia" w:hint="eastAsia"/>
                <w:sz w:val="24"/>
                <w:szCs w:val="24"/>
              </w:rPr>
              <w:t>提升四川工厂运营效率，持续改善盈利水平。</w:t>
            </w:r>
          </w:p>
          <w:p w14:paraId="0AFA5B2E" w14:textId="626E3C6D" w:rsidR="00552E3E" w:rsidRPr="005E08E4" w:rsidRDefault="00552E3E" w:rsidP="00D66389">
            <w:pPr>
              <w:spacing w:line="360" w:lineRule="auto"/>
              <w:rPr>
                <w:rFonts w:asciiTheme="majorEastAsia" w:eastAsiaTheme="majorEastAsia" w:hAnsiTheme="majorEastAsia" w:hint="eastAsia"/>
                <w:sz w:val="24"/>
                <w:szCs w:val="24"/>
              </w:rPr>
            </w:pPr>
          </w:p>
        </w:tc>
      </w:tr>
      <w:tr w:rsidR="00A83E0B" w:rsidRPr="005E08E4" w14:paraId="64D84202" w14:textId="77777777" w:rsidTr="005E08E4">
        <w:trPr>
          <w:trHeight w:val="1603"/>
        </w:trPr>
        <w:tc>
          <w:tcPr>
            <w:tcW w:w="2552" w:type="dxa"/>
          </w:tcPr>
          <w:p w14:paraId="55F322A2" w14:textId="77777777" w:rsidR="00A83E0B" w:rsidRPr="005E08E4" w:rsidRDefault="00000000">
            <w:pPr>
              <w:pStyle w:val="TableParagraph"/>
              <w:spacing w:before="64" w:line="340" w:lineRule="auto"/>
              <w:ind w:right="97"/>
              <w:jc w:val="both"/>
              <w:rPr>
                <w:rFonts w:asciiTheme="majorEastAsia" w:eastAsiaTheme="majorEastAsia" w:hAnsiTheme="majorEastAsia" w:hint="eastAsia"/>
                <w:sz w:val="24"/>
                <w:szCs w:val="24"/>
              </w:rPr>
            </w:pPr>
            <w:r w:rsidRPr="005E08E4">
              <w:rPr>
                <w:rFonts w:asciiTheme="majorEastAsia" w:eastAsiaTheme="majorEastAsia" w:hAnsiTheme="majorEastAsia"/>
                <w:sz w:val="24"/>
                <w:szCs w:val="24"/>
              </w:rPr>
              <w:lastRenderedPageBreak/>
              <w:t>活动过程中所使用的演示文稿、提供的文档等附件（如有，可</w:t>
            </w:r>
          </w:p>
          <w:p w14:paraId="6B84863A" w14:textId="77777777" w:rsidR="00A83E0B" w:rsidRPr="005E08E4" w:rsidRDefault="00000000">
            <w:pPr>
              <w:pStyle w:val="TableParagraph"/>
              <w:spacing w:line="303" w:lineRule="exact"/>
              <w:rPr>
                <w:rFonts w:asciiTheme="majorEastAsia" w:eastAsiaTheme="majorEastAsia" w:hAnsiTheme="majorEastAsia" w:hint="eastAsia"/>
                <w:sz w:val="24"/>
                <w:szCs w:val="24"/>
              </w:rPr>
            </w:pPr>
            <w:r w:rsidRPr="005E08E4">
              <w:rPr>
                <w:rFonts w:asciiTheme="majorEastAsia" w:eastAsiaTheme="majorEastAsia" w:hAnsiTheme="majorEastAsia"/>
                <w:sz w:val="24"/>
                <w:szCs w:val="24"/>
              </w:rPr>
              <w:t>作为附件）</w:t>
            </w:r>
          </w:p>
        </w:tc>
        <w:tc>
          <w:tcPr>
            <w:tcW w:w="7513" w:type="dxa"/>
          </w:tcPr>
          <w:p w14:paraId="561E560E" w14:textId="6C8F9337" w:rsidR="00A83E0B" w:rsidRPr="005E08E4" w:rsidRDefault="001305E4">
            <w:pPr>
              <w:pStyle w:val="TableParagraph"/>
              <w:ind w:left="0"/>
              <w:rPr>
                <w:rFonts w:asciiTheme="majorEastAsia" w:eastAsiaTheme="majorEastAsia" w:hAnsiTheme="majorEastAsia" w:hint="eastAsia"/>
                <w:sz w:val="24"/>
                <w:szCs w:val="24"/>
              </w:rPr>
            </w:pPr>
            <w:r w:rsidRPr="005E08E4">
              <w:rPr>
                <w:rFonts w:asciiTheme="majorEastAsia" w:eastAsiaTheme="majorEastAsia" w:hAnsiTheme="majorEastAsia" w:hint="eastAsia"/>
                <w:sz w:val="24"/>
                <w:szCs w:val="24"/>
              </w:rPr>
              <w:t>无</w:t>
            </w:r>
          </w:p>
        </w:tc>
      </w:tr>
    </w:tbl>
    <w:p w14:paraId="4DCD8C9A" w14:textId="5764DE10" w:rsidR="000107D8" w:rsidRDefault="000107D8" w:rsidP="00E21290">
      <w:pPr>
        <w:rPr>
          <w:rFonts w:ascii="宋体" w:hAnsi="宋体" w:hint="eastAsia"/>
          <w:sz w:val="28"/>
        </w:rPr>
      </w:pPr>
    </w:p>
    <w:sectPr w:rsidR="000107D8">
      <w:type w:val="continuous"/>
      <w:pgSz w:w="11910" w:h="16840"/>
      <w:pgMar w:top="1520" w:right="1580" w:bottom="2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BCEE0" w14:textId="77777777" w:rsidR="00444BCF" w:rsidRDefault="00444BCF" w:rsidP="001305E4">
      <w:pPr>
        <w:rPr>
          <w:rFonts w:hint="eastAsia"/>
        </w:rPr>
      </w:pPr>
      <w:r>
        <w:separator/>
      </w:r>
    </w:p>
  </w:endnote>
  <w:endnote w:type="continuationSeparator" w:id="0">
    <w:p w14:paraId="18BFEBE1" w14:textId="77777777" w:rsidR="00444BCF" w:rsidRDefault="00444BCF" w:rsidP="001305E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500BF" w14:textId="77777777" w:rsidR="00444BCF" w:rsidRDefault="00444BCF" w:rsidP="001305E4">
      <w:pPr>
        <w:rPr>
          <w:rFonts w:hint="eastAsia"/>
        </w:rPr>
      </w:pPr>
      <w:r>
        <w:separator/>
      </w:r>
    </w:p>
  </w:footnote>
  <w:footnote w:type="continuationSeparator" w:id="0">
    <w:p w14:paraId="06AE9BE7" w14:textId="77777777" w:rsidR="00444BCF" w:rsidRDefault="00444BCF" w:rsidP="001305E4">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E0B"/>
    <w:rsid w:val="000107D8"/>
    <w:rsid w:val="00017528"/>
    <w:rsid w:val="0007053C"/>
    <w:rsid w:val="00071C6E"/>
    <w:rsid w:val="000D2AB6"/>
    <w:rsid w:val="001108FE"/>
    <w:rsid w:val="0012596F"/>
    <w:rsid w:val="001305E4"/>
    <w:rsid w:val="00162871"/>
    <w:rsid w:val="00171360"/>
    <w:rsid w:val="0017157A"/>
    <w:rsid w:val="001C2F39"/>
    <w:rsid w:val="001E10B2"/>
    <w:rsid w:val="0020694B"/>
    <w:rsid w:val="00215255"/>
    <w:rsid w:val="00263F0C"/>
    <w:rsid w:val="002C7B42"/>
    <w:rsid w:val="00304AA5"/>
    <w:rsid w:val="00327BF0"/>
    <w:rsid w:val="003C207C"/>
    <w:rsid w:val="003C6CFD"/>
    <w:rsid w:val="00444BCF"/>
    <w:rsid w:val="004B3293"/>
    <w:rsid w:val="004F1E49"/>
    <w:rsid w:val="004F68F0"/>
    <w:rsid w:val="005156BA"/>
    <w:rsid w:val="00520021"/>
    <w:rsid w:val="00551301"/>
    <w:rsid w:val="00552269"/>
    <w:rsid w:val="00552E3E"/>
    <w:rsid w:val="00577250"/>
    <w:rsid w:val="00580104"/>
    <w:rsid w:val="005D738A"/>
    <w:rsid w:val="005E08E4"/>
    <w:rsid w:val="00610110"/>
    <w:rsid w:val="00661C8B"/>
    <w:rsid w:val="00711F8E"/>
    <w:rsid w:val="0071356F"/>
    <w:rsid w:val="007659E4"/>
    <w:rsid w:val="007B6582"/>
    <w:rsid w:val="007E1942"/>
    <w:rsid w:val="007E3B0D"/>
    <w:rsid w:val="0081611E"/>
    <w:rsid w:val="008918A7"/>
    <w:rsid w:val="008A4F6A"/>
    <w:rsid w:val="008B21B3"/>
    <w:rsid w:val="008E614D"/>
    <w:rsid w:val="008E69FB"/>
    <w:rsid w:val="00946532"/>
    <w:rsid w:val="009A5806"/>
    <w:rsid w:val="009B56F7"/>
    <w:rsid w:val="009F0355"/>
    <w:rsid w:val="00A16B93"/>
    <w:rsid w:val="00A53C54"/>
    <w:rsid w:val="00A83E0B"/>
    <w:rsid w:val="00A83F33"/>
    <w:rsid w:val="00A92E65"/>
    <w:rsid w:val="00AB70D9"/>
    <w:rsid w:val="00AD52E4"/>
    <w:rsid w:val="00B10134"/>
    <w:rsid w:val="00B819F2"/>
    <w:rsid w:val="00BC4BE7"/>
    <w:rsid w:val="00BC5266"/>
    <w:rsid w:val="00C5219B"/>
    <w:rsid w:val="00C6276F"/>
    <w:rsid w:val="00C91D90"/>
    <w:rsid w:val="00CC496A"/>
    <w:rsid w:val="00CE38E0"/>
    <w:rsid w:val="00CF1336"/>
    <w:rsid w:val="00D66389"/>
    <w:rsid w:val="00D822D7"/>
    <w:rsid w:val="00DB46FA"/>
    <w:rsid w:val="00E21290"/>
    <w:rsid w:val="00E231E8"/>
    <w:rsid w:val="00E50F80"/>
    <w:rsid w:val="00F01B9E"/>
    <w:rsid w:val="00F077A1"/>
    <w:rsid w:val="00F36EB7"/>
    <w:rsid w:val="00F63023"/>
    <w:rsid w:val="00F67894"/>
    <w:rsid w:val="00F971FE"/>
    <w:rsid w:val="00FD431E"/>
    <w:rsid w:val="1ED23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B05ACA"/>
  <w15:docId w15:val="{18E79BAF-7D05-4D7B-ADBA-A8E53DD0B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rFonts w:ascii="宋体" w:eastAsia="宋体" w:hAnsi="宋体" w:cs="宋体"/>
      <w:sz w:val="44"/>
      <w:szCs w:val="44"/>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style>
  <w:style w:type="paragraph" w:customStyle="1" w:styleId="TableParagraph">
    <w:name w:val="Table Paragraph"/>
    <w:basedOn w:val="a"/>
    <w:uiPriority w:val="1"/>
    <w:qFormat/>
    <w:pPr>
      <w:ind w:left="107"/>
    </w:pPr>
  </w:style>
  <w:style w:type="paragraph" w:styleId="a5">
    <w:name w:val="header"/>
    <w:basedOn w:val="a"/>
    <w:link w:val="a6"/>
    <w:rsid w:val="001305E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1305E4"/>
    <w:rPr>
      <w:rFonts w:ascii="仿宋" w:eastAsia="仿宋" w:hAnsi="仿宋" w:cs="仿宋"/>
      <w:sz w:val="18"/>
      <w:szCs w:val="18"/>
      <w:lang w:val="zh-CN" w:bidi="zh-CN"/>
    </w:rPr>
  </w:style>
  <w:style w:type="paragraph" w:styleId="a7">
    <w:name w:val="footer"/>
    <w:basedOn w:val="a"/>
    <w:link w:val="a8"/>
    <w:rsid w:val="001305E4"/>
    <w:pPr>
      <w:tabs>
        <w:tab w:val="center" w:pos="4153"/>
        <w:tab w:val="right" w:pos="8306"/>
      </w:tabs>
      <w:snapToGrid w:val="0"/>
    </w:pPr>
    <w:rPr>
      <w:sz w:val="18"/>
      <w:szCs w:val="18"/>
    </w:rPr>
  </w:style>
  <w:style w:type="character" w:customStyle="1" w:styleId="a8">
    <w:name w:val="页脚 字符"/>
    <w:basedOn w:val="a0"/>
    <w:link w:val="a7"/>
    <w:rsid w:val="001305E4"/>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409256">
      <w:bodyDiv w:val="1"/>
      <w:marLeft w:val="0"/>
      <w:marRight w:val="0"/>
      <w:marTop w:val="0"/>
      <w:marBottom w:val="0"/>
      <w:divBdr>
        <w:top w:val="none" w:sz="0" w:space="0" w:color="auto"/>
        <w:left w:val="none" w:sz="0" w:space="0" w:color="auto"/>
        <w:bottom w:val="none" w:sz="0" w:space="0" w:color="auto"/>
        <w:right w:val="none" w:sz="0" w:space="0" w:color="auto"/>
      </w:divBdr>
      <w:divsChild>
        <w:div w:id="2119912402">
          <w:marLeft w:val="0"/>
          <w:marRight w:val="0"/>
          <w:marTop w:val="0"/>
          <w:marBottom w:val="0"/>
          <w:divBdr>
            <w:top w:val="none" w:sz="0" w:space="0" w:color="auto"/>
            <w:left w:val="none" w:sz="0" w:space="0" w:color="auto"/>
            <w:bottom w:val="none" w:sz="0" w:space="0" w:color="auto"/>
            <w:right w:val="none" w:sz="0" w:space="0" w:color="auto"/>
          </w:divBdr>
        </w:div>
        <w:div w:id="1495098581">
          <w:marLeft w:val="0"/>
          <w:marRight w:val="0"/>
          <w:marTop w:val="0"/>
          <w:marBottom w:val="0"/>
          <w:divBdr>
            <w:top w:val="none" w:sz="0" w:space="0" w:color="auto"/>
            <w:left w:val="none" w:sz="0" w:space="0" w:color="auto"/>
            <w:bottom w:val="none" w:sz="0" w:space="0" w:color="auto"/>
            <w:right w:val="none" w:sz="0" w:space="0" w:color="auto"/>
          </w:divBdr>
        </w:div>
      </w:divsChild>
    </w:div>
    <w:div w:id="485324448">
      <w:bodyDiv w:val="1"/>
      <w:marLeft w:val="0"/>
      <w:marRight w:val="0"/>
      <w:marTop w:val="0"/>
      <w:marBottom w:val="0"/>
      <w:divBdr>
        <w:top w:val="none" w:sz="0" w:space="0" w:color="auto"/>
        <w:left w:val="none" w:sz="0" w:space="0" w:color="auto"/>
        <w:bottom w:val="none" w:sz="0" w:space="0" w:color="auto"/>
        <w:right w:val="none" w:sz="0" w:space="0" w:color="auto"/>
      </w:divBdr>
    </w:div>
    <w:div w:id="1565020329">
      <w:bodyDiv w:val="1"/>
      <w:marLeft w:val="0"/>
      <w:marRight w:val="0"/>
      <w:marTop w:val="0"/>
      <w:marBottom w:val="0"/>
      <w:divBdr>
        <w:top w:val="none" w:sz="0" w:space="0" w:color="auto"/>
        <w:left w:val="none" w:sz="0" w:space="0" w:color="auto"/>
        <w:bottom w:val="none" w:sz="0" w:space="0" w:color="auto"/>
        <w:right w:val="none" w:sz="0" w:space="0" w:color="auto"/>
      </w:divBdr>
      <w:divsChild>
        <w:div w:id="1742481340">
          <w:marLeft w:val="0"/>
          <w:marRight w:val="0"/>
          <w:marTop w:val="0"/>
          <w:marBottom w:val="0"/>
          <w:divBdr>
            <w:top w:val="none" w:sz="0" w:space="0" w:color="auto"/>
            <w:left w:val="none" w:sz="0" w:space="0" w:color="auto"/>
            <w:bottom w:val="none" w:sz="0" w:space="0" w:color="auto"/>
            <w:right w:val="none" w:sz="0" w:space="0" w:color="auto"/>
          </w:divBdr>
        </w:div>
        <w:div w:id="1559394655">
          <w:marLeft w:val="0"/>
          <w:marRight w:val="0"/>
          <w:marTop w:val="0"/>
          <w:marBottom w:val="0"/>
          <w:divBdr>
            <w:top w:val="none" w:sz="0" w:space="0" w:color="auto"/>
            <w:left w:val="none" w:sz="0" w:space="0" w:color="auto"/>
            <w:bottom w:val="none" w:sz="0" w:space="0" w:color="auto"/>
            <w:right w:val="none" w:sz="0" w:space="0" w:color="auto"/>
          </w:divBdr>
        </w:div>
      </w:divsChild>
    </w:div>
    <w:div w:id="1793936785">
      <w:bodyDiv w:val="1"/>
      <w:marLeft w:val="0"/>
      <w:marRight w:val="0"/>
      <w:marTop w:val="0"/>
      <w:marBottom w:val="0"/>
      <w:divBdr>
        <w:top w:val="none" w:sz="0" w:space="0" w:color="auto"/>
        <w:left w:val="none" w:sz="0" w:space="0" w:color="auto"/>
        <w:bottom w:val="none" w:sz="0" w:space="0" w:color="auto"/>
        <w:right w:val="none" w:sz="0" w:space="0" w:color="auto"/>
      </w:divBdr>
    </w:div>
    <w:div w:id="1932280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3</Pages>
  <Words>924</Words>
  <Characters>972</Characters>
  <Application>Microsoft Office Word</Application>
  <DocSecurity>0</DocSecurity>
  <Lines>74</Lines>
  <Paragraphs>57</Paragraphs>
  <ScaleCrop>false</ScaleCrop>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杨展</dc:creator>
  <cp:lastModifiedBy>qi zhang</cp:lastModifiedBy>
  <cp:revision>15</cp:revision>
  <dcterms:created xsi:type="dcterms:W3CDTF">2024-10-30T05:21:00Z</dcterms:created>
  <dcterms:modified xsi:type="dcterms:W3CDTF">2025-05-09T02:33:00Z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2022-07-29T00:00:00Z</vt:filetime>
  </property>
  <property fmtid="{D5CDD505-2E9C-101B-9397-08002B2CF9AE}" pid="3" name="Creator">
    <vt:lpwstr>Microsoft® Word 2010</vt:lpwstr>
  </property>
  <property fmtid="{D5CDD505-2E9C-101B-9397-08002B2CF9AE}" pid="4" name="LastSaved">
    <vt:filetime>2022-11-24T00:00:00Z</vt:filetime>
  </property>
  <property fmtid="{D5CDD505-2E9C-101B-9397-08002B2CF9AE}" pid="5" name="KSOProductBuildVer">
    <vt:lpwstr>2052-10.1.0.7698</vt:lpwstr>
  </property>
</Properties>
</file>