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27" w:rsidRPr="00236527" w:rsidRDefault="0064772E" w:rsidP="00EB5248">
      <w:pPr>
        <w:spacing w:afterLines="50" w:after="156" w:line="480" w:lineRule="exact"/>
        <w:jc w:val="center"/>
        <w:rPr>
          <w:rFonts w:asciiTheme="minorEastAsia" w:hAnsiTheme="minorEastAsia"/>
          <w:bCs/>
          <w:sz w:val="24"/>
          <w:szCs w:val="24"/>
        </w:rPr>
      </w:pPr>
      <w:r w:rsidRPr="0064772E">
        <w:rPr>
          <w:rFonts w:asciiTheme="minorEastAsia" w:hAnsiTheme="minorEastAsia" w:hint="eastAsia"/>
          <w:bCs/>
          <w:sz w:val="24"/>
          <w:szCs w:val="24"/>
        </w:rPr>
        <w:t xml:space="preserve">公司简称：江南水务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 w:rsidRPr="0064772E">
        <w:rPr>
          <w:rFonts w:asciiTheme="minorEastAsia" w:hAnsiTheme="minorEastAsia" w:hint="eastAsia"/>
          <w:bCs/>
          <w:sz w:val="24"/>
          <w:szCs w:val="24"/>
        </w:rPr>
        <w:t xml:space="preserve">                        公司代码：601199</w:t>
      </w:r>
    </w:p>
    <w:p w:rsidR="0064772E" w:rsidRPr="008174AC" w:rsidRDefault="0064772E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8174AC">
        <w:rPr>
          <w:rFonts w:ascii="黑体" w:eastAsia="黑体" w:hAnsi="黑体" w:hint="eastAsia"/>
          <w:b/>
          <w:bCs/>
          <w:sz w:val="36"/>
          <w:szCs w:val="36"/>
        </w:rPr>
        <w:t>江苏江南水务股份有限公司</w:t>
      </w:r>
    </w:p>
    <w:p w:rsidR="005861DA" w:rsidRDefault="0064772E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8174AC">
        <w:rPr>
          <w:rFonts w:ascii="黑体" w:eastAsia="黑体" w:hAnsi="黑体" w:hint="eastAsia"/>
          <w:b/>
          <w:bCs/>
          <w:sz w:val="36"/>
          <w:szCs w:val="36"/>
        </w:rPr>
        <w:t>投资者关系活动记录表</w:t>
      </w:r>
    </w:p>
    <w:p w:rsidR="0064772E" w:rsidRPr="00B3782E" w:rsidRDefault="0064772E" w:rsidP="00A25012">
      <w:pPr>
        <w:spacing w:beforeLines="50" w:before="156" w:afterLines="50" w:after="156" w:line="480" w:lineRule="exact"/>
        <w:jc w:val="right"/>
        <w:rPr>
          <w:rFonts w:ascii="宋体" w:eastAsia="宋体" w:hAnsi="宋体"/>
          <w:b/>
          <w:bCs/>
          <w:szCs w:val="21"/>
        </w:rPr>
      </w:pPr>
      <w:r w:rsidRPr="00B3782E">
        <w:rPr>
          <w:rFonts w:ascii="宋体" w:eastAsia="宋体" w:hAnsi="宋体" w:hint="eastAsia"/>
          <w:b/>
          <w:bCs/>
          <w:szCs w:val="21"/>
        </w:rPr>
        <w:t>编号：</w:t>
      </w:r>
      <w:r w:rsidR="00C72D2E">
        <w:rPr>
          <w:rFonts w:ascii="宋体" w:eastAsia="宋体" w:hAnsi="宋体" w:hint="eastAsia"/>
          <w:b/>
          <w:bCs/>
          <w:szCs w:val="21"/>
        </w:rPr>
        <w:t>202</w:t>
      </w:r>
      <w:r w:rsidR="00364292">
        <w:rPr>
          <w:rFonts w:ascii="宋体" w:eastAsia="宋体" w:hAnsi="宋体" w:hint="eastAsia"/>
          <w:b/>
          <w:bCs/>
          <w:szCs w:val="21"/>
        </w:rPr>
        <w:t>5</w:t>
      </w:r>
      <w:r w:rsidR="00C72D2E">
        <w:rPr>
          <w:rFonts w:ascii="宋体" w:eastAsia="宋体" w:hAnsi="宋体" w:hint="eastAsia"/>
          <w:b/>
          <w:bCs/>
          <w:szCs w:val="21"/>
        </w:rPr>
        <w:t>-</w:t>
      </w:r>
      <w:r w:rsidR="00364292">
        <w:rPr>
          <w:rFonts w:ascii="宋体" w:eastAsia="宋体" w:hAnsi="宋体" w:hint="eastAsia"/>
          <w:b/>
          <w:bCs/>
          <w:szCs w:val="21"/>
        </w:rPr>
        <w:t>05</w:t>
      </w:r>
      <w:r w:rsidR="00A25012">
        <w:rPr>
          <w:rFonts w:ascii="宋体" w:eastAsia="宋体" w:hAnsi="宋体" w:hint="eastAsia"/>
          <w:b/>
          <w:bCs/>
          <w:szCs w:val="21"/>
        </w:rPr>
        <w:t>-001</w:t>
      </w:r>
    </w:p>
    <w:tbl>
      <w:tblPr>
        <w:tblStyle w:val="a3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54"/>
      </w:tblGrid>
      <w:tr w:rsidR="0064772E" w:rsidRPr="00DB7A74" w:rsidTr="00C26584">
        <w:trPr>
          <w:trHeight w:val="544"/>
          <w:jc w:val="center"/>
        </w:trPr>
        <w:tc>
          <w:tcPr>
            <w:tcW w:w="1403" w:type="dxa"/>
            <w:vMerge w:val="restart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40F29">
              <w:rPr>
                <w:rFonts w:ascii="宋体" w:eastAsia="宋体" w:hAnsi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D2992">
              <w:rPr>
                <w:rFonts w:ascii="宋体" w:eastAsia="宋体" w:hAnsi="宋体"/>
                <w:szCs w:val="21"/>
              </w:rPr>
              <w:t>□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特定对象调研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□分析师会议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>□媒体采访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Merge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√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业绩说明会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  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□新闻发布会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>□路演活动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Merge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D2992">
              <w:rPr>
                <w:rFonts w:ascii="宋体" w:eastAsia="宋体" w:hAnsi="宋体"/>
                <w:szCs w:val="21"/>
              </w:rPr>
              <w:t>□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现场参观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    </w:t>
            </w:r>
            <w:r w:rsidR="0064772E" w:rsidRPr="00DD2992">
              <w:rPr>
                <w:rFonts w:ascii="宋体" w:eastAsia="宋体" w:hAnsi="宋体"/>
                <w:szCs w:val="21"/>
              </w:rPr>
              <w:t>□其他</w:t>
            </w:r>
            <w:r w:rsidR="0064772E" w:rsidRPr="00640F29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64772E" w:rsidRPr="00640F29">
              <w:rPr>
                <w:rFonts w:ascii="宋体" w:eastAsia="宋体" w:hAnsi="宋体"/>
                <w:szCs w:val="21"/>
                <w:u w:val="single"/>
              </w:rPr>
              <w:t xml:space="preserve">         </w:t>
            </w:r>
            <w:r w:rsidR="0064772E" w:rsidRPr="00DD2992">
              <w:rPr>
                <w:rFonts w:ascii="宋体" w:eastAsia="宋体" w:hAnsi="宋体"/>
                <w:szCs w:val="21"/>
              </w:rPr>
              <w:t>（请文字说明其他活动内容）</w:t>
            </w:r>
          </w:p>
        </w:tc>
      </w:tr>
      <w:tr w:rsidR="0064772E" w:rsidRPr="00DB7A74" w:rsidTr="00C26584">
        <w:trPr>
          <w:trHeight w:val="1167"/>
          <w:jc w:val="center"/>
        </w:trPr>
        <w:tc>
          <w:tcPr>
            <w:tcW w:w="1403" w:type="dxa"/>
            <w:vAlign w:val="center"/>
          </w:tcPr>
          <w:p w:rsidR="0064772E" w:rsidRPr="00640F29" w:rsidRDefault="00EB5248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活动主题</w:t>
            </w:r>
          </w:p>
        </w:tc>
        <w:tc>
          <w:tcPr>
            <w:tcW w:w="7654" w:type="dxa"/>
            <w:vAlign w:val="center"/>
          </w:tcPr>
          <w:p w:rsidR="0064772E" w:rsidRPr="00A8269B" w:rsidRDefault="00EB5248" w:rsidP="00EB5248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江南水务</w:t>
            </w:r>
            <w:r w:rsidR="0005187A">
              <w:rPr>
                <w:rFonts w:ascii="宋体" w:eastAsia="宋体" w:hAnsi="宋体" w:hint="eastAsia"/>
                <w:szCs w:val="21"/>
              </w:rPr>
              <w:t>202</w:t>
            </w:r>
            <w:r w:rsidR="00C97EE0">
              <w:rPr>
                <w:rFonts w:ascii="宋体" w:eastAsia="宋体" w:hAnsi="宋体" w:hint="eastAsia"/>
                <w:szCs w:val="21"/>
              </w:rPr>
              <w:t>4</w:t>
            </w:r>
            <w:r w:rsidR="00360F53">
              <w:rPr>
                <w:rFonts w:ascii="宋体" w:eastAsia="宋体" w:hAnsi="宋体" w:hint="eastAsia"/>
                <w:szCs w:val="21"/>
              </w:rPr>
              <w:t>年</w:t>
            </w:r>
            <w:r w:rsidR="0005187A">
              <w:rPr>
                <w:rFonts w:ascii="宋体" w:eastAsia="宋体" w:hAnsi="宋体" w:hint="eastAsia"/>
                <w:szCs w:val="21"/>
              </w:rPr>
              <w:t>度业绩说明会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7654" w:type="dxa"/>
            <w:vAlign w:val="center"/>
          </w:tcPr>
          <w:p w:rsidR="0064772E" w:rsidRPr="00DB7A74" w:rsidRDefault="00B757A0" w:rsidP="00360F53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</w:t>
            </w:r>
            <w:r w:rsidR="00360F53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="00360F53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034CF1">
              <w:rPr>
                <w:rFonts w:ascii="宋体" w:eastAsia="宋体" w:hAnsi="宋体" w:hint="eastAsia"/>
                <w:szCs w:val="21"/>
              </w:rPr>
              <w:t>1</w:t>
            </w:r>
            <w:r w:rsidR="00360F53"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  <w:r w:rsidR="00696209">
              <w:rPr>
                <w:rFonts w:ascii="宋体" w:eastAsia="宋体" w:hAnsi="宋体" w:hint="eastAsia"/>
                <w:szCs w:val="21"/>
              </w:rPr>
              <w:t>1</w:t>
            </w:r>
            <w:r w:rsidR="00236527">
              <w:rPr>
                <w:rFonts w:ascii="宋体" w:eastAsia="宋体" w:hAnsi="宋体" w:hint="eastAsia"/>
                <w:szCs w:val="21"/>
              </w:rPr>
              <w:t>5</w:t>
            </w:r>
            <w:r w:rsidR="00696209">
              <w:rPr>
                <w:rFonts w:ascii="宋体" w:eastAsia="宋体" w:hAnsi="宋体" w:hint="eastAsia"/>
                <w:szCs w:val="21"/>
              </w:rPr>
              <w:t>：00-1</w:t>
            </w:r>
            <w:r w:rsidR="00236527">
              <w:rPr>
                <w:rFonts w:ascii="宋体" w:eastAsia="宋体" w:hAnsi="宋体" w:hint="eastAsia"/>
                <w:szCs w:val="21"/>
              </w:rPr>
              <w:t>6</w:t>
            </w:r>
            <w:r w:rsidR="00696209">
              <w:rPr>
                <w:rFonts w:ascii="宋体" w:eastAsia="宋体" w:hAnsi="宋体" w:hint="eastAsia"/>
                <w:szCs w:val="21"/>
              </w:rPr>
              <w:t>：</w:t>
            </w:r>
            <w:r w:rsidR="0031364A">
              <w:rPr>
                <w:rFonts w:ascii="宋体" w:eastAsia="宋体" w:hAnsi="宋体" w:hint="eastAsia"/>
                <w:szCs w:val="21"/>
              </w:rPr>
              <w:t>3</w:t>
            </w:r>
            <w:r w:rsidR="00696209"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7654" w:type="dxa"/>
            <w:vAlign w:val="center"/>
          </w:tcPr>
          <w:p w:rsidR="00EB5248" w:rsidRDefault="0005187A" w:rsidP="00D216A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bookmarkStart w:id="0" w:name="OLE_LINK65"/>
            <w:r w:rsidRPr="00EB5248">
              <w:rPr>
                <w:rFonts w:ascii="宋体" w:eastAsia="宋体" w:hAnsi="宋体" w:hint="eastAsia"/>
                <w:szCs w:val="21"/>
              </w:rPr>
              <w:t>上海证券交易所上证路演中心</w:t>
            </w:r>
            <w:bookmarkEnd w:id="0"/>
            <w:r w:rsidR="00EB5248" w:rsidRPr="00EB5248">
              <w:rPr>
                <w:rFonts w:ascii="宋体" w:eastAsia="宋体" w:hAnsi="宋体" w:hint="eastAsia"/>
                <w:szCs w:val="21"/>
              </w:rPr>
              <w:t>（</w:t>
            </w:r>
            <w:r w:rsidR="00EB5248" w:rsidRPr="00EB5248">
              <w:rPr>
                <w:rFonts w:ascii="宋体" w:eastAsia="宋体" w:hAnsi="宋体"/>
                <w:szCs w:val="21"/>
              </w:rPr>
              <w:t>https://roadshow.sseinfo.com</w:t>
            </w:r>
            <w:r w:rsidR="00EB5248" w:rsidRPr="00EB5248">
              <w:rPr>
                <w:rFonts w:ascii="宋体" w:eastAsia="宋体" w:hAnsi="宋体" w:hint="eastAsia"/>
                <w:szCs w:val="21"/>
              </w:rPr>
              <w:t>）、</w:t>
            </w:r>
            <w:r w:rsidR="00EB5248" w:rsidRPr="00EB5248">
              <w:rPr>
                <w:rFonts w:ascii="宋体" w:hAnsi="宋体" w:hint="eastAsia"/>
                <w:bCs/>
                <w:szCs w:val="21"/>
              </w:rPr>
              <w:t>视频录播+网络文字互动</w:t>
            </w:r>
          </w:p>
          <w:p w:rsidR="0064772E" w:rsidRPr="00EB5248" w:rsidRDefault="00364292" w:rsidP="00D216A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OLE_LINK66"/>
            <w:bookmarkStart w:id="2" w:name="OLE_LINK67"/>
            <w:r w:rsidRPr="00EB5248">
              <w:rPr>
                <w:rFonts w:ascii="宋体" w:eastAsia="宋体" w:hAnsi="宋体" w:hint="eastAsia"/>
                <w:szCs w:val="21"/>
              </w:rPr>
              <w:t>价值在线</w:t>
            </w:r>
            <w:bookmarkEnd w:id="1"/>
            <w:bookmarkEnd w:id="2"/>
            <w:r w:rsidR="00EB5248">
              <w:rPr>
                <w:rFonts w:ascii="宋体" w:eastAsia="宋体" w:hAnsi="宋体" w:hint="eastAsia"/>
                <w:szCs w:val="21"/>
              </w:rPr>
              <w:t>（</w:t>
            </w:r>
            <w:r w:rsidR="00EB5248" w:rsidRPr="00EB5248">
              <w:rPr>
                <w:rFonts w:ascii="宋体" w:eastAsia="宋体" w:hAnsi="宋体"/>
                <w:szCs w:val="21"/>
              </w:rPr>
              <w:t>www.ir-online.cn</w:t>
            </w:r>
            <w:r w:rsidR="00EB5248">
              <w:rPr>
                <w:rFonts w:ascii="宋体" w:eastAsia="宋体" w:hAnsi="宋体" w:hint="eastAsia"/>
                <w:szCs w:val="21"/>
              </w:rPr>
              <w:t>）、网络文字互动</w:t>
            </w:r>
          </w:p>
        </w:tc>
      </w:tr>
      <w:tr w:rsidR="0064772E" w:rsidRPr="00DB7A74" w:rsidTr="00C26584">
        <w:trPr>
          <w:trHeight w:val="1148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上市公司</w:t>
            </w:r>
            <w:r w:rsidR="0005187A">
              <w:rPr>
                <w:rFonts w:ascii="宋体" w:eastAsia="宋体" w:hAnsi="宋体" w:hint="eastAsia"/>
                <w:b/>
                <w:bCs/>
                <w:szCs w:val="21"/>
              </w:rPr>
              <w:t>参加人员</w:t>
            </w:r>
          </w:p>
        </w:tc>
        <w:tc>
          <w:tcPr>
            <w:tcW w:w="7654" w:type="dxa"/>
            <w:vAlign w:val="center"/>
          </w:tcPr>
          <w:p w:rsidR="0064772E" w:rsidRPr="00DB7A74" w:rsidRDefault="00696209" w:rsidP="00360F53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董事长华锋</w:t>
            </w:r>
            <w:r w:rsidR="00EB4AF0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总经理池永</w:t>
            </w:r>
            <w:r w:rsidR="00EB4AF0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财务总监陆庆喜、</w:t>
            </w:r>
            <w:r w:rsidR="00360F53">
              <w:rPr>
                <w:rFonts w:ascii="宋体" w:eastAsia="宋体" w:hAnsi="宋体" w:hint="eastAsia"/>
                <w:szCs w:val="21"/>
              </w:rPr>
              <w:t>董事</w:t>
            </w:r>
            <w:r w:rsidR="00360F53">
              <w:rPr>
                <w:rFonts w:ascii="宋体" w:eastAsia="宋体" w:hAnsi="宋体"/>
                <w:szCs w:val="21"/>
              </w:rPr>
              <w:t>会秘书宋立人、</w:t>
            </w:r>
            <w:r w:rsidR="00EB4AF0">
              <w:rPr>
                <w:rFonts w:ascii="宋体" w:eastAsia="宋体" w:hAnsi="宋体" w:hint="eastAsia"/>
                <w:szCs w:val="21"/>
              </w:rPr>
              <w:t>独立董事</w:t>
            </w:r>
            <w:r w:rsidR="00360F53">
              <w:rPr>
                <w:rFonts w:ascii="宋体" w:eastAsia="宋体" w:hAnsi="宋体" w:hint="eastAsia"/>
                <w:szCs w:val="21"/>
              </w:rPr>
              <w:t>张熔显</w:t>
            </w:r>
            <w:r w:rsidR="00EB4AF0" w:rsidRPr="00DB7A74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64772E" w:rsidRPr="00DB7A74" w:rsidTr="00C26584">
        <w:trPr>
          <w:trHeight w:val="3388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3102">
              <w:rPr>
                <w:rFonts w:ascii="宋体" w:eastAsia="宋体" w:hAnsi="宋体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654" w:type="dxa"/>
            <w:vAlign w:val="center"/>
          </w:tcPr>
          <w:p w:rsidR="002224E8" w:rsidRPr="002224E8" w:rsidRDefault="002224E8" w:rsidP="002224E8">
            <w:pPr>
              <w:spacing w:line="360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 w:rsidRPr="002224E8">
              <w:rPr>
                <w:rFonts w:ascii="黑体" w:eastAsia="黑体" w:hAnsi="黑体" w:hint="eastAsia"/>
                <w:b/>
                <w:szCs w:val="21"/>
              </w:rPr>
              <w:t>上海证券交易所上证路演中心投资者提问主要内容：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1、159*****956问江南水务董事长华锋：高管您好，请问您如何看待行业未来的发展前景？谢谢。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董事长华锋答:您好，感谢您对公司的关注。在国家政策支持下，水务行业的绿色化、数字化、高效化将成为未来高质量发展的必然趋势。具体内容可查询公司《2024年年度报告》第三节“管理层讨论与分析”之“六、公司行业格局与趋势”的情况分析。谢谢！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2、159*****956问江南水务董事长华锋：高管您好，能否请您介绍一下本期行业整体和行业内其他主要企业的业绩表现？谢谢。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董事长华锋答:您好，感谢您对公司的关注。水务行业属于公用事业行业，运营平稳，业绩表现稳定，行业内其他上市公司的业绩表现，请查询他们的定期报告。</w:t>
            </w:r>
            <w:r w:rsidRPr="002224E8">
              <w:rPr>
                <w:rFonts w:ascii="宋体" w:eastAsia="宋体" w:hAnsi="宋体" w:hint="eastAsia"/>
                <w:szCs w:val="21"/>
              </w:rPr>
              <w:lastRenderedPageBreak/>
              <w:t>谢谢！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3、159*****956问江南水务董事长华锋：高管您好，请问贵公司未来盈利增长的主要驱动因素有哪些？谢谢。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董事长华锋答:您好，感谢您对公司的关注。围绕打造中小城市水务企业行业标杆的战略目标，公司未来盈利增长的核心驱动因素将在提质增效、技术创新、延长产业链等方面展开，具体包括以下方面：（1）聚焦主业，提质增效。公司将推进“供排水一体化”建设，优化供水一体、推进排水一体化建设；（2）以数字化转型为驱动，推动公司创新发展。通过完善业务平台建设，逐步构建起一套全面、高效且协同的数字化体系；（3）推进排水业务范围，继续推进污水厂委托运营服务、排水管网运维服务；（4）加强科技创新，加大研发力度，以“零碳水厂”建设为抓手，通过技术创新生态构建绿色基建迭代升级，激发水务行业可持续发展新动能。谢谢！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4、159*****956问江南水务董事长华锋：高管您好。请问贵公司本期财务报告中，盈利表现如何？谢谢。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董事长华锋答:您好，感谢您对公司的关注。面对错综复杂的外部环境和日趋激烈的市场竞争，公司做强做优主业，稳中求进，取得较好的业绩，报告期内，公司实现营业收入153,306.74万元，同比增长12.39%；归属于上市公司股东的净资产438,506.65万元，同比增长17.67%；归属于上市公司股东的净利润40,200.44万元，同比增长24.31%；扣除非经常性损益后的净利润40,375.02万元，同比增加 35.36%。谢谢！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5、133*****685问江南水务总经理池永：请问公司2024年营收情况如何？ 是否完成预期了呢?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总经理池永答:您好，感谢您对公司的关注。面对错综复杂的外部环境和日趋激烈的市场竞争，公司做强做优主业，稳中求进，取得较好的业绩，报告期内，公司实现营业收入153,306.74万元，同比增长12.39%；归属于上市公司股东的净资产438,506.65万元，同比增长17.67%；归属于上市公司股东的净利润40,200.44万</w:t>
            </w:r>
            <w:r w:rsidRPr="002224E8">
              <w:rPr>
                <w:rFonts w:ascii="宋体" w:eastAsia="宋体" w:hAnsi="宋体" w:hint="eastAsia"/>
                <w:szCs w:val="21"/>
              </w:rPr>
              <w:lastRenderedPageBreak/>
              <w:t>元，同比增长24.31%；扣除非经常性损益后的净利润40,375.02万元，同比增加 35.36%。谢谢！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6、133*****685问江南水务总经理池永：您好，请问公司今年有扩展其他业务的打算吗？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总经理池永答:您好，感谢您对公司的关注。公司目前主要业务有自来水业务、工程业务、排水业务，根据发展战略，围绕打造中小城市水务企业行业标杆的战略目标，今年继续深耕主业，在与主业相关的产业领域实施多元化发展。谢谢！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7、133*****685问江南水务总经理池永：请问公司2024年是否有分红计划和派息政策？</w:t>
            </w:r>
          </w:p>
          <w:p w:rsidR="00B8797A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总经理池永答:您好，感谢您对公司的关注。2024年度利润分配方案如下：公司拟向全体股东每股派发现金红利0.11元（含税）。截至2024年12月31日，公司总股本935,210,292股，以此计算合计拟派发现金红利102,873,132.12元（含税）。公司本年度不进行资本公积金转增及送股。此议案尚需2024年度股东大会审议通过后实施。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 w:rsidRPr="002224E8">
              <w:rPr>
                <w:rFonts w:ascii="黑体" w:eastAsia="黑体" w:hAnsi="黑体" w:hint="eastAsia"/>
                <w:b/>
                <w:kern w:val="0"/>
                <w:szCs w:val="21"/>
              </w:rPr>
              <w:t>价值在线投资者提问主要内容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1.年报显示2024年营收同比增长12.39%，净利润增长24.31%，超出营收增速，请问主要得益于哪些业务板块的贡献？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答:尊敬的投资者您好，2024年扣非后的净利润同比增长35.36%，主要原因是本报告期初投资江苏江阴农村商业银行股份有限公司5.98亿元，按权益法核算，报告期新增确认投资收益1.17亿元，如剔除此影响因素，扣非后的净利润同比增长为 -3.98%。各业务板块情况为：自来水业务板块主营收入同比增长1.58%，工程业务板块主营收入同比增长21.92%，排水业务板块主营收入同比增长17.71%。 感谢您对公司的关注。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2.江阴市推进污水厂网一体化改革，公司计划如何通过“智慧排水”服务提升市场份额？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lastRenderedPageBreak/>
              <w:t>答:尊敬的投资者您好,公司计划从以下方面通过“智慧排水”服务提升市场份额：一是参与水环境综合治理，拓展排水设施运维业务，力争将全市域乡镇雨污水管网纳入统一养护范围，实现标准化、制度化的管网养护工作机制；二是推进“供排水业务一体化”系统建设、“智慧排水”防汛系统建设，实行智慧化管理，数据化监控，提高污水处理能力；三是发挥智慧排水平台作用，系统集成市政排水管网“一张电子图”，为管网运维和排口监测提供有力数据支撑；四是充分利用运营管理队伍、专业人才储备和成熟运营管理经验，积极开拓污水厂委托运行业务。 感谢您对公司的关注。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3.公司计划在水质深度处理、节能降耗等环节增加哪些新技术投入？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答:尊敬的投资者您好，公司坚持以节能减排为核心，通过技术创新和项目实施，不断提升能源利用效率，优化能源结构，推动绿色低碳发展。公司通过实施水厂分布式光伏发电、泵房节能技改、水厂尾泥资源化利用等项目进行节能降耗。感谢您对公司的关注。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4.公司在降低供水管网漏损率、污水处理达标排放等环保指标上有何具体目标？</w:t>
            </w: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答:尊敬的投资者您好，公司2025年产销差率目标不高于10%，污水处理排放指标按照GB18918-2002《城镇污水处理厂污染物排放标准》一级A 标准及DB32/4440-2022《城镇污水处理厂污染物排放标准》的要求达标排放。感谢您对公司的关注。</w:t>
            </w:r>
          </w:p>
          <w:p w:rsid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2224E8" w:rsidRPr="002224E8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224E8">
              <w:rPr>
                <w:rFonts w:ascii="宋体" w:eastAsia="宋体" w:hAnsi="宋体" w:hint="eastAsia"/>
                <w:b/>
                <w:szCs w:val="21"/>
              </w:rPr>
              <w:t>5.公司未来在排水业务方面有什么计划？</w:t>
            </w:r>
          </w:p>
          <w:p w:rsidR="002224E8" w:rsidRPr="00B8797A" w:rsidRDefault="002224E8" w:rsidP="002224E8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2224E8">
              <w:rPr>
                <w:rFonts w:ascii="宋体" w:eastAsia="宋体" w:hAnsi="宋体" w:hint="eastAsia"/>
                <w:szCs w:val="21"/>
              </w:rPr>
              <w:t>答:尊敬的投资者您好,在排水业务方面，公司将继续拓展排水设施运维业务、开展污水厂网一体化整合、污水处理厂委托运营等方面业务，未来公司将积极参与江阴市水环境综合治理，拓展排水业务。感谢您对公司的关注。</w:t>
            </w:r>
          </w:p>
        </w:tc>
      </w:tr>
      <w:tr w:rsidR="002224E8" w:rsidRPr="00DB7A74" w:rsidTr="00C26584">
        <w:trPr>
          <w:trHeight w:val="1127"/>
          <w:jc w:val="center"/>
        </w:trPr>
        <w:tc>
          <w:tcPr>
            <w:tcW w:w="1403" w:type="dxa"/>
            <w:vAlign w:val="center"/>
          </w:tcPr>
          <w:p w:rsidR="002224E8" w:rsidRPr="002224E8" w:rsidRDefault="002224E8" w:rsidP="002224E8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关于本次活动是否涉及应披露重大信息的说明</w:t>
            </w:r>
          </w:p>
        </w:tc>
        <w:tc>
          <w:tcPr>
            <w:tcW w:w="7654" w:type="dxa"/>
            <w:vAlign w:val="center"/>
          </w:tcPr>
          <w:p w:rsidR="002224E8" w:rsidRDefault="002224E8" w:rsidP="008E22AB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本次活动不涉及未公开披露的重大信息。</w:t>
            </w:r>
          </w:p>
        </w:tc>
      </w:tr>
      <w:tr w:rsidR="002224E8" w:rsidRPr="00DB7A74" w:rsidTr="00C26584">
        <w:trPr>
          <w:trHeight w:val="1127"/>
          <w:jc w:val="center"/>
        </w:trPr>
        <w:tc>
          <w:tcPr>
            <w:tcW w:w="1403" w:type="dxa"/>
            <w:vAlign w:val="center"/>
          </w:tcPr>
          <w:p w:rsidR="002224E8" w:rsidRPr="00640F29" w:rsidRDefault="002224E8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3102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附件清单（如有）</w:t>
            </w:r>
          </w:p>
        </w:tc>
        <w:tc>
          <w:tcPr>
            <w:tcW w:w="7654" w:type="dxa"/>
            <w:vAlign w:val="center"/>
          </w:tcPr>
          <w:p w:rsidR="002224E8" w:rsidRPr="00DB7A74" w:rsidRDefault="002224E8" w:rsidP="00C26584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无</w:t>
            </w:r>
          </w:p>
        </w:tc>
      </w:tr>
    </w:tbl>
    <w:p w:rsidR="00E272AD" w:rsidRDefault="00E272AD" w:rsidP="00E272AD">
      <w:pPr>
        <w:spacing w:line="360" w:lineRule="auto"/>
        <w:ind w:firstLineChars="202" w:firstLine="424"/>
      </w:pPr>
    </w:p>
    <w:p w:rsidR="004D4F22" w:rsidRDefault="004D4F22" w:rsidP="000C0943">
      <w:pPr>
        <w:spacing w:line="360" w:lineRule="auto"/>
        <w:ind w:firstLineChars="202" w:firstLine="424"/>
      </w:pPr>
    </w:p>
    <w:p w:rsidR="0053087D" w:rsidRDefault="00E272AD" w:rsidP="000C0943">
      <w:pPr>
        <w:spacing w:line="360" w:lineRule="auto"/>
        <w:ind w:firstLineChars="202" w:firstLine="424"/>
      </w:pPr>
      <w:r>
        <w:rPr>
          <w:rFonts w:hint="eastAsia"/>
        </w:rPr>
        <w:t>公司指定信息披露媒体为《中国证券报》《上海证券报》《证券时报》及上海证券交易所网站（</w:t>
      </w:r>
      <w:r>
        <w:rPr>
          <w:rFonts w:hint="eastAsia"/>
        </w:rPr>
        <w:t>www.sse.com.cn</w:t>
      </w:r>
      <w:r>
        <w:rPr>
          <w:rFonts w:hint="eastAsia"/>
        </w:rPr>
        <w:t>），公司所有信息均以在上述指定媒体和网站披露的为准。敬请广大投资者关注公司公告，并注意投资风险。</w:t>
      </w:r>
    </w:p>
    <w:p w:rsidR="0053087D" w:rsidRDefault="0053087D" w:rsidP="00E272AD">
      <w:pPr>
        <w:spacing w:line="360" w:lineRule="auto"/>
        <w:ind w:firstLineChars="202" w:firstLine="424"/>
      </w:pPr>
    </w:p>
    <w:p w:rsidR="00034CF1" w:rsidRDefault="00034CF1" w:rsidP="00E272AD">
      <w:pPr>
        <w:spacing w:line="360" w:lineRule="auto"/>
        <w:ind w:firstLineChars="202" w:firstLine="424"/>
      </w:pPr>
    </w:p>
    <w:p w:rsidR="00034CF1" w:rsidRDefault="00034CF1" w:rsidP="00E272AD">
      <w:pPr>
        <w:spacing w:line="360" w:lineRule="auto"/>
        <w:ind w:firstLineChars="202" w:firstLine="424"/>
      </w:pPr>
      <w:bookmarkStart w:id="3" w:name="_GoBack"/>
      <w:bookmarkEnd w:id="3"/>
    </w:p>
    <w:sectPr w:rsidR="00034CF1" w:rsidSect="008174A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AF" w:rsidRDefault="00135AAF">
      <w:r>
        <w:separator/>
      </w:r>
    </w:p>
  </w:endnote>
  <w:endnote w:type="continuationSeparator" w:id="0">
    <w:p w:rsidR="00135AAF" w:rsidRDefault="0013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AF" w:rsidRDefault="00135AAF">
      <w:r>
        <w:separator/>
      </w:r>
    </w:p>
  </w:footnote>
  <w:footnote w:type="continuationSeparator" w:id="0">
    <w:p w:rsidR="00135AAF" w:rsidRDefault="0013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2E"/>
    <w:rsid w:val="00003694"/>
    <w:rsid w:val="0002466F"/>
    <w:rsid w:val="00034CF1"/>
    <w:rsid w:val="0005187A"/>
    <w:rsid w:val="000929C1"/>
    <w:rsid w:val="000A3D14"/>
    <w:rsid w:val="000B0CB5"/>
    <w:rsid w:val="000B51BB"/>
    <w:rsid w:val="000C06FD"/>
    <w:rsid w:val="000C0943"/>
    <w:rsid w:val="000C3E97"/>
    <w:rsid w:val="000D36F1"/>
    <w:rsid w:val="000F0F9F"/>
    <w:rsid w:val="000F196A"/>
    <w:rsid w:val="000F2F44"/>
    <w:rsid w:val="001050B4"/>
    <w:rsid w:val="00120AFD"/>
    <w:rsid w:val="00122076"/>
    <w:rsid w:val="00123208"/>
    <w:rsid w:val="00135AAF"/>
    <w:rsid w:val="00145BAC"/>
    <w:rsid w:val="00174A4A"/>
    <w:rsid w:val="001E07F9"/>
    <w:rsid w:val="001E1A0D"/>
    <w:rsid w:val="002203A1"/>
    <w:rsid w:val="002224E8"/>
    <w:rsid w:val="00236527"/>
    <w:rsid w:val="00273536"/>
    <w:rsid w:val="002D4F4D"/>
    <w:rsid w:val="0031364A"/>
    <w:rsid w:val="003508B6"/>
    <w:rsid w:val="00360F53"/>
    <w:rsid w:val="00364292"/>
    <w:rsid w:val="00384A32"/>
    <w:rsid w:val="003C0448"/>
    <w:rsid w:val="003D0E71"/>
    <w:rsid w:val="003D3DB8"/>
    <w:rsid w:val="00430698"/>
    <w:rsid w:val="004368A7"/>
    <w:rsid w:val="00475893"/>
    <w:rsid w:val="004821B1"/>
    <w:rsid w:val="00490F60"/>
    <w:rsid w:val="00497CF7"/>
    <w:rsid w:val="004C7CB5"/>
    <w:rsid w:val="004D199D"/>
    <w:rsid w:val="004D4F22"/>
    <w:rsid w:val="0053087D"/>
    <w:rsid w:val="0056483D"/>
    <w:rsid w:val="005861DA"/>
    <w:rsid w:val="005A78DE"/>
    <w:rsid w:val="005B59E8"/>
    <w:rsid w:val="005B6D0D"/>
    <w:rsid w:val="005E2805"/>
    <w:rsid w:val="00606B8A"/>
    <w:rsid w:val="0064772E"/>
    <w:rsid w:val="006605BC"/>
    <w:rsid w:val="00663627"/>
    <w:rsid w:val="00690B93"/>
    <w:rsid w:val="00696209"/>
    <w:rsid w:val="006F2250"/>
    <w:rsid w:val="00715BFC"/>
    <w:rsid w:val="00720E8D"/>
    <w:rsid w:val="007249DE"/>
    <w:rsid w:val="00725B83"/>
    <w:rsid w:val="00764DBB"/>
    <w:rsid w:val="00771EC4"/>
    <w:rsid w:val="007B21E1"/>
    <w:rsid w:val="007C2FA7"/>
    <w:rsid w:val="007E20B0"/>
    <w:rsid w:val="007E6A21"/>
    <w:rsid w:val="007F2BAA"/>
    <w:rsid w:val="00802530"/>
    <w:rsid w:val="00837DC3"/>
    <w:rsid w:val="00847440"/>
    <w:rsid w:val="00877A40"/>
    <w:rsid w:val="008B5919"/>
    <w:rsid w:val="0090538B"/>
    <w:rsid w:val="00922204"/>
    <w:rsid w:val="009259DA"/>
    <w:rsid w:val="00926031"/>
    <w:rsid w:val="00935032"/>
    <w:rsid w:val="009519D6"/>
    <w:rsid w:val="00987E09"/>
    <w:rsid w:val="00994678"/>
    <w:rsid w:val="009B1AB2"/>
    <w:rsid w:val="009D2B8D"/>
    <w:rsid w:val="009E0D01"/>
    <w:rsid w:val="00A03FA5"/>
    <w:rsid w:val="00A2288E"/>
    <w:rsid w:val="00A25012"/>
    <w:rsid w:val="00A34C97"/>
    <w:rsid w:val="00A57611"/>
    <w:rsid w:val="00A7786C"/>
    <w:rsid w:val="00A8269B"/>
    <w:rsid w:val="00A97ACB"/>
    <w:rsid w:val="00AB2A13"/>
    <w:rsid w:val="00AE3068"/>
    <w:rsid w:val="00B23F82"/>
    <w:rsid w:val="00B33DBD"/>
    <w:rsid w:val="00B5177B"/>
    <w:rsid w:val="00B54A90"/>
    <w:rsid w:val="00B61FEF"/>
    <w:rsid w:val="00B673B5"/>
    <w:rsid w:val="00B757A0"/>
    <w:rsid w:val="00B8797A"/>
    <w:rsid w:val="00BA2D54"/>
    <w:rsid w:val="00BA4038"/>
    <w:rsid w:val="00C02A90"/>
    <w:rsid w:val="00C46E77"/>
    <w:rsid w:val="00C640DF"/>
    <w:rsid w:val="00C72D2E"/>
    <w:rsid w:val="00C7721C"/>
    <w:rsid w:val="00C97EE0"/>
    <w:rsid w:val="00CA7472"/>
    <w:rsid w:val="00D216A2"/>
    <w:rsid w:val="00D428EC"/>
    <w:rsid w:val="00D43C71"/>
    <w:rsid w:val="00D44F03"/>
    <w:rsid w:val="00D51E5D"/>
    <w:rsid w:val="00D9665E"/>
    <w:rsid w:val="00DC3C1D"/>
    <w:rsid w:val="00E077CE"/>
    <w:rsid w:val="00E1746A"/>
    <w:rsid w:val="00E272AD"/>
    <w:rsid w:val="00E30E38"/>
    <w:rsid w:val="00E50D85"/>
    <w:rsid w:val="00E60981"/>
    <w:rsid w:val="00E749F5"/>
    <w:rsid w:val="00EB4AF0"/>
    <w:rsid w:val="00EB5248"/>
    <w:rsid w:val="00EC48D2"/>
    <w:rsid w:val="00F34927"/>
    <w:rsid w:val="00F84FA9"/>
    <w:rsid w:val="00F92BE6"/>
    <w:rsid w:val="00FA3E70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64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77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A0"/>
    <w:rPr>
      <w:sz w:val="18"/>
      <w:szCs w:val="18"/>
    </w:rPr>
  </w:style>
  <w:style w:type="character" w:styleId="a6">
    <w:name w:val="Emphasis"/>
    <w:basedOn w:val="a0"/>
    <w:uiPriority w:val="20"/>
    <w:qFormat/>
    <w:rsid w:val="0053087D"/>
    <w:rPr>
      <w:i/>
      <w:iCs/>
    </w:rPr>
  </w:style>
  <w:style w:type="character" w:styleId="a7">
    <w:name w:val="Hyperlink"/>
    <w:basedOn w:val="a0"/>
    <w:uiPriority w:val="99"/>
    <w:unhideWhenUsed/>
    <w:rsid w:val="00EB524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224E8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64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77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A0"/>
    <w:rPr>
      <w:sz w:val="18"/>
      <w:szCs w:val="18"/>
    </w:rPr>
  </w:style>
  <w:style w:type="character" w:styleId="a6">
    <w:name w:val="Emphasis"/>
    <w:basedOn w:val="a0"/>
    <w:uiPriority w:val="20"/>
    <w:qFormat/>
    <w:rsid w:val="0053087D"/>
    <w:rPr>
      <w:i/>
      <w:iCs/>
    </w:rPr>
  </w:style>
  <w:style w:type="character" w:styleId="a7">
    <w:name w:val="Hyperlink"/>
    <w:basedOn w:val="a0"/>
    <w:uiPriority w:val="99"/>
    <w:unhideWhenUsed/>
    <w:rsid w:val="00EB524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224E8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cmx</dc:creator>
  <cp:lastModifiedBy>xb21cn</cp:lastModifiedBy>
  <cp:revision>22</cp:revision>
  <cp:lastPrinted>2024-11-18T08:39:00Z</cp:lastPrinted>
  <dcterms:created xsi:type="dcterms:W3CDTF">2023-12-06T02:12:00Z</dcterms:created>
  <dcterms:modified xsi:type="dcterms:W3CDTF">2025-05-13T09:10:00Z</dcterms:modified>
</cp:coreProperties>
</file>