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Pr="00A7505F" w:rsidRDefault="00226B25" w:rsidP="009555DF">
      <w:pPr>
        <w:spacing w:after="0" w:line="240" w:lineRule="auto"/>
        <w:jc w:val="center"/>
        <w:rPr>
          <w:rFonts w:ascii="Times New Roman" w:eastAsia="楷体" w:hAnsi="Times New Roman" w:cs="Times New Roman"/>
          <w:b/>
          <w:sz w:val="28"/>
          <w:szCs w:val="28"/>
        </w:rPr>
      </w:pPr>
      <w:r w:rsidRPr="00A7505F">
        <w:rPr>
          <w:rFonts w:ascii="Times New Roman" w:eastAsia="楷体" w:hAnsi="Times New Roman" w:cs="Times New Roman"/>
          <w:b/>
          <w:sz w:val="28"/>
          <w:szCs w:val="28"/>
        </w:rPr>
        <w:t>蓝星安迪苏股份有限公司</w:t>
      </w:r>
    </w:p>
    <w:p w14:paraId="70AC398F" w14:textId="1B7CA113" w:rsidR="00226B25" w:rsidRPr="00A7505F" w:rsidRDefault="008D533C" w:rsidP="009555DF">
      <w:pPr>
        <w:spacing w:after="0" w:line="240" w:lineRule="auto"/>
        <w:jc w:val="center"/>
        <w:rPr>
          <w:rFonts w:ascii="Times New Roman" w:eastAsia="楷体" w:hAnsi="Times New Roman" w:cs="Times New Roman"/>
          <w:b/>
          <w:sz w:val="28"/>
          <w:szCs w:val="28"/>
        </w:rPr>
      </w:pPr>
      <w:r w:rsidRPr="00A7505F">
        <w:rPr>
          <w:rFonts w:ascii="Times New Roman" w:eastAsia="楷体" w:hAnsi="Times New Roman" w:cs="Times New Roman"/>
          <w:b/>
          <w:sz w:val="28"/>
          <w:szCs w:val="28"/>
        </w:rPr>
        <w:t>202</w:t>
      </w:r>
      <w:r w:rsidR="007A3343" w:rsidRPr="00A7505F">
        <w:rPr>
          <w:rFonts w:ascii="Times New Roman" w:eastAsia="楷体" w:hAnsi="Times New Roman" w:cs="Times New Roman" w:hint="eastAsia"/>
          <w:b/>
          <w:sz w:val="28"/>
          <w:szCs w:val="28"/>
        </w:rPr>
        <w:t>5</w:t>
      </w:r>
      <w:r w:rsidRPr="00A7505F">
        <w:rPr>
          <w:rFonts w:ascii="Times New Roman" w:eastAsia="楷体" w:hAnsi="Times New Roman" w:cs="Times New Roman"/>
          <w:b/>
          <w:sz w:val="28"/>
          <w:szCs w:val="28"/>
        </w:rPr>
        <w:t>年</w:t>
      </w:r>
      <w:r w:rsidR="007A3343" w:rsidRPr="00A7505F">
        <w:rPr>
          <w:rFonts w:ascii="Times New Roman" w:eastAsia="楷体" w:hAnsi="Times New Roman" w:cs="Times New Roman" w:hint="eastAsia"/>
          <w:b/>
          <w:sz w:val="28"/>
          <w:szCs w:val="28"/>
        </w:rPr>
        <w:t>一季度</w:t>
      </w:r>
      <w:r w:rsidR="00E150C9" w:rsidRPr="00A7505F">
        <w:rPr>
          <w:rFonts w:ascii="Times New Roman" w:eastAsia="楷体" w:hAnsi="Times New Roman" w:cs="Times New Roman"/>
          <w:b/>
          <w:sz w:val="28"/>
          <w:szCs w:val="28"/>
        </w:rPr>
        <w:t>线上投资者沟通</w:t>
      </w:r>
      <w:r w:rsidR="00E150C9" w:rsidRPr="00A7505F">
        <w:rPr>
          <w:rFonts w:ascii="Times New Roman" w:eastAsia="楷体" w:hAnsi="Times New Roman" w:cs="Times New Roman" w:hint="eastAsia"/>
          <w:b/>
          <w:sz w:val="28"/>
          <w:szCs w:val="28"/>
        </w:rPr>
        <w:t>会会议记录</w:t>
      </w:r>
    </w:p>
    <w:p w14:paraId="1A2922B4" w14:textId="77777777" w:rsidR="009555DF" w:rsidRPr="00A7505F" w:rsidRDefault="009555DF" w:rsidP="009555DF">
      <w:pPr>
        <w:spacing w:after="0" w:line="240" w:lineRule="auto"/>
        <w:jc w:val="center"/>
        <w:rPr>
          <w:rFonts w:ascii="Times New Roman" w:eastAsia="楷体" w:hAnsi="Times New Roman" w:cs="Times New Roman"/>
          <w:b/>
          <w:sz w:val="24"/>
          <w:szCs w:val="24"/>
          <w:lang w:val="en-US"/>
        </w:rPr>
      </w:pPr>
    </w:p>
    <w:p w14:paraId="44CAD721" w14:textId="77777777" w:rsidR="00083BD2" w:rsidRPr="00A7505F" w:rsidRDefault="00722932" w:rsidP="00083BD2">
      <w:pPr>
        <w:pStyle w:val="a8"/>
        <w:numPr>
          <w:ilvl w:val="0"/>
          <w:numId w:val="1"/>
        </w:numPr>
        <w:ind w:firstLineChars="0"/>
        <w:rPr>
          <w:rFonts w:ascii="Times New Roman" w:eastAsia="楷体" w:hAnsi="Times New Roman"/>
          <w:sz w:val="24"/>
          <w:szCs w:val="24"/>
        </w:rPr>
      </w:pPr>
      <w:r w:rsidRPr="00A7505F">
        <w:rPr>
          <w:rFonts w:ascii="Times New Roman" w:eastAsia="楷体" w:hAnsi="Times New Roman"/>
          <w:sz w:val="24"/>
          <w:szCs w:val="24"/>
        </w:rPr>
        <w:t>会议</w:t>
      </w:r>
      <w:r w:rsidR="00226B25" w:rsidRPr="00A7505F">
        <w:rPr>
          <w:rFonts w:ascii="Times New Roman" w:eastAsia="楷体" w:hAnsi="Times New Roman"/>
          <w:sz w:val="24"/>
          <w:szCs w:val="24"/>
        </w:rPr>
        <w:t>时间</w:t>
      </w:r>
      <w:r w:rsidR="00083BD2" w:rsidRPr="00A7505F">
        <w:rPr>
          <w:rFonts w:ascii="Times New Roman" w:eastAsia="楷体" w:hAnsi="Times New Roman" w:hint="eastAsia"/>
          <w:sz w:val="24"/>
          <w:szCs w:val="24"/>
        </w:rPr>
        <w:t xml:space="preserve"> </w:t>
      </w:r>
    </w:p>
    <w:p w14:paraId="5F8E76AF" w14:textId="321C24F2" w:rsidR="00E150C9" w:rsidRPr="00A7505F" w:rsidRDefault="00E150C9" w:rsidP="00305D2B">
      <w:pPr>
        <w:pStyle w:val="a8"/>
        <w:ind w:leftChars="216" w:left="475" w:firstLineChars="0" w:firstLine="0"/>
        <w:rPr>
          <w:rFonts w:ascii="Times New Roman" w:eastAsia="楷体" w:hAnsi="Times New Roman"/>
          <w:sz w:val="24"/>
          <w:szCs w:val="24"/>
        </w:rPr>
      </w:pPr>
      <w:r w:rsidRPr="00A7505F">
        <w:rPr>
          <w:rFonts w:ascii="Times New Roman" w:eastAsia="楷体" w:hAnsi="Times New Roman" w:hint="eastAsia"/>
          <w:sz w:val="24"/>
          <w:szCs w:val="24"/>
        </w:rPr>
        <w:t>公司于</w:t>
      </w:r>
      <w:r w:rsidRPr="00A7505F">
        <w:rPr>
          <w:rFonts w:ascii="Times New Roman" w:eastAsia="楷体" w:hAnsi="Times New Roman" w:hint="eastAsia"/>
          <w:sz w:val="24"/>
          <w:szCs w:val="24"/>
        </w:rPr>
        <w:t>2025</w:t>
      </w:r>
      <w:r w:rsidRPr="00A7505F">
        <w:rPr>
          <w:rFonts w:ascii="Times New Roman" w:eastAsia="楷体" w:hAnsi="Times New Roman" w:hint="eastAsia"/>
          <w:sz w:val="24"/>
          <w:szCs w:val="24"/>
        </w:rPr>
        <w:t>年</w:t>
      </w:r>
      <w:r w:rsidR="007A3343" w:rsidRPr="00A7505F">
        <w:rPr>
          <w:rFonts w:ascii="Times New Roman" w:eastAsia="楷体" w:hAnsi="Times New Roman" w:hint="eastAsia"/>
          <w:sz w:val="24"/>
          <w:szCs w:val="24"/>
        </w:rPr>
        <w:t>5</w:t>
      </w:r>
      <w:r w:rsidRPr="00A7505F">
        <w:rPr>
          <w:rFonts w:ascii="Times New Roman" w:eastAsia="楷体" w:hAnsi="Times New Roman" w:hint="eastAsia"/>
          <w:sz w:val="24"/>
          <w:szCs w:val="24"/>
        </w:rPr>
        <w:t>月</w:t>
      </w:r>
      <w:r w:rsidR="007A3343" w:rsidRPr="00A7505F">
        <w:rPr>
          <w:rFonts w:ascii="Times New Roman" w:eastAsia="楷体" w:hAnsi="Times New Roman" w:hint="eastAsia"/>
          <w:sz w:val="24"/>
          <w:szCs w:val="24"/>
        </w:rPr>
        <w:t>12</w:t>
      </w:r>
      <w:r w:rsidRPr="00A7505F">
        <w:rPr>
          <w:rFonts w:ascii="Times New Roman" w:eastAsia="楷体" w:hAnsi="Times New Roman" w:hint="eastAsia"/>
          <w:sz w:val="24"/>
          <w:szCs w:val="24"/>
        </w:rPr>
        <w:t>日组织召开了</w:t>
      </w:r>
      <w:r w:rsidRPr="00A7505F">
        <w:rPr>
          <w:rFonts w:ascii="Times New Roman" w:eastAsia="楷体" w:hAnsi="Times New Roman" w:hint="eastAsia"/>
          <w:sz w:val="24"/>
          <w:szCs w:val="24"/>
        </w:rPr>
        <w:t>202</w:t>
      </w:r>
      <w:r w:rsidR="007A3343" w:rsidRPr="00A7505F">
        <w:rPr>
          <w:rFonts w:ascii="Times New Roman" w:eastAsia="楷体" w:hAnsi="Times New Roman" w:hint="eastAsia"/>
          <w:sz w:val="24"/>
          <w:szCs w:val="24"/>
        </w:rPr>
        <w:t>5</w:t>
      </w:r>
      <w:r w:rsidRPr="00A7505F">
        <w:rPr>
          <w:rFonts w:ascii="Times New Roman" w:eastAsia="楷体" w:hAnsi="Times New Roman" w:hint="eastAsia"/>
          <w:sz w:val="24"/>
          <w:szCs w:val="24"/>
        </w:rPr>
        <w:t>年</w:t>
      </w:r>
      <w:r w:rsidR="007A3343" w:rsidRPr="00A7505F">
        <w:rPr>
          <w:rFonts w:ascii="Times New Roman" w:eastAsia="楷体" w:hAnsi="Times New Roman" w:hint="eastAsia"/>
          <w:sz w:val="24"/>
          <w:szCs w:val="24"/>
        </w:rPr>
        <w:t>一季度</w:t>
      </w:r>
      <w:r w:rsidRPr="00A7505F">
        <w:rPr>
          <w:rFonts w:ascii="Times New Roman" w:eastAsia="楷体" w:hAnsi="Times New Roman" w:hint="eastAsia"/>
          <w:sz w:val="24"/>
          <w:szCs w:val="24"/>
        </w:rPr>
        <w:t>线上投资者沟通会。</w:t>
      </w:r>
    </w:p>
    <w:p w14:paraId="2412EC0A" w14:textId="77777777" w:rsidR="00FA3F64" w:rsidRPr="00A7505F" w:rsidRDefault="00F30264" w:rsidP="00030A0E">
      <w:pPr>
        <w:pStyle w:val="a8"/>
        <w:numPr>
          <w:ilvl w:val="0"/>
          <w:numId w:val="1"/>
        </w:numPr>
        <w:spacing w:before="100" w:beforeAutospacing="1"/>
        <w:ind w:firstLineChars="0"/>
        <w:rPr>
          <w:rFonts w:ascii="Times New Roman" w:eastAsia="楷体" w:hAnsi="Times New Roman"/>
          <w:sz w:val="24"/>
          <w:szCs w:val="24"/>
        </w:rPr>
      </w:pPr>
      <w:r w:rsidRPr="00A7505F">
        <w:rPr>
          <w:rFonts w:ascii="Times New Roman" w:eastAsia="楷体" w:hAnsi="Times New Roman"/>
          <w:sz w:val="24"/>
          <w:szCs w:val="24"/>
        </w:rPr>
        <w:t>参与单位名称及人员姓名</w:t>
      </w:r>
    </w:p>
    <w:p w14:paraId="04F5F688" w14:textId="77777777" w:rsidR="00C338D1" w:rsidRPr="00A7505F" w:rsidRDefault="00030A0E" w:rsidP="00030A0E">
      <w:pPr>
        <w:pStyle w:val="a8"/>
        <w:ind w:firstLine="480"/>
        <w:rPr>
          <w:rFonts w:ascii="Times New Roman" w:eastAsia="楷体" w:hAnsi="Times New Roman"/>
          <w:sz w:val="24"/>
          <w:szCs w:val="24"/>
        </w:rPr>
      </w:pPr>
      <w:r w:rsidRPr="00A7505F">
        <w:rPr>
          <w:rFonts w:ascii="Times New Roman" w:eastAsia="楷体" w:hAnsi="Times New Roman"/>
          <w:sz w:val="24"/>
          <w:szCs w:val="24"/>
        </w:rPr>
        <w:t>部分参会机构名单详见附件清单。</w:t>
      </w:r>
    </w:p>
    <w:p w14:paraId="6AFF6A0A" w14:textId="77777777" w:rsidR="00030A0E" w:rsidRPr="00A7505F" w:rsidRDefault="00FB4C84" w:rsidP="00574C82">
      <w:pPr>
        <w:pStyle w:val="a8"/>
        <w:ind w:leftChars="229" w:left="504" w:firstLineChars="0" w:firstLine="0"/>
        <w:rPr>
          <w:rFonts w:ascii="Times New Roman" w:eastAsia="楷体" w:hAnsi="Times New Roman"/>
          <w:sz w:val="24"/>
          <w:szCs w:val="24"/>
        </w:rPr>
      </w:pPr>
      <w:r w:rsidRPr="00A7505F">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A7505F" w:rsidRDefault="001947D3" w:rsidP="001947D3">
      <w:pPr>
        <w:pStyle w:val="a8"/>
        <w:ind w:firstLine="480"/>
        <w:rPr>
          <w:rFonts w:ascii="Times New Roman" w:eastAsia="楷体" w:hAnsi="Times New Roman"/>
          <w:sz w:val="24"/>
          <w:szCs w:val="24"/>
        </w:rPr>
      </w:pPr>
    </w:p>
    <w:p w14:paraId="3C5FCB39" w14:textId="77777777" w:rsidR="008A7352" w:rsidRPr="00A7505F" w:rsidRDefault="00F30264" w:rsidP="00E810C3">
      <w:pPr>
        <w:pStyle w:val="a8"/>
        <w:numPr>
          <w:ilvl w:val="0"/>
          <w:numId w:val="1"/>
        </w:numPr>
        <w:ind w:left="0" w:firstLineChars="0" w:firstLine="0"/>
        <w:rPr>
          <w:rFonts w:ascii="Times New Roman" w:eastAsia="楷体" w:hAnsi="Times New Roman"/>
          <w:sz w:val="24"/>
          <w:szCs w:val="24"/>
        </w:rPr>
      </w:pPr>
      <w:r w:rsidRPr="00A7505F">
        <w:rPr>
          <w:rFonts w:ascii="Times New Roman" w:eastAsia="楷体" w:hAnsi="Times New Roman"/>
          <w:sz w:val="24"/>
          <w:szCs w:val="24"/>
        </w:rPr>
        <w:t>公司接待人员</w:t>
      </w:r>
    </w:p>
    <w:p w14:paraId="40BD68DE" w14:textId="77777777" w:rsidR="00E150C9" w:rsidRPr="00A7505F" w:rsidRDefault="008A7352" w:rsidP="00E150C9">
      <w:pPr>
        <w:spacing w:after="0"/>
        <w:ind w:firstLineChars="192" w:firstLine="461"/>
        <w:rPr>
          <w:rFonts w:ascii="Times New Roman" w:eastAsia="楷体" w:hAnsi="Times New Roman" w:cs="Times New Roman"/>
          <w:sz w:val="24"/>
          <w:szCs w:val="24"/>
        </w:rPr>
      </w:pPr>
      <w:r w:rsidRPr="00A7505F">
        <w:rPr>
          <w:rFonts w:ascii="Times New Roman" w:eastAsia="楷体" w:hAnsi="Times New Roman" w:cs="Times New Roman"/>
          <w:sz w:val="24"/>
          <w:szCs w:val="24"/>
        </w:rPr>
        <w:t>董事长</w:t>
      </w:r>
      <w:r w:rsidR="004462EB" w:rsidRPr="00A7505F">
        <w:rPr>
          <w:rFonts w:ascii="Times New Roman" w:eastAsia="楷体" w:hAnsi="Times New Roman" w:cs="Times New Roman"/>
          <w:sz w:val="24"/>
          <w:szCs w:val="24"/>
        </w:rPr>
        <w:t>兼总经理</w:t>
      </w:r>
      <w:r w:rsidR="00E60BD8" w:rsidRPr="00A7505F">
        <w:rPr>
          <w:rFonts w:ascii="Times New Roman" w:eastAsia="楷体" w:hAnsi="Times New Roman" w:cs="Times New Roman"/>
          <w:sz w:val="24"/>
          <w:szCs w:val="24"/>
        </w:rPr>
        <w:t>（</w:t>
      </w:r>
      <w:r w:rsidR="00E60BD8" w:rsidRPr="00A7505F">
        <w:rPr>
          <w:rFonts w:ascii="Times New Roman" w:eastAsia="楷体" w:hAnsi="Times New Roman" w:cs="Times New Roman"/>
          <w:sz w:val="24"/>
          <w:szCs w:val="24"/>
        </w:rPr>
        <w:t>CEO</w:t>
      </w:r>
      <w:r w:rsidR="00E60BD8" w:rsidRPr="00A7505F">
        <w:rPr>
          <w:rFonts w:ascii="Times New Roman" w:eastAsia="楷体" w:hAnsi="Times New Roman" w:cs="Times New Roman"/>
          <w:sz w:val="24"/>
          <w:szCs w:val="24"/>
        </w:rPr>
        <w:t>）</w:t>
      </w:r>
      <w:r w:rsidRPr="00A7505F">
        <w:rPr>
          <w:rFonts w:ascii="Times New Roman" w:eastAsia="楷体" w:hAnsi="Times New Roman" w:cs="Times New Roman"/>
          <w:sz w:val="24"/>
          <w:szCs w:val="24"/>
        </w:rPr>
        <w:t>：郝志刚先生</w:t>
      </w:r>
    </w:p>
    <w:p w14:paraId="3136C1AA" w14:textId="77777777" w:rsidR="008A7352" w:rsidRPr="00A7505F" w:rsidRDefault="008A7352" w:rsidP="008A7352">
      <w:pPr>
        <w:spacing w:after="0"/>
        <w:ind w:firstLineChars="192" w:firstLine="461"/>
        <w:rPr>
          <w:rFonts w:ascii="Times New Roman" w:eastAsia="楷体" w:hAnsi="Times New Roman" w:cs="Times New Roman"/>
          <w:sz w:val="24"/>
          <w:szCs w:val="24"/>
        </w:rPr>
      </w:pPr>
      <w:r w:rsidRPr="00A7505F">
        <w:rPr>
          <w:rFonts w:ascii="Times New Roman" w:eastAsia="楷体" w:hAnsi="Times New Roman" w:cs="Times New Roman"/>
          <w:sz w:val="24"/>
          <w:szCs w:val="24"/>
        </w:rPr>
        <w:t>首席运营官</w:t>
      </w:r>
      <w:r w:rsidR="006E6E1C" w:rsidRPr="00A7505F">
        <w:rPr>
          <w:rFonts w:ascii="Times New Roman" w:eastAsia="楷体" w:hAnsi="Times New Roman" w:cs="Times New Roman"/>
          <w:sz w:val="24"/>
          <w:szCs w:val="24"/>
        </w:rPr>
        <w:t>兼副总经理</w:t>
      </w:r>
      <w:r w:rsidRPr="00A7505F">
        <w:rPr>
          <w:rFonts w:ascii="Times New Roman" w:eastAsia="楷体" w:hAnsi="Times New Roman" w:cs="Times New Roman"/>
          <w:sz w:val="24"/>
          <w:szCs w:val="24"/>
        </w:rPr>
        <w:t>：</w:t>
      </w:r>
      <w:r w:rsidRPr="00A7505F">
        <w:rPr>
          <w:rFonts w:ascii="Times New Roman" w:eastAsia="楷体" w:hAnsi="Times New Roman" w:cs="Times New Roman"/>
          <w:sz w:val="24"/>
          <w:szCs w:val="24"/>
        </w:rPr>
        <w:t>Frederic Jacquin</w:t>
      </w:r>
      <w:r w:rsidRPr="00A7505F">
        <w:rPr>
          <w:rFonts w:ascii="Times New Roman" w:eastAsia="楷体" w:hAnsi="Times New Roman" w:cs="Times New Roman"/>
          <w:sz w:val="24"/>
          <w:szCs w:val="24"/>
        </w:rPr>
        <w:t>先生</w:t>
      </w:r>
    </w:p>
    <w:p w14:paraId="1CB07146" w14:textId="77777777" w:rsidR="004462EB" w:rsidRPr="00A7505F" w:rsidRDefault="008A7352" w:rsidP="008A7352">
      <w:pPr>
        <w:spacing w:after="0"/>
        <w:ind w:firstLineChars="192" w:firstLine="461"/>
        <w:rPr>
          <w:rFonts w:ascii="Times New Roman" w:eastAsia="楷体" w:hAnsi="Times New Roman" w:cs="Times New Roman"/>
          <w:sz w:val="24"/>
          <w:szCs w:val="24"/>
        </w:rPr>
      </w:pPr>
      <w:r w:rsidRPr="00A7505F">
        <w:rPr>
          <w:rFonts w:ascii="Times New Roman" w:eastAsia="楷体" w:hAnsi="Times New Roman" w:cs="Times New Roman"/>
          <w:sz w:val="24"/>
          <w:szCs w:val="24"/>
        </w:rPr>
        <w:t>首席财务官：</w:t>
      </w:r>
      <w:r w:rsidRPr="00A7505F">
        <w:rPr>
          <w:rFonts w:ascii="Times New Roman" w:eastAsia="楷体" w:hAnsi="Times New Roman" w:cs="Times New Roman"/>
          <w:sz w:val="24"/>
          <w:szCs w:val="24"/>
        </w:rPr>
        <w:t>Virginie Cayatte</w:t>
      </w:r>
      <w:r w:rsidRPr="00A7505F">
        <w:rPr>
          <w:rFonts w:ascii="Times New Roman" w:eastAsia="楷体" w:hAnsi="Times New Roman" w:cs="Times New Roman"/>
          <w:sz w:val="24"/>
          <w:szCs w:val="24"/>
        </w:rPr>
        <w:t>女士</w:t>
      </w:r>
    </w:p>
    <w:p w14:paraId="37F64E17" w14:textId="77777777" w:rsidR="008A7352" w:rsidRPr="00A7505F" w:rsidRDefault="004462EB" w:rsidP="008A7352">
      <w:pPr>
        <w:spacing w:after="0"/>
        <w:ind w:firstLineChars="192" w:firstLine="461"/>
        <w:rPr>
          <w:rFonts w:ascii="Times New Roman" w:eastAsia="楷体" w:hAnsi="Times New Roman" w:cs="Times New Roman"/>
          <w:sz w:val="24"/>
          <w:szCs w:val="24"/>
        </w:rPr>
      </w:pPr>
      <w:r w:rsidRPr="00A7505F">
        <w:rPr>
          <w:rFonts w:ascii="Times New Roman" w:eastAsia="楷体" w:hAnsi="Times New Roman" w:cs="Times New Roman"/>
          <w:sz w:val="24"/>
          <w:szCs w:val="24"/>
        </w:rPr>
        <w:t>董事会秘书</w:t>
      </w:r>
      <w:r w:rsidR="008A7352" w:rsidRPr="00A7505F">
        <w:rPr>
          <w:rFonts w:ascii="Times New Roman" w:eastAsia="楷体" w:hAnsi="Times New Roman" w:cs="Times New Roman"/>
          <w:sz w:val="24"/>
          <w:szCs w:val="24"/>
        </w:rPr>
        <w:t>：蔡昀女士</w:t>
      </w:r>
    </w:p>
    <w:p w14:paraId="7F1EA304" w14:textId="77777777" w:rsidR="009555DF" w:rsidRPr="00A7505F"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A7505F">
        <w:rPr>
          <w:rFonts w:ascii="Times New Roman" w:eastAsia="楷体" w:hAnsi="Times New Roman"/>
          <w:sz w:val="24"/>
          <w:szCs w:val="24"/>
        </w:rPr>
        <w:t>会议</w:t>
      </w:r>
      <w:r w:rsidR="003A15CB" w:rsidRPr="00A7505F">
        <w:rPr>
          <w:rFonts w:ascii="Times New Roman" w:eastAsia="楷体" w:hAnsi="Times New Roman"/>
          <w:sz w:val="24"/>
          <w:szCs w:val="24"/>
        </w:rPr>
        <w:t>地点</w:t>
      </w:r>
    </w:p>
    <w:p w14:paraId="5560C86A" w14:textId="4982AB41" w:rsidR="009555DF" w:rsidRPr="00A7505F" w:rsidRDefault="004462EB" w:rsidP="00854A00">
      <w:pPr>
        <w:pStyle w:val="a8"/>
        <w:ind w:leftChars="216" w:left="475" w:firstLineChars="0" w:firstLine="0"/>
        <w:rPr>
          <w:rFonts w:ascii="Times New Roman" w:eastAsia="楷体" w:hAnsi="Times New Roman"/>
          <w:sz w:val="24"/>
          <w:szCs w:val="24"/>
        </w:rPr>
      </w:pPr>
      <w:r w:rsidRPr="00A7505F">
        <w:rPr>
          <w:rFonts w:ascii="Times New Roman" w:eastAsia="楷体" w:hAnsi="Times New Roman"/>
          <w:sz w:val="24"/>
          <w:szCs w:val="24"/>
        </w:rPr>
        <w:t>Teams</w:t>
      </w:r>
      <w:r w:rsidRPr="00A7505F">
        <w:rPr>
          <w:rFonts w:ascii="Times New Roman" w:eastAsia="楷体" w:hAnsi="Times New Roman"/>
          <w:sz w:val="24"/>
          <w:szCs w:val="24"/>
        </w:rPr>
        <w:t>线上会议</w:t>
      </w:r>
    </w:p>
    <w:p w14:paraId="7CF55D00" w14:textId="77777777" w:rsidR="00CF7F64" w:rsidRPr="00A7505F"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A7505F">
        <w:rPr>
          <w:rFonts w:ascii="Times New Roman" w:eastAsia="楷体" w:hAnsi="Times New Roman"/>
          <w:sz w:val="24"/>
          <w:szCs w:val="24"/>
        </w:rPr>
        <w:t>主要</w:t>
      </w:r>
      <w:r w:rsidR="00226B25" w:rsidRPr="00A7505F">
        <w:rPr>
          <w:rFonts w:ascii="Times New Roman" w:eastAsia="楷体" w:hAnsi="Times New Roman"/>
          <w:sz w:val="24"/>
          <w:szCs w:val="24"/>
        </w:rPr>
        <w:t>内容</w:t>
      </w:r>
    </w:p>
    <w:p w14:paraId="4EC9A9B0" w14:textId="24312653" w:rsidR="00A044E5" w:rsidRPr="00A7505F" w:rsidRDefault="000130C0" w:rsidP="009F6893">
      <w:pPr>
        <w:pStyle w:val="a8"/>
        <w:ind w:left="480" w:firstLineChars="0" w:firstLine="0"/>
        <w:rPr>
          <w:rFonts w:ascii="Times New Roman" w:eastAsia="楷体" w:hAnsi="Times New Roman"/>
          <w:sz w:val="24"/>
          <w:szCs w:val="24"/>
        </w:rPr>
      </w:pPr>
      <w:r w:rsidRPr="00A7505F">
        <w:rPr>
          <w:rFonts w:ascii="Times New Roman" w:eastAsia="楷体" w:hAnsi="Times New Roman"/>
          <w:sz w:val="24"/>
          <w:szCs w:val="24"/>
        </w:rPr>
        <w:t>公司就投资者普遍关注的问题进行回答。沟通内容如下：</w:t>
      </w:r>
    </w:p>
    <w:p w14:paraId="3D6AF029" w14:textId="77777777" w:rsidR="009F6893" w:rsidRPr="00A7505F" w:rsidRDefault="009F6893" w:rsidP="009F6893">
      <w:pPr>
        <w:pStyle w:val="a8"/>
        <w:ind w:left="480" w:firstLineChars="0" w:firstLine="0"/>
        <w:rPr>
          <w:rFonts w:ascii="Times New Roman" w:eastAsia="楷体" w:hAnsi="Times New Roman"/>
          <w:sz w:val="24"/>
          <w:szCs w:val="24"/>
        </w:rPr>
      </w:pPr>
    </w:p>
    <w:p w14:paraId="5D01915F" w14:textId="77777777" w:rsidR="00C316C5"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sz w:val="24"/>
          <w:szCs w:val="24"/>
        </w:rPr>
        <w:t>蛋氨酸下半年价格预期？</w:t>
      </w:r>
    </w:p>
    <w:p w14:paraId="596A2495" w14:textId="40F047DC" w:rsidR="009F6893" w:rsidRPr="00A7505F" w:rsidRDefault="00D12E1E" w:rsidP="00C316C5">
      <w:pPr>
        <w:pStyle w:val="a8"/>
        <w:ind w:left="434" w:firstLine="480"/>
        <w:rPr>
          <w:rFonts w:ascii="Times New Roman" w:eastAsia="楷体" w:hAnsi="Times New Roman"/>
          <w:sz w:val="24"/>
          <w:szCs w:val="24"/>
        </w:rPr>
      </w:pPr>
      <w:r w:rsidRPr="00A7505F">
        <w:rPr>
          <w:rFonts w:ascii="Times New Roman" w:eastAsia="楷体" w:hAnsi="Times New Roman" w:hint="eastAsia"/>
          <w:sz w:val="24"/>
          <w:szCs w:val="24"/>
        </w:rPr>
        <w:t>蛋氨酸下游应用一半左右是禽类养殖，而作为第一大动物蛋白消费品类</w:t>
      </w:r>
      <w:r w:rsidR="009B5309" w:rsidRPr="00A7505F">
        <w:rPr>
          <w:rFonts w:ascii="Times New Roman" w:eastAsia="楷体" w:hAnsi="Times New Roman" w:hint="eastAsia"/>
          <w:sz w:val="24"/>
          <w:szCs w:val="24"/>
        </w:rPr>
        <w:t>，</w:t>
      </w:r>
      <w:r w:rsidR="000B1CCA" w:rsidRPr="00A7505F">
        <w:rPr>
          <w:rFonts w:ascii="Times New Roman" w:eastAsia="楷体" w:hAnsi="Times New Roman" w:hint="eastAsia"/>
          <w:sz w:val="24"/>
          <w:szCs w:val="24"/>
        </w:rPr>
        <w:t>鸡肉</w:t>
      </w:r>
      <w:r w:rsidR="00800EC5" w:rsidRPr="00A7505F">
        <w:rPr>
          <w:rFonts w:ascii="Times New Roman" w:eastAsia="楷体" w:hAnsi="Times New Roman" w:hint="eastAsia"/>
          <w:sz w:val="24"/>
          <w:szCs w:val="24"/>
        </w:rPr>
        <w:t>需求</w:t>
      </w:r>
      <w:r w:rsidR="000B1CCA" w:rsidRPr="00A7505F">
        <w:rPr>
          <w:rFonts w:ascii="Times New Roman" w:eastAsia="楷体" w:hAnsi="Times New Roman" w:hint="eastAsia"/>
          <w:sz w:val="24"/>
          <w:szCs w:val="24"/>
        </w:rPr>
        <w:t>的</w:t>
      </w:r>
      <w:r w:rsidRPr="00A7505F">
        <w:rPr>
          <w:rFonts w:ascii="Times New Roman" w:eastAsia="楷体" w:hAnsi="Times New Roman" w:hint="eastAsia"/>
          <w:sz w:val="24"/>
          <w:szCs w:val="24"/>
        </w:rPr>
        <w:t>持续增长是蛋氨</w:t>
      </w:r>
      <w:proofErr w:type="gramStart"/>
      <w:r w:rsidRPr="00A7505F">
        <w:rPr>
          <w:rFonts w:ascii="Times New Roman" w:eastAsia="楷体" w:hAnsi="Times New Roman" w:hint="eastAsia"/>
          <w:sz w:val="24"/>
          <w:szCs w:val="24"/>
        </w:rPr>
        <w:t>酸保持</w:t>
      </w:r>
      <w:proofErr w:type="gramEnd"/>
      <w:r w:rsidRPr="00A7505F">
        <w:rPr>
          <w:rFonts w:ascii="Times New Roman" w:eastAsia="楷体" w:hAnsi="Times New Roman" w:hint="eastAsia"/>
          <w:sz w:val="24"/>
          <w:szCs w:val="24"/>
        </w:rPr>
        <w:t>市场需求增长的重要促进因素</w:t>
      </w:r>
      <w:r w:rsidR="00E94D35" w:rsidRPr="00A7505F">
        <w:rPr>
          <w:rFonts w:ascii="Times New Roman" w:eastAsia="楷体" w:hAnsi="Times New Roman" w:hint="eastAsia"/>
          <w:sz w:val="24"/>
          <w:szCs w:val="24"/>
        </w:rPr>
        <w:t>。</w:t>
      </w:r>
      <w:r w:rsidR="009F6893" w:rsidRPr="00A7505F">
        <w:rPr>
          <w:rFonts w:ascii="Times New Roman" w:eastAsia="楷体" w:hAnsi="Times New Roman" w:hint="eastAsia"/>
          <w:sz w:val="24"/>
          <w:szCs w:val="24"/>
        </w:rPr>
        <w:t>目前来看，得益于持续强劲的下游需求支撑，</w:t>
      </w:r>
      <w:r w:rsidR="00314813" w:rsidRPr="00A7505F">
        <w:rPr>
          <w:rFonts w:ascii="Times New Roman" w:eastAsia="楷体" w:hAnsi="Times New Roman" w:hint="eastAsia"/>
          <w:sz w:val="24"/>
          <w:szCs w:val="24"/>
        </w:rPr>
        <w:t>在</w:t>
      </w:r>
      <w:r w:rsidR="00CA64CF" w:rsidRPr="00A7505F">
        <w:rPr>
          <w:rFonts w:ascii="Times New Roman" w:eastAsia="楷体" w:hAnsi="Times New Roman" w:hint="eastAsia"/>
          <w:sz w:val="24"/>
          <w:szCs w:val="24"/>
        </w:rPr>
        <w:t>蛋氨酸的供求状况</w:t>
      </w:r>
      <w:r w:rsidR="00314813" w:rsidRPr="00A7505F">
        <w:rPr>
          <w:rFonts w:ascii="Times New Roman" w:eastAsia="楷体" w:hAnsi="Times New Roman" w:hint="eastAsia"/>
          <w:sz w:val="24"/>
          <w:szCs w:val="24"/>
        </w:rPr>
        <w:t>未有新产能进入的情况</w:t>
      </w:r>
      <w:r w:rsidR="00E94D35" w:rsidRPr="00A7505F">
        <w:rPr>
          <w:rFonts w:ascii="Times New Roman" w:eastAsia="楷体" w:hAnsi="Times New Roman" w:hint="eastAsia"/>
          <w:sz w:val="24"/>
          <w:szCs w:val="24"/>
        </w:rPr>
        <w:t>下</w:t>
      </w:r>
      <w:r w:rsidR="00FA1B6E" w:rsidRPr="00A7505F">
        <w:rPr>
          <w:rFonts w:ascii="Times New Roman" w:eastAsia="楷体" w:hAnsi="Times New Roman" w:hint="eastAsia"/>
          <w:sz w:val="24"/>
          <w:szCs w:val="24"/>
        </w:rPr>
        <w:t>，预计</w:t>
      </w:r>
      <w:r w:rsidR="009F6893" w:rsidRPr="00A7505F">
        <w:rPr>
          <w:rFonts w:ascii="Times New Roman" w:eastAsia="楷体" w:hAnsi="Times New Roman" w:hint="eastAsia"/>
          <w:sz w:val="24"/>
          <w:szCs w:val="24"/>
        </w:rPr>
        <w:t>价格</w:t>
      </w:r>
      <w:r w:rsidR="00E94D35" w:rsidRPr="00A7505F">
        <w:rPr>
          <w:rFonts w:ascii="Times New Roman" w:eastAsia="楷体" w:hAnsi="Times New Roman" w:hint="eastAsia"/>
          <w:sz w:val="24"/>
          <w:szCs w:val="24"/>
        </w:rPr>
        <w:t>在</w:t>
      </w:r>
      <w:r w:rsidR="009F6893" w:rsidRPr="00A7505F">
        <w:rPr>
          <w:rFonts w:ascii="Times New Roman" w:eastAsia="楷体" w:hAnsi="Times New Roman" w:hint="eastAsia"/>
          <w:sz w:val="24"/>
          <w:szCs w:val="24"/>
        </w:rPr>
        <w:t>第三季度</w:t>
      </w:r>
      <w:r w:rsidR="00E94D35" w:rsidRPr="00A7505F">
        <w:rPr>
          <w:rFonts w:ascii="Times New Roman" w:eastAsia="楷体" w:hAnsi="Times New Roman" w:hint="eastAsia"/>
          <w:sz w:val="24"/>
          <w:szCs w:val="24"/>
        </w:rPr>
        <w:t>将</w:t>
      </w:r>
      <w:r w:rsidR="009F6893" w:rsidRPr="00A7505F">
        <w:rPr>
          <w:rFonts w:ascii="Times New Roman" w:eastAsia="楷体" w:hAnsi="Times New Roman" w:hint="eastAsia"/>
          <w:sz w:val="24"/>
          <w:szCs w:val="24"/>
        </w:rPr>
        <w:t>保持相对稳定。尽管中长期来看，国内新增液体蛋氨酸产能的释放可能对价格形成下行压力，但目前新产能投产时间尚不明确，短期内不会对市场产生显著冲击；若新产能于今年四季度逐步落地，价格可能面临调整</w:t>
      </w:r>
      <w:r w:rsidR="002576E5" w:rsidRPr="00A7505F">
        <w:rPr>
          <w:rFonts w:ascii="Times New Roman" w:eastAsia="楷体" w:hAnsi="Times New Roman" w:hint="eastAsia"/>
          <w:sz w:val="24"/>
          <w:szCs w:val="24"/>
        </w:rPr>
        <w:t>。</w:t>
      </w:r>
      <w:r w:rsidR="009F6893" w:rsidRPr="00A7505F">
        <w:rPr>
          <w:rFonts w:ascii="Times New Roman" w:eastAsia="楷体" w:hAnsi="Times New Roman" w:hint="eastAsia"/>
          <w:sz w:val="24"/>
          <w:szCs w:val="24"/>
        </w:rPr>
        <w:t>综上，蛋氨酸在三季度价格大概率与二季度维持相近水平，后续需重点关注产能释放节奏及供需格局变化。</w:t>
      </w:r>
    </w:p>
    <w:p w14:paraId="59817F9E" w14:textId="77777777" w:rsidR="009F6893" w:rsidRPr="00A7505F" w:rsidRDefault="009F6893" w:rsidP="009F6893">
      <w:pPr>
        <w:pStyle w:val="a8"/>
        <w:spacing w:after="160" w:line="278" w:lineRule="auto"/>
        <w:ind w:left="800" w:firstLineChars="0" w:firstLine="0"/>
        <w:contextualSpacing/>
        <w:rPr>
          <w:rFonts w:ascii="Times New Roman" w:eastAsia="楷体" w:hAnsi="Times New Roman"/>
          <w:sz w:val="24"/>
          <w:szCs w:val="24"/>
        </w:rPr>
      </w:pPr>
    </w:p>
    <w:p w14:paraId="1E7762E9" w14:textId="45232F6F"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hint="eastAsia"/>
          <w:sz w:val="24"/>
          <w:szCs w:val="24"/>
        </w:rPr>
        <w:t>今年一季度蛋氨</w:t>
      </w:r>
      <w:proofErr w:type="gramStart"/>
      <w:r w:rsidRPr="00A7505F">
        <w:rPr>
          <w:rFonts w:ascii="Times New Roman" w:eastAsia="楷体" w:hAnsi="Times New Roman" w:hint="eastAsia"/>
          <w:sz w:val="24"/>
          <w:szCs w:val="24"/>
        </w:rPr>
        <w:t>酸价格</w:t>
      </w:r>
      <w:proofErr w:type="gramEnd"/>
      <w:r w:rsidRPr="00A7505F">
        <w:rPr>
          <w:rFonts w:ascii="Times New Roman" w:eastAsia="楷体" w:hAnsi="Times New Roman" w:hint="eastAsia"/>
          <w:sz w:val="24"/>
          <w:szCs w:val="24"/>
        </w:rPr>
        <w:t>上涨的主要原因？</w:t>
      </w:r>
    </w:p>
    <w:p w14:paraId="7C6D1F86" w14:textId="1EB593B9"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今年一季度蛋氨</w:t>
      </w:r>
      <w:proofErr w:type="gramStart"/>
      <w:r w:rsidRPr="00A7505F">
        <w:rPr>
          <w:rFonts w:ascii="Times New Roman" w:eastAsia="楷体" w:hAnsi="Times New Roman" w:hint="eastAsia"/>
          <w:sz w:val="24"/>
        </w:rPr>
        <w:t>酸价格</w:t>
      </w:r>
      <w:proofErr w:type="gramEnd"/>
      <w:r w:rsidRPr="00A7505F">
        <w:rPr>
          <w:rFonts w:ascii="Times New Roman" w:eastAsia="楷体" w:hAnsi="Times New Roman" w:hint="eastAsia"/>
          <w:sz w:val="24"/>
        </w:rPr>
        <w:t>上涨主要受供给和需求两端综合因素影响。从需求端来看，一方面饲料原料价格走高</w:t>
      </w:r>
      <w:proofErr w:type="gramStart"/>
      <w:r w:rsidRPr="00A7505F">
        <w:rPr>
          <w:rFonts w:ascii="Times New Roman" w:eastAsia="楷体" w:hAnsi="Times New Roman" w:hint="eastAsia"/>
          <w:sz w:val="24"/>
        </w:rPr>
        <w:t>企推动豆粕</w:t>
      </w:r>
      <w:proofErr w:type="gramEnd"/>
      <w:r w:rsidRPr="00A7505F">
        <w:rPr>
          <w:rFonts w:ascii="Times New Roman" w:eastAsia="楷体" w:hAnsi="Times New Roman" w:hint="eastAsia"/>
          <w:sz w:val="24"/>
        </w:rPr>
        <w:t>替代效应，一定程度上带动添加需求；另一方面，动物蛋白需求</w:t>
      </w:r>
      <w:proofErr w:type="gramStart"/>
      <w:r w:rsidRPr="00A7505F">
        <w:rPr>
          <w:rFonts w:ascii="Times New Roman" w:eastAsia="楷体" w:hAnsi="Times New Roman" w:hint="eastAsia"/>
          <w:sz w:val="24"/>
        </w:rPr>
        <w:t>呈内生持续</w:t>
      </w:r>
      <w:proofErr w:type="gramEnd"/>
      <w:r w:rsidRPr="00A7505F">
        <w:rPr>
          <w:rFonts w:ascii="Times New Roman" w:eastAsia="楷体" w:hAnsi="Times New Roman" w:hint="eastAsia"/>
          <w:sz w:val="24"/>
        </w:rPr>
        <w:t>增长态势，尤其禽肉作为当前动物蛋白消耗占比最大的品类，其</w:t>
      </w:r>
      <w:r w:rsidR="00ED3295" w:rsidRPr="00A7505F">
        <w:rPr>
          <w:rFonts w:ascii="Times New Roman" w:eastAsia="楷体" w:hAnsi="Times New Roman" w:hint="eastAsia"/>
          <w:sz w:val="24"/>
        </w:rPr>
        <w:t>市场需求增长持续促进</w:t>
      </w:r>
      <w:r w:rsidRPr="00A7505F">
        <w:rPr>
          <w:rFonts w:ascii="Times New Roman" w:eastAsia="楷体" w:hAnsi="Times New Roman" w:hint="eastAsia"/>
          <w:sz w:val="24"/>
        </w:rPr>
        <w:t>蛋氨</w:t>
      </w:r>
      <w:proofErr w:type="gramStart"/>
      <w:r w:rsidRPr="00A7505F">
        <w:rPr>
          <w:rFonts w:ascii="Times New Roman" w:eastAsia="楷体" w:hAnsi="Times New Roman" w:hint="eastAsia"/>
          <w:sz w:val="24"/>
        </w:rPr>
        <w:t>酸需求</w:t>
      </w:r>
      <w:proofErr w:type="gramEnd"/>
      <w:r w:rsidR="00ED3295" w:rsidRPr="00A7505F">
        <w:rPr>
          <w:rFonts w:ascii="Times New Roman" w:eastAsia="楷体" w:hAnsi="Times New Roman" w:hint="eastAsia"/>
          <w:sz w:val="24"/>
        </w:rPr>
        <w:t>增长</w:t>
      </w:r>
      <w:r w:rsidRPr="00A7505F">
        <w:rPr>
          <w:rFonts w:ascii="Times New Roman" w:eastAsia="楷体" w:hAnsi="Times New Roman" w:hint="eastAsia"/>
          <w:sz w:val="24"/>
        </w:rPr>
        <w:t>。从供给端来看，行业产能变化呈现结构性特征：长期来看，一些企业永久退出部分产能，缩减市场供给；短期则因新产能尚未释放，叠加临时性供应波动，加剧供需紧平衡。总的来说，需求稳健增长的长期趋</w:t>
      </w:r>
      <w:r w:rsidRPr="00A7505F">
        <w:rPr>
          <w:rFonts w:ascii="Times New Roman" w:eastAsia="楷体" w:hAnsi="Times New Roman" w:hint="eastAsia"/>
          <w:sz w:val="24"/>
        </w:rPr>
        <w:lastRenderedPageBreak/>
        <w:t>势与供给收缩的短期冲击共同作用，最终推动蛋氨酸在今年一季度呈现价格上行态势。</w:t>
      </w:r>
    </w:p>
    <w:p w14:paraId="68B235F1" w14:textId="77777777" w:rsidR="009F6893" w:rsidRPr="00A7505F" w:rsidRDefault="009F6893" w:rsidP="009F6893">
      <w:pPr>
        <w:pStyle w:val="a8"/>
        <w:spacing w:after="160" w:line="278" w:lineRule="auto"/>
        <w:ind w:left="800" w:firstLineChars="0" w:firstLine="0"/>
        <w:contextualSpacing/>
        <w:rPr>
          <w:rFonts w:ascii="Times New Roman" w:eastAsia="楷体" w:hAnsi="Times New Roman"/>
          <w:sz w:val="24"/>
        </w:rPr>
      </w:pPr>
    </w:p>
    <w:p w14:paraId="40F7D3A5" w14:textId="44A310B1"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hint="eastAsia"/>
          <w:sz w:val="24"/>
          <w:szCs w:val="24"/>
        </w:rPr>
        <w:t>考虑到中国新产能进入市场，安迪苏如何从长远角度看待供需形势的变化？</w:t>
      </w:r>
    </w:p>
    <w:p w14:paraId="7B11E3AD" w14:textId="07D0EEB9"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未来两到三年，</w:t>
      </w:r>
      <w:r w:rsidR="007479D2" w:rsidRPr="00A7505F">
        <w:rPr>
          <w:rFonts w:ascii="Times New Roman" w:eastAsia="楷体" w:hAnsi="Times New Roman" w:hint="eastAsia"/>
          <w:sz w:val="24"/>
        </w:rPr>
        <w:t>国内</w:t>
      </w:r>
      <w:r w:rsidRPr="00A7505F">
        <w:rPr>
          <w:rFonts w:ascii="Times New Roman" w:eastAsia="楷体" w:hAnsi="Times New Roman" w:hint="eastAsia"/>
          <w:sz w:val="24"/>
        </w:rPr>
        <w:t>新增产能或将</w:t>
      </w:r>
      <w:r w:rsidR="00F9457F" w:rsidRPr="00A7505F">
        <w:rPr>
          <w:rFonts w:ascii="Times New Roman" w:eastAsia="楷体" w:hAnsi="Times New Roman" w:hint="eastAsia"/>
          <w:sz w:val="24"/>
        </w:rPr>
        <w:t>由于供给需求的短暂变化</w:t>
      </w:r>
      <w:r w:rsidRPr="00A7505F">
        <w:rPr>
          <w:rFonts w:ascii="Times New Roman" w:eastAsia="楷体" w:hAnsi="Times New Roman" w:hint="eastAsia"/>
          <w:sz w:val="24"/>
        </w:rPr>
        <w:t>引发蛋氨</w:t>
      </w:r>
      <w:proofErr w:type="gramStart"/>
      <w:r w:rsidRPr="00A7505F">
        <w:rPr>
          <w:rFonts w:ascii="Times New Roman" w:eastAsia="楷体" w:hAnsi="Times New Roman" w:hint="eastAsia"/>
          <w:sz w:val="24"/>
        </w:rPr>
        <w:t>酸价格</w:t>
      </w:r>
      <w:proofErr w:type="gramEnd"/>
      <w:r w:rsidR="00F9457F" w:rsidRPr="00A7505F">
        <w:rPr>
          <w:rFonts w:ascii="Times New Roman" w:eastAsia="楷体" w:hAnsi="Times New Roman" w:hint="eastAsia"/>
          <w:sz w:val="24"/>
        </w:rPr>
        <w:t>短期</w:t>
      </w:r>
      <w:r w:rsidRPr="00A7505F">
        <w:rPr>
          <w:rFonts w:ascii="Times New Roman" w:eastAsia="楷体" w:hAnsi="Times New Roman" w:hint="eastAsia"/>
          <w:sz w:val="24"/>
        </w:rPr>
        <w:t>波动，但</w:t>
      </w:r>
      <w:r w:rsidR="00F9457F" w:rsidRPr="00A7505F">
        <w:rPr>
          <w:rFonts w:ascii="Times New Roman" w:eastAsia="楷体" w:hAnsi="Times New Roman" w:hint="eastAsia"/>
          <w:sz w:val="24"/>
        </w:rPr>
        <w:t>由于</w:t>
      </w:r>
      <w:r w:rsidRPr="00A7505F">
        <w:rPr>
          <w:rFonts w:ascii="Times New Roman" w:eastAsia="楷体" w:hAnsi="Times New Roman" w:hint="eastAsia"/>
          <w:sz w:val="24"/>
        </w:rPr>
        <w:t>全球每年需求增量仍相对稳定，尤其禽肉作为动物蛋白消费主力的持续扩容，行业未来几年总体</w:t>
      </w:r>
      <w:r w:rsidR="00DE4741" w:rsidRPr="00A7505F">
        <w:rPr>
          <w:rFonts w:ascii="Times New Roman" w:eastAsia="楷体" w:hAnsi="Times New Roman" w:hint="eastAsia"/>
          <w:sz w:val="24"/>
        </w:rPr>
        <w:t>将呈现</w:t>
      </w:r>
      <w:r w:rsidRPr="00A7505F">
        <w:rPr>
          <w:rFonts w:ascii="Times New Roman" w:eastAsia="楷体" w:hAnsi="Times New Roman" w:hint="eastAsia"/>
          <w:sz w:val="24"/>
        </w:rPr>
        <w:t>健康的供需关系。尽管新产能投放可能带来阶段性冲击，但需求端的内</w:t>
      </w:r>
      <w:proofErr w:type="gramStart"/>
      <w:r w:rsidRPr="00A7505F">
        <w:rPr>
          <w:rFonts w:ascii="Times New Roman" w:eastAsia="楷体" w:hAnsi="Times New Roman" w:hint="eastAsia"/>
          <w:sz w:val="24"/>
        </w:rPr>
        <w:t>生增长</w:t>
      </w:r>
      <w:proofErr w:type="gramEnd"/>
      <w:r w:rsidRPr="00A7505F">
        <w:rPr>
          <w:rFonts w:ascii="Times New Roman" w:eastAsia="楷体" w:hAnsi="Times New Roman" w:hint="eastAsia"/>
          <w:sz w:val="24"/>
        </w:rPr>
        <w:t>与供给端的结构性调整有望逐步消化产能压力，维持市场</w:t>
      </w:r>
      <w:r w:rsidR="00F9457F" w:rsidRPr="00A7505F">
        <w:rPr>
          <w:rFonts w:ascii="Times New Roman" w:eastAsia="楷体" w:hAnsi="Times New Roman" w:hint="eastAsia"/>
          <w:sz w:val="24"/>
        </w:rPr>
        <w:t>长期</w:t>
      </w:r>
      <w:r w:rsidRPr="00A7505F">
        <w:rPr>
          <w:rFonts w:ascii="Times New Roman" w:eastAsia="楷体" w:hAnsi="Times New Roman" w:hint="eastAsia"/>
          <w:sz w:val="24"/>
        </w:rPr>
        <w:t>均衡。</w:t>
      </w:r>
    </w:p>
    <w:p w14:paraId="7858640C" w14:textId="5F5C0580"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行业竞争格局的核心分化在于企业综合能力的比拼。长期来看，具备国际化供应链布局、全球化销售网络及多元化产品结构的企业将占据优势。安迪苏凭借</w:t>
      </w:r>
      <w:proofErr w:type="gramStart"/>
      <w:r w:rsidRPr="00A7505F">
        <w:rPr>
          <w:rFonts w:ascii="Times New Roman" w:eastAsia="楷体" w:hAnsi="Times New Roman" w:hint="eastAsia"/>
          <w:sz w:val="24"/>
        </w:rPr>
        <w:t>中欧双</w:t>
      </w:r>
      <w:proofErr w:type="gramEnd"/>
      <w:r w:rsidRPr="00A7505F">
        <w:rPr>
          <w:rFonts w:ascii="Times New Roman" w:eastAsia="楷体" w:hAnsi="Times New Roman" w:hint="eastAsia"/>
          <w:sz w:val="24"/>
        </w:rPr>
        <w:t>平台生产布局、国际化销售网络以及全品类供应（安迪苏是目前全球为数不多可以同时生产固体和液体蛋氨酸的生产商之一）的优势，通过全球产业链布局抵御风险，依托覆盖多区域的销售</w:t>
      </w:r>
      <w:r w:rsidR="00F9457F" w:rsidRPr="00A7505F">
        <w:rPr>
          <w:rFonts w:ascii="Times New Roman" w:eastAsia="楷体" w:hAnsi="Times New Roman" w:hint="eastAsia"/>
          <w:sz w:val="24"/>
        </w:rPr>
        <w:t>和服务</w:t>
      </w:r>
      <w:r w:rsidRPr="00A7505F">
        <w:rPr>
          <w:rFonts w:ascii="Times New Roman" w:eastAsia="楷体" w:hAnsi="Times New Roman" w:hint="eastAsia"/>
          <w:sz w:val="24"/>
        </w:rPr>
        <w:t>网络抢占市场，同时拥有领先的液体蛋氨酸技术及成本竞争力</w:t>
      </w:r>
      <w:r w:rsidR="005E0A36" w:rsidRPr="00A7505F">
        <w:rPr>
          <w:rFonts w:ascii="Times New Roman" w:eastAsia="楷体" w:hAnsi="Times New Roman" w:hint="eastAsia"/>
          <w:sz w:val="24"/>
        </w:rPr>
        <w:t>，预计液体蛋氨</w:t>
      </w:r>
      <w:proofErr w:type="gramStart"/>
      <w:r w:rsidR="005E0A36" w:rsidRPr="00A7505F">
        <w:rPr>
          <w:rFonts w:ascii="Times New Roman" w:eastAsia="楷体" w:hAnsi="Times New Roman" w:hint="eastAsia"/>
          <w:sz w:val="24"/>
        </w:rPr>
        <w:t>酸产品</w:t>
      </w:r>
      <w:proofErr w:type="gramEnd"/>
      <w:r w:rsidR="005E0A36" w:rsidRPr="00A7505F">
        <w:rPr>
          <w:rFonts w:ascii="Times New Roman" w:eastAsia="楷体" w:hAnsi="Times New Roman" w:hint="eastAsia"/>
          <w:sz w:val="24"/>
        </w:rPr>
        <w:t>市场</w:t>
      </w:r>
      <w:r w:rsidR="00194A4B" w:rsidRPr="00A7505F">
        <w:rPr>
          <w:rFonts w:ascii="Times New Roman" w:eastAsia="楷体" w:hAnsi="Times New Roman" w:hint="eastAsia"/>
          <w:sz w:val="24"/>
        </w:rPr>
        <w:t>渗透率将持续提升。</w:t>
      </w:r>
      <w:r w:rsidR="005E0A36" w:rsidRPr="00A7505F">
        <w:rPr>
          <w:rFonts w:ascii="Times New Roman" w:eastAsia="楷体" w:hAnsi="Times New Roman" w:hint="eastAsia"/>
          <w:sz w:val="24"/>
        </w:rPr>
        <w:t>因此，</w:t>
      </w:r>
      <w:r w:rsidR="00194A4B" w:rsidRPr="00A7505F">
        <w:rPr>
          <w:rFonts w:ascii="Times New Roman" w:eastAsia="楷体" w:hAnsi="Times New Roman" w:hint="eastAsia"/>
          <w:sz w:val="24"/>
        </w:rPr>
        <w:t>公司</w:t>
      </w:r>
      <w:r w:rsidRPr="00A7505F">
        <w:rPr>
          <w:rFonts w:ascii="Times New Roman" w:eastAsia="楷体" w:hAnsi="Times New Roman" w:hint="eastAsia"/>
          <w:sz w:val="24"/>
        </w:rPr>
        <w:t>对</w:t>
      </w:r>
      <w:r w:rsidR="00194A4B" w:rsidRPr="00A7505F">
        <w:rPr>
          <w:rFonts w:ascii="Times New Roman" w:eastAsia="楷体" w:hAnsi="Times New Roman" w:hint="eastAsia"/>
          <w:sz w:val="24"/>
        </w:rPr>
        <w:t>在</w:t>
      </w:r>
      <w:proofErr w:type="gramStart"/>
      <w:r w:rsidRPr="00A7505F">
        <w:rPr>
          <w:rFonts w:ascii="Times New Roman" w:eastAsia="楷体" w:hAnsi="Times New Roman" w:hint="eastAsia"/>
          <w:sz w:val="24"/>
        </w:rPr>
        <w:t>未来蛋氨酸市场</w:t>
      </w:r>
      <w:proofErr w:type="gramEnd"/>
      <w:r w:rsidRPr="00A7505F">
        <w:rPr>
          <w:rFonts w:ascii="Times New Roman" w:eastAsia="楷体" w:hAnsi="Times New Roman" w:hint="eastAsia"/>
          <w:sz w:val="24"/>
        </w:rPr>
        <w:t>竞争格局中持续占据有利地位</w:t>
      </w:r>
      <w:r w:rsidR="00194A4B" w:rsidRPr="00A7505F">
        <w:rPr>
          <w:rFonts w:ascii="Times New Roman" w:eastAsia="楷体" w:hAnsi="Times New Roman" w:hint="eastAsia"/>
          <w:sz w:val="24"/>
        </w:rPr>
        <w:t>充满信心</w:t>
      </w:r>
      <w:r w:rsidRPr="00A7505F">
        <w:rPr>
          <w:rFonts w:ascii="Times New Roman" w:eastAsia="楷体" w:hAnsi="Times New Roman" w:hint="eastAsia"/>
          <w:sz w:val="24"/>
        </w:rPr>
        <w:t>。</w:t>
      </w:r>
    </w:p>
    <w:p w14:paraId="72031877" w14:textId="77777777" w:rsidR="009F6893" w:rsidRPr="00A7505F" w:rsidRDefault="009F6893" w:rsidP="009F6893">
      <w:pPr>
        <w:pStyle w:val="a8"/>
        <w:ind w:left="360"/>
      </w:pPr>
    </w:p>
    <w:p w14:paraId="3F11A1B1" w14:textId="4F88EE6F"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hint="eastAsia"/>
          <w:sz w:val="24"/>
          <w:szCs w:val="24"/>
        </w:rPr>
        <w:t>安迪苏在液体蛋氨</w:t>
      </w:r>
      <w:proofErr w:type="gramStart"/>
      <w:r w:rsidRPr="00A7505F">
        <w:rPr>
          <w:rFonts w:ascii="Times New Roman" w:eastAsia="楷体" w:hAnsi="Times New Roman" w:hint="eastAsia"/>
          <w:sz w:val="24"/>
          <w:szCs w:val="24"/>
        </w:rPr>
        <w:t>酸方面</w:t>
      </w:r>
      <w:proofErr w:type="gramEnd"/>
      <w:r w:rsidRPr="00A7505F">
        <w:rPr>
          <w:rFonts w:ascii="Times New Roman" w:eastAsia="楷体" w:hAnsi="Times New Roman" w:hint="eastAsia"/>
          <w:sz w:val="24"/>
          <w:szCs w:val="24"/>
        </w:rPr>
        <w:t>长期深耕，具有突出的优势，如液体蛋氨酸的喷涂设备，市场上是否可以直接采购这种设备，还是需要自行研发？</w:t>
      </w:r>
    </w:p>
    <w:p w14:paraId="76B6925F" w14:textId="0F8E66A5" w:rsidR="009F6893" w:rsidRPr="00A7505F" w:rsidRDefault="009F6893" w:rsidP="00C316C5">
      <w:pPr>
        <w:pStyle w:val="a8"/>
        <w:ind w:left="434" w:firstLine="480"/>
        <w:rPr>
          <w:rFonts w:ascii="Times New Roman" w:eastAsia="楷体" w:hAnsi="Times New Roman"/>
          <w:sz w:val="24"/>
          <w:szCs w:val="24"/>
        </w:rPr>
      </w:pPr>
      <w:r w:rsidRPr="00A7505F">
        <w:rPr>
          <w:rFonts w:ascii="Times New Roman" w:eastAsia="楷体" w:hAnsi="Times New Roman"/>
          <w:sz w:val="24"/>
          <w:szCs w:val="24"/>
        </w:rPr>
        <w:t>安迪苏在液体蛋氨</w:t>
      </w:r>
      <w:proofErr w:type="gramStart"/>
      <w:r w:rsidRPr="00A7505F">
        <w:rPr>
          <w:rFonts w:ascii="Times New Roman" w:eastAsia="楷体" w:hAnsi="Times New Roman"/>
          <w:sz w:val="24"/>
          <w:szCs w:val="24"/>
        </w:rPr>
        <w:t>酸领域</w:t>
      </w:r>
      <w:proofErr w:type="gramEnd"/>
      <w:r w:rsidRPr="00A7505F">
        <w:rPr>
          <w:rFonts w:ascii="Times New Roman" w:eastAsia="楷体" w:hAnsi="Times New Roman"/>
          <w:sz w:val="24"/>
          <w:szCs w:val="24"/>
        </w:rPr>
        <w:t>的核心竞争力不仅体现在技术积累，更在于对产业链</w:t>
      </w:r>
      <w:r w:rsidR="00AF37F1">
        <w:rPr>
          <w:rFonts w:ascii="Times New Roman" w:eastAsia="楷体" w:hAnsi="Times New Roman" w:hint="eastAsia"/>
          <w:sz w:val="24"/>
          <w:szCs w:val="24"/>
        </w:rPr>
        <w:t>中</w:t>
      </w:r>
      <w:r w:rsidRPr="00A7505F">
        <w:rPr>
          <w:rFonts w:ascii="Times New Roman" w:eastAsia="楷体" w:hAnsi="Times New Roman"/>
          <w:sz w:val="24"/>
          <w:szCs w:val="24"/>
        </w:rPr>
        <w:t>关键环节的把控能力。</w:t>
      </w:r>
      <w:r w:rsidR="302C7385" w:rsidRPr="00A7505F">
        <w:rPr>
          <w:rFonts w:ascii="Times New Roman" w:eastAsia="楷体" w:hAnsi="Times New Roman"/>
          <w:sz w:val="24"/>
          <w:szCs w:val="24"/>
        </w:rPr>
        <w:t>尽管喷涂设备可以从市场购买，但加料</w:t>
      </w:r>
      <w:r w:rsidRPr="00A7505F">
        <w:rPr>
          <w:rFonts w:ascii="Times New Roman" w:eastAsia="楷体" w:hAnsi="Times New Roman"/>
          <w:sz w:val="24"/>
          <w:szCs w:val="24"/>
        </w:rPr>
        <w:t>喷涂</w:t>
      </w:r>
      <w:r w:rsidR="71414F15" w:rsidRPr="00A7505F">
        <w:rPr>
          <w:rFonts w:ascii="Times New Roman" w:eastAsia="楷体" w:hAnsi="Times New Roman"/>
          <w:sz w:val="24"/>
          <w:szCs w:val="24"/>
        </w:rPr>
        <w:t>工序</w:t>
      </w:r>
      <w:r w:rsidRPr="00A7505F">
        <w:rPr>
          <w:rFonts w:ascii="Times New Roman" w:eastAsia="楷体" w:hAnsi="Times New Roman"/>
          <w:sz w:val="24"/>
          <w:szCs w:val="24"/>
        </w:rPr>
        <w:t>的关键不仅仅在于设备本身，其效能</w:t>
      </w:r>
      <w:r w:rsidR="36595780" w:rsidRPr="00A7505F">
        <w:rPr>
          <w:rFonts w:ascii="Times New Roman" w:eastAsia="楷体" w:hAnsi="Times New Roman"/>
          <w:sz w:val="24"/>
          <w:szCs w:val="24"/>
        </w:rPr>
        <w:t>取决于</w:t>
      </w:r>
      <w:r w:rsidR="7970BC4C" w:rsidRPr="00A7505F">
        <w:rPr>
          <w:rFonts w:ascii="Times New Roman" w:eastAsia="楷体" w:hAnsi="Times New Roman"/>
          <w:sz w:val="24"/>
          <w:szCs w:val="24"/>
        </w:rPr>
        <w:t>工艺、设备和技术服务的高效结合</w:t>
      </w:r>
      <w:r w:rsidRPr="00A7505F">
        <w:rPr>
          <w:rFonts w:ascii="Times New Roman" w:eastAsia="楷体" w:hAnsi="Times New Roman"/>
          <w:sz w:val="24"/>
          <w:szCs w:val="24"/>
        </w:rPr>
        <w:t>。安迪苏多年</w:t>
      </w:r>
      <w:r w:rsidR="091E0476" w:rsidRPr="00A7505F">
        <w:rPr>
          <w:rFonts w:ascii="Times New Roman" w:eastAsia="楷体" w:hAnsi="Times New Roman"/>
          <w:sz w:val="24"/>
          <w:szCs w:val="24"/>
        </w:rPr>
        <w:t>深耕</w:t>
      </w:r>
      <w:r w:rsidRPr="00A7505F">
        <w:rPr>
          <w:rFonts w:ascii="Times New Roman" w:eastAsia="楷体" w:hAnsi="Times New Roman"/>
          <w:sz w:val="24"/>
          <w:szCs w:val="24"/>
        </w:rPr>
        <w:t>液体蛋氨酸</w:t>
      </w:r>
      <w:r w:rsidR="00AF37F1">
        <w:rPr>
          <w:rFonts w:ascii="Times New Roman" w:eastAsia="楷体" w:hAnsi="Times New Roman" w:hint="eastAsia"/>
          <w:sz w:val="24"/>
          <w:szCs w:val="24"/>
        </w:rPr>
        <w:t>产品</w:t>
      </w:r>
      <w:r w:rsidR="007803A0" w:rsidRPr="00A7505F">
        <w:rPr>
          <w:rFonts w:ascii="Times New Roman" w:eastAsia="楷体" w:hAnsi="Times New Roman" w:hint="eastAsia"/>
          <w:sz w:val="24"/>
          <w:szCs w:val="24"/>
        </w:rPr>
        <w:t>整体解决方案</w:t>
      </w:r>
      <w:r w:rsidRPr="00A7505F">
        <w:rPr>
          <w:rFonts w:ascii="Times New Roman" w:eastAsia="楷体" w:hAnsi="Times New Roman"/>
          <w:sz w:val="24"/>
          <w:szCs w:val="24"/>
        </w:rPr>
        <w:t>，已构建</w:t>
      </w:r>
      <w:r w:rsidRPr="00A7505F">
        <w:rPr>
          <w:rFonts w:ascii="Times New Roman" w:eastAsia="楷体" w:hAnsi="Times New Roman"/>
          <w:sz w:val="24"/>
          <w:szCs w:val="24"/>
        </w:rPr>
        <w:t>“</w:t>
      </w:r>
      <w:r w:rsidRPr="00A7505F">
        <w:rPr>
          <w:rFonts w:ascii="Times New Roman" w:eastAsia="楷体" w:hAnsi="Times New Roman"/>
          <w:sz w:val="24"/>
          <w:szCs w:val="24"/>
        </w:rPr>
        <w:t>工艺</w:t>
      </w:r>
      <w:r w:rsidRPr="00A7505F">
        <w:rPr>
          <w:rFonts w:ascii="Times New Roman" w:eastAsia="楷体" w:hAnsi="Times New Roman"/>
          <w:sz w:val="24"/>
          <w:szCs w:val="24"/>
        </w:rPr>
        <w:t>-</w:t>
      </w:r>
      <w:r w:rsidRPr="00A7505F">
        <w:rPr>
          <w:rFonts w:ascii="Times New Roman" w:eastAsia="楷体" w:hAnsi="Times New Roman"/>
          <w:sz w:val="24"/>
          <w:szCs w:val="24"/>
        </w:rPr>
        <w:t>设备</w:t>
      </w:r>
      <w:r w:rsidRPr="00A7505F">
        <w:rPr>
          <w:rFonts w:ascii="Times New Roman" w:eastAsia="楷体" w:hAnsi="Times New Roman"/>
          <w:sz w:val="24"/>
          <w:szCs w:val="24"/>
        </w:rPr>
        <w:t>-</w:t>
      </w:r>
      <w:r w:rsidRPr="00A7505F">
        <w:rPr>
          <w:rFonts w:ascii="Times New Roman" w:eastAsia="楷体" w:hAnsi="Times New Roman"/>
          <w:sz w:val="24"/>
          <w:szCs w:val="24"/>
        </w:rPr>
        <w:t>服务</w:t>
      </w:r>
      <w:r w:rsidRPr="00A7505F">
        <w:rPr>
          <w:rFonts w:ascii="Times New Roman" w:eastAsia="楷体" w:hAnsi="Times New Roman"/>
          <w:sz w:val="24"/>
          <w:szCs w:val="24"/>
        </w:rPr>
        <w:t>”</w:t>
      </w:r>
      <w:r w:rsidRPr="00A7505F">
        <w:rPr>
          <w:rFonts w:ascii="Times New Roman" w:eastAsia="楷体" w:hAnsi="Times New Roman"/>
          <w:sz w:val="24"/>
          <w:szCs w:val="24"/>
        </w:rPr>
        <w:t>一体化优势，实现设备</w:t>
      </w:r>
      <w:r w:rsidR="32551CE6" w:rsidRPr="00A7505F">
        <w:rPr>
          <w:rFonts w:ascii="Times New Roman" w:eastAsia="楷体" w:hAnsi="Times New Roman"/>
          <w:sz w:val="24"/>
          <w:szCs w:val="24"/>
        </w:rPr>
        <w:t>、</w:t>
      </w:r>
      <w:r w:rsidRPr="00A7505F">
        <w:rPr>
          <w:rFonts w:ascii="Times New Roman" w:eastAsia="楷体" w:hAnsi="Times New Roman"/>
          <w:sz w:val="24"/>
          <w:szCs w:val="24"/>
        </w:rPr>
        <w:t>工艺</w:t>
      </w:r>
      <w:r w:rsidR="19F173A4" w:rsidRPr="00A7505F">
        <w:rPr>
          <w:rFonts w:ascii="Times New Roman" w:eastAsia="楷体" w:hAnsi="Times New Roman"/>
          <w:sz w:val="24"/>
          <w:szCs w:val="24"/>
        </w:rPr>
        <w:t>与技术服务</w:t>
      </w:r>
      <w:r w:rsidRPr="00A7505F">
        <w:rPr>
          <w:rFonts w:ascii="Times New Roman" w:eastAsia="楷体" w:hAnsi="Times New Roman"/>
          <w:sz w:val="24"/>
          <w:szCs w:val="24"/>
        </w:rPr>
        <w:t>深度耦合，这种</w:t>
      </w:r>
      <w:r w:rsidRPr="00A7505F">
        <w:rPr>
          <w:rFonts w:ascii="Times New Roman" w:eastAsia="楷体" w:hAnsi="Times New Roman"/>
          <w:sz w:val="24"/>
          <w:szCs w:val="24"/>
        </w:rPr>
        <w:t>“</w:t>
      </w:r>
      <w:r w:rsidRPr="00A7505F">
        <w:rPr>
          <w:rFonts w:ascii="Times New Roman" w:eastAsia="楷体" w:hAnsi="Times New Roman"/>
          <w:sz w:val="24"/>
          <w:szCs w:val="24"/>
        </w:rPr>
        <w:t>硬实力</w:t>
      </w:r>
      <w:r w:rsidRPr="00A7505F">
        <w:rPr>
          <w:rFonts w:ascii="Times New Roman" w:eastAsia="楷体" w:hAnsi="Times New Roman"/>
          <w:sz w:val="24"/>
          <w:szCs w:val="24"/>
        </w:rPr>
        <w:t>+</w:t>
      </w:r>
      <w:r w:rsidRPr="00A7505F">
        <w:rPr>
          <w:rFonts w:ascii="Times New Roman" w:eastAsia="楷体" w:hAnsi="Times New Roman"/>
          <w:sz w:val="24"/>
          <w:szCs w:val="24"/>
        </w:rPr>
        <w:t>软服务</w:t>
      </w:r>
      <w:r w:rsidRPr="00A7505F">
        <w:rPr>
          <w:rFonts w:ascii="Times New Roman" w:eastAsia="楷体" w:hAnsi="Times New Roman"/>
          <w:sz w:val="24"/>
          <w:szCs w:val="24"/>
        </w:rPr>
        <w:t>”</w:t>
      </w:r>
      <w:r w:rsidRPr="00A7505F">
        <w:rPr>
          <w:rFonts w:ascii="Times New Roman" w:eastAsia="楷体" w:hAnsi="Times New Roman"/>
          <w:sz w:val="24"/>
          <w:szCs w:val="24"/>
        </w:rPr>
        <w:t>的复合能力，正是公司液</w:t>
      </w:r>
      <w:r w:rsidR="006C72E1" w:rsidRPr="00A7505F">
        <w:rPr>
          <w:rFonts w:ascii="Times New Roman" w:eastAsia="楷体" w:hAnsi="Times New Roman" w:hint="eastAsia"/>
          <w:sz w:val="24"/>
          <w:szCs w:val="24"/>
        </w:rPr>
        <w:t>体</w:t>
      </w:r>
      <w:r w:rsidRPr="00A7505F">
        <w:rPr>
          <w:rFonts w:ascii="Times New Roman" w:eastAsia="楷体" w:hAnsi="Times New Roman"/>
          <w:sz w:val="24"/>
          <w:szCs w:val="24"/>
        </w:rPr>
        <w:t>蛋氨</w:t>
      </w:r>
      <w:proofErr w:type="gramStart"/>
      <w:r w:rsidRPr="00A7505F">
        <w:rPr>
          <w:rFonts w:ascii="Times New Roman" w:eastAsia="楷体" w:hAnsi="Times New Roman"/>
          <w:sz w:val="24"/>
          <w:szCs w:val="24"/>
        </w:rPr>
        <w:t>酸业务</w:t>
      </w:r>
      <w:proofErr w:type="gramEnd"/>
      <w:r w:rsidRPr="00A7505F">
        <w:rPr>
          <w:rFonts w:ascii="Times New Roman" w:eastAsia="楷体" w:hAnsi="Times New Roman"/>
          <w:sz w:val="24"/>
          <w:szCs w:val="24"/>
        </w:rPr>
        <w:t>持续领跑行业的根本支撑。</w:t>
      </w:r>
    </w:p>
    <w:p w14:paraId="551A31E2" w14:textId="77777777" w:rsidR="009F6893" w:rsidRPr="00A7505F" w:rsidRDefault="009F6893" w:rsidP="009F6893">
      <w:pPr>
        <w:pStyle w:val="a8"/>
        <w:ind w:left="360"/>
      </w:pPr>
    </w:p>
    <w:p w14:paraId="22C00FD3" w14:textId="0163F596" w:rsidR="009F6893" w:rsidRPr="00A7505F" w:rsidRDefault="009F6893" w:rsidP="00C316C5">
      <w:pPr>
        <w:pStyle w:val="a8"/>
        <w:numPr>
          <w:ilvl w:val="3"/>
          <w:numId w:val="1"/>
        </w:numPr>
        <w:ind w:left="434" w:firstLineChars="0"/>
        <w:rPr>
          <w:rFonts w:ascii="Times New Roman" w:eastAsia="楷体" w:hAnsi="Times New Roman"/>
          <w:sz w:val="24"/>
          <w:szCs w:val="24"/>
        </w:rPr>
      </w:pPr>
      <w:bookmarkStart w:id="0" w:name="OLE_LINK3"/>
      <w:r w:rsidRPr="00A7505F">
        <w:rPr>
          <w:rFonts w:ascii="Times New Roman" w:eastAsia="楷体" w:hAnsi="Times New Roman" w:hint="eastAsia"/>
          <w:sz w:val="24"/>
          <w:szCs w:val="24"/>
        </w:rPr>
        <w:t>未来在</w:t>
      </w:r>
      <w:proofErr w:type="gramStart"/>
      <w:r w:rsidRPr="00A7505F">
        <w:rPr>
          <w:rFonts w:ascii="Times New Roman" w:eastAsia="楷体" w:hAnsi="Times New Roman" w:hint="eastAsia"/>
          <w:sz w:val="24"/>
          <w:szCs w:val="24"/>
        </w:rPr>
        <w:t>国内蛋氨酸产业</w:t>
      </w:r>
      <w:proofErr w:type="gramEnd"/>
      <w:r w:rsidRPr="00A7505F">
        <w:rPr>
          <w:rFonts w:ascii="Times New Roman" w:eastAsia="楷体" w:hAnsi="Times New Roman" w:hint="eastAsia"/>
          <w:sz w:val="24"/>
          <w:szCs w:val="24"/>
        </w:rPr>
        <w:t>趋向一体化竞争的背景下，公司</w:t>
      </w:r>
      <w:r w:rsidR="00A205D1" w:rsidRPr="00A7505F">
        <w:rPr>
          <w:rFonts w:ascii="Times New Roman" w:eastAsia="楷体" w:hAnsi="Times New Roman" w:hint="eastAsia"/>
          <w:sz w:val="24"/>
          <w:szCs w:val="24"/>
        </w:rPr>
        <w:t>南京工厂</w:t>
      </w:r>
      <w:r w:rsidRPr="00A7505F">
        <w:rPr>
          <w:rFonts w:ascii="Times New Roman" w:eastAsia="楷体" w:hAnsi="Times New Roman" w:hint="eastAsia"/>
          <w:sz w:val="24"/>
          <w:szCs w:val="24"/>
        </w:rPr>
        <w:t>是否能够持续原材料的成本竞争优势？</w:t>
      </w:r>
    </w:p>
    <w:bookmarkEnd w:id="0"/>
    <w:p w14:paraId="583E1AB9" w14:textId="7B660222" w:rsidR="009F6893" w:rsidRPr="00A7505F" w:rsidRDefault="009F6893" w:rsidP="00C316C5">
      <w:pPr>
        <w:pStyle w:val="a8"/>
        <w:ind w:left="434" w:firstLine="480"/>
        <w:rPr>
          <w:rFonts w:ascii="Times New Roman" w:eastAsia="楷体" w:hAnsi="Times New Roman"/>
          <w:sz w:val="24"/>
          <w:szCs w:val="24"/>
        </w:rPr>
      </w:pPr>
      <w:r w:rsidRPr="00A7505F">
        <w:rPr>
          <w:rFonts w:ascii="Times New Roman" w:eastAsia="楷体" w:hAnsi="Times New Roman"/>
          <w:sz w:val="24"/>
          <w:szCs w:val="24"/>
        </w:rPr>
        <w:t>安迪苏始终聚焦自身核心竞争力建设，以南京工厂为例，其核心指标表现已印证了战略布局的前瞻性。目前，南京工厂在产能利用率及生产稳定性等维度均处于行业领先水平。依托长三角区位优势与产业链协同效应，以及持续的工艺优化，我们对国内产能的综合竞争力充满信心。</w:t>
      </w:r>
    </w:p>
    <w:p w14:paraId="6193FFCD" w14:textId="77777777" w:rsidR="009F6893" w:rsidRPr="00A7505F" w:rsidRDefault="009F6893" w:rsidP="009F6893">
      <w:pPr>
        <w:pStyle w:val="a8"/>
        <w:ind w:left="360"/>
      </w:pPr>
    </w:p>
    <w:p w14:paraId="13796AF4" w14:textId="7B426883"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hint="eastAsia"/>
          <w:sz w:val="24"/>
          <w:szCs w:val="24"/>
        </w:rPr>
        <w:t>公司如何看待欧洲生产平台和中国生产平台的竞争力对比？</w:t>
      </w:r>
    </w:p>
    <w:p w14:paraId="154B25AB" w14:textId="14D75F18" w:rsidR="009F6893" w:rsidRPr="00A7505F" w:rsidRDefault="009F6893" w:rsidP="00C316C5">
      <w:pPr>
        <w:pStyle w:val="a8"/>
        <w:ind w:left="434" w:firstLine="480"/>
        <w:rPr>
          <w:rFonts w:ascii="Times New Roman" w:eastAsia="楷体" w:hAnsi="Times New Roman"/>
          <w:sz w:val="24"/>
          <w:szCs w:val="24"/>
        </w:rPr>
      </w:pPr>
      <w:r w:rsidRPr="00A7505F">
        <w:rPr>
          <w:rFonts w:ascii="Times New Roman" w:eastAsia="楷体" w:hAnsi="Times New Roman"/>
          <w:sz w:val="24"/>
          <w:szCs w:val="24"/>
        </w:rPr>
        <w:t>自</w:t>
      </w:r>
      <w:r w:rsidRPr="00A7505F">
        <w:rPr>
          <w:rFonts w:ascii="Times New Roman" w:eastAsia="楷体" w:hAnsi="Times New Roman"/>
          <w:sz w:val="24"/>
          <w:szCs w:val="24"/>
        </w:rPr>
        <w:t>2022</w:t>
      </w:r>
      <w:r w:rsidRPr="00A7505F">
        <w:rPr>
          <w:rFonts w:ascii="Times New Roman" w:eastAsia="楷体" w:hAnsi="Times New Roman"/>
          <w:sz w:val="24"/>
          <w:szCs w:val="24"/>
        </w:rPr>
        <w:t>年下半年起，公司启动了</w:t>
      </w:r>
      <w:r w:rsidR="00A63864" w:rsidRPr="00A7505F">
        <w:rPr>
          <w:rFonts w:ascii="Times New Roman" w:eastAsia="楷体" w:hAnsi="Times New Roman"/>
          <w:sz w:val="24"/>
          <w:szCs w:val="24"/>
        </w:rPr>
        <w:t>“</w:t>
      </w:r>
      <w:r w:rsidR="00A63864" w:rsidRPr="00A7505F">
        <w:rPr>
          <w:rFonts w:ascii="Times New Roman" w:eastAsia="楷体" w:hAnsi="Times New Roman"/>
          <w:sz w:val="24"/>
          <w:szCs w:val="24"/>
        </w:rPr>
        <w:t>欧洲</w:t>
      </w:r>
      <w:r w:rsidR="42D84A17" w:rsidRPr="00A7505F">
        <w:rPr>
          <w:rFonts w:ascii="Times New Roman" w:eastAsia="楷体" w:hAnsi="Times New Roman"/>
          <w:sz w:val="24"/>
          <w:szCs w:val="24"/>
        </w:rPr>
        <w:t>平台提升</w:t>
      </w:r>
      <w:r w:rsidR="00A63864" w:rsidRPr="00A7505F">
        <w:rPr>
          <w:rFonts w:ascii="Times New Roman" w:eastAsia="楷体" w:hAnsi="Times New Roman"/>
          <w:sz w:val="24"/>
          <w:szCs w:val="24"/>
        </w:rPr>
        <w:t>计划</w:t>
      </w:r>
      <w:r w:rsidR="00A63864" w:rsidRPr="00A7505F">
        <w:rPr>
          <w:rFonts w:ascii="Times New Roman" w:eastAsia="楷体" w:hAnsi="Times New Roman"/>
          <w:sz w:val="24"/>
          <w:szCs w:val="24"/>
        </w:rPr>
        <w:t>”</w:t>
      </w:r>
      <w:r w:rsidRPr="00A7505F">
        <w:rPr>
          <w:rFonts w:ascii="Times New Roman" w:eastAsia="楷体" w:hAnsi="Times New Roman"/>
          <w:sz w:val="24"/>
          <w:szCs w:val="24"/>
        </w:rPr>
        <w:t>，从产能优化、卓越运营和技术创新三方面入手，系统性提升欧洲基地的竞争力。首先，淘汰老旧产能，公司关闭了法国科芒特里的固体蛋氨酸生产线以提升蛋氨</w:t>
      </w:r>
      <w:proofErr w:type="gramStart"/>
      <w:r w:rsidRPr="00A7505F">
        <w:rPr>
          <w:rFonts w:ascii="Times New Roman" w:eastAsia="楷体" w:hAnsi="Times New Roman"/>
          <w:sz w:val="24"/>
          <w:szCs w:val="24"/>
        </w:rPr>
        <w:t>酸业务</w:t>
      </w:r>
      <w:proofErr w:type="gramEnd"/>
      <w:r w:rsidRPr="00A7505F">
        <w:rPr>
          <w:rFonts w:ascii="Times New Roman" w:eastAsia="楷体" w:hAnsi="Times New Roman"/>
          <w:sz w:val="24"/>
          <w:szCs w:val="24"/>
        </w:rPr>
        <w:t>的整体成本竞争力；其次，通过提升产能利用率、优化能源管理等举措，公司在过去两年实现年均约</w:t>
      </w:r>
      <w:r w:rsidRPr="00A7505F">
        <w:rPr>
          <w:rFonts w:ascii="Times New Roman" w:eastAsia="楷体" w:hAnsi="Times New Roman"/>
          <w:sz w:val="24"/>
          <w:szCs w:val="24"/>
        </w:rPr>
        <w:t>2,000</w:t>
      </w:r>
      <w:r w:rsidRPr="00A7505F">
        <w:rPr>
          <w:rFonts w:ascii="Times New Roman" w:eastAsia="楷体" w:hAnsi="Times New Roman"/>
          <w:sz w:val="24"/>
          <w:szCs w:val="24"/>
        </w:rPr>
        <w:t>万欧元的成本压降，形成持续改善的运营韧性；</w:t>
      </w:r>
      <w:r w:rsidR="0223830F" w:rsidRPr="00A7505F">
        <w:rPr>
          <w:rFonts w:ascii="Times New Roman" w:eastAsia="楷体" w:hAnsi="Times New Roman"/>
          <w:sz w:val="24"/>
          <w:szCs w:val="24"/>
        </w:rPr>
        <w:t>最后</w:t>
      </w:r>
      <w:r w:rsidRPr="00A7505F">
        <w:rPr>
          <w:rFonts w:ascii="Times New Roman" w:eastAsia="楷体" w:hAnsi="Times New Roman"/>
          <w:sz w:val="24"/>
          <w:szCs w:val="24"/>
        </w:rPr>
        <w:t>，</w:t>
      </w:r>
      <w:r w:rsidR="044C23CC" w:rsidRPr="00A7505F">
        <w:rPr>
          <w:rFonts w:ascii="Times New Roman" w:eastAsia="楷体" w:hAnsi="Times New Roman"/>
          <w:sz w:val="24"/>
          <w:szCs w:val="24"/>
        </w:rPr>
        <w:t>加速推进</w:t>
      </w:r>
      <w:r w:rsidRPr="00A7505F">
        <w:rPr>
          <w:rFonts w:ascii="Times New Roman" w:eastAsia="楷体" w:hAnsi="Times New Roman"/>
          <w:sz w:val="24"/>
          <w:szCs w:val="24"/>
        </w:rPr>
        <w:t>固体蛋氨酸生产</w:t>
      </w:r>
      <w:r w:rsidR="24C8ED7E" w:rsidRPr="00A7505F">
        <w:rPr>
          <w:rFonts w:ascii="Times New Roman" w:eastAsia="楷体" w:hAnsi="Times New Roman"/>
          <w:sz w:val="24"/>
          <w:szCs w:val="24"/>
        </w:rPr>
        <w:t>工艺创新</w:t>
      </w:r>
      <w:r w:rsidRPr="00A7505F">
        <w:rPr>
          <w:rFonts w:ascii="Times New Roman" w:eastAsia="楷体" w:hAnsi="Times New Roman"/>
          <w:sz w:val="24"/>
          <w:szCs w:val="24"/>
        </w:rPr>
        <w:t>，</w:t>
      </w:r>
      <w:r w:rsidR="17363740" w:rsidRPr="00A7505F">
        <w:rPr>
          <w:rFonts w:ascii="Times New Roman" w:eastAsia="楷体" w:hAnsi="Times New Roman"/>
          <w:sz w:val="24"/>
          <w:szCs w:val="24"/>
        </w:rPr>
        <w:t>以</w:t>
      </w:r>
      <w:r w:rsidRPr="00A7505F">
        <w:rPr>
          <w:rFonts w:ascii="Times New Roman" w:eastAsia="楷体" w:hAnsi="Times New Roman"/>
          <w:sz w:val="24"/>
          <w:szCs w:val="24"/>
        </w:rPr>
        <w:t>进一步降低单位成本，从而巩固欧洲生产基地的区域领导地位。</w:t>
      </w:r>
    </w:p>
    <w:p w14:paraId="7EF0BB9A" w14:textId="1B75F7FA" w:rsidR="009F6893" w:rsidRPr="00A7505F" w:rsidRDefault="009F6893" w:rsidP="00C316C5">
      <w:pPr>
        <w:pStyle w:val="a8"/>
        <w:ind w:left="434" w:firstLine="480"/>
        <w:rPr>
          <w:rFonts w:ascii="Times New Roman" w:eastAsia="楷体" w:hAnsi="Times New Roman"/>
          <w:sz w:val="24"/>
          <w:szCs w:val="24"/>
        </w:rPr>
      </w:pPr>
      <w:r w:rsidRPr="00A7505F">
        <w:rPr>
          <w:rFonts w:ascii="Times New Roman" w:eastAsia="楷体" w:hAnsi="Times New Roman" w:hint="eastAsia"/>
          <w:sz w:val="24"/>
          <w:szCs w:val="24"/>
        </w:rPr>
        <w:lastRenderedPageBreak/>
        <w:t>当前全球贸易环境与关税壁垒或将持续存在，区域化生产与就近供应成为行业竞争主逻辑。在此宏观环境下，从中国</w:t>
      </w:r>
      <w:r w:rsidR="009A1918" w:rsidRPr="00A7505F">
        <w:rPr>
          <w:rFonts w:ascii="Times New Roman" w:eastAsia="楷体" w:hAnsi="Times New Roman" w:hint="eastAsia"/>
          <w:sz w:val="24"/>
          <w:szCs w:val="24"/>
        </w:rPr>
        <w:t>出</w:t>
      </w:r>
      <w:r w:rsidRPr="00A7505F">
        <w:rPr>
          <w:rFonts w:ascii="Times New Roman" w:eastAsia="楷体" w:hAnsi="Times New Roman" w:hint="eastAsia"/>
          <w:sz w:val="24"/>
          <w:szCs w:val="24"/>
        </w:rPr>
        <w:t>口至欧洲难以形成成本优势，而本土化生产在运输效率、客户响应及政策合</w:t>
      </w:r>
      <w:proofErr w:type="gramStart"/>
      <w:r w:rsidRPr="00A7505F">
        <w:rPr>
          <w:rFonts w:ascii="Times New Roman" w:eastAsia="楷体" w:hAnsi="Times New Roman" w:hint="eastAsia"/>
          <w:sz w:val="24"/>
          <w:szCs w:val="24"/>
        </w:rPr>
        <w:t>规</w:t>
      </w:r>
      <w:proofErr w:type="gramEnd"/>
      <w:r w:rsidRPr="00A7505F">
        <w:rPr>
          <w:rFonts w:ascii="Times New Roman" w:eastAsia="楷体" w:hAnsi="Times New Roman" w:hint="eastAsia"/>
          <w:sz w:val="24"/>
          <w:szCs w:val="24"/>
        </w:rPr>
        <w:t>性方面更具竞争力。因此，公司</w:t>
      </w:r>
      <w:r w:rsidR="00415515" w:rsidRPr="00A7505F">
        <w:rPr>
          <w:rFonts w:ascii="Times New Roman" w:eastAsia="楷体" w:hAnsi="Times New Roman" w:hint="eastAsia"/>
          <w:sz w:val="24"/>
          <w:szCs w:val="24"/>
        </w:rPr>
        <w:t>继续充分深挖并扩大全球化产业布局优势，即</w:t>
      </w:r>
      <w:r w:rsidRPr="00A7505F">
        <w:rPr>
          <w:rFonts w:ascii="Times New Roman" w:eastAsia="楷体" w:hAnsi="Times New Roman" w:hint="eastAsia"/>
          <w:sz w:val="24"/>
          <w:szCs w:val="24"/>
        </w:rPr>
        <w:t>在中国生产平台依托产业</w:t>
      </w:r>
      <w:proofErr w:type="gramStart"/>
      <w:r w:rsidRPr="00A7505F">
        <w:rPr>
          <w:rFonts w:ascii="Times New Roman" w:eastAsia="楷体" w:hAnsi="Times New Roman" w:hint="eastAsia"/>
          <w:sz w:val="24"/>
          <w:szCs w:val="24"/>
        </w:rPr>
        <w:t>链配套</w:t>
      </w:r>
      <w:proofErr w:type="gramEnd"/>
      <w:r w:rsidRPr="00A7505F">
        <w:rPr>
          <w:rFonts w:ascii="Times New Roman" w:eastAsia="楷体" w:hAnsi="Times New Roman" w:hint="eastAsia"/>
          <w:sz w:val="24"/>
          <w:szCs w:val="24"/>
        </w:rPr>
        <w:t>优势持续提升产能经济性，在欧洲生产平台通过技术升级和成本优化强化本土竞争力，并同步探索美元区布局第三生产平台的可行性。未来行业竞争将呈现</w:t>
      </w:r>
      <w:r w:rsidRPr="00A7505F">
        <w:rPr>
          <w:rFonts w:ascii="Times New Roman" w:eastAsia="楷体" w:hAnsi="Times New Roman" w:hint="eastAsia"/>
          <w:sz w:val="24"/>
          <w:szCs w:val="24"/>
        </w:rPr>
        <w:t>"</w:t>
      </w:r>
      <w:r w:rsidRPr="00A7505F">
        <w:rPr>
          <w:rFonts w:ascii="Times New Roman" w:eastAsia="楷体" w:hAnsi="Times New Roman" w:hint="eastAsia"/>
          <w:sz w:val="24"/>
          <w:szCs w:val="24"/>
        </w:rPr>
        <w:t>区域深耕、多元协同</w:t>
      </w:r>
      <w:r w:rsidRPr="00A7505F">
        <w:rPr>
          <w:rFonts w:ascii="Times New Roman" w:eastAsia="楷体" w:hAnsi="Times New Roman" w:hint="eastAsia"/>
          <w:sz w:val="24"/>
          <w:szCs w:val="24"/>
        </w:rPr>
        <w:t>"</w:t>
      </w:r>
      <w:r w:rsidRPr="00A7505F">
        <w:rPr>
          <w:rFonts w:ascii="Times New Roman" w:eastAsia="楷体" w:hAnsi="Times New Roman" w:hint="eastAsia"/>
          <w:sz w:val="24"/>
          <w:szCs w:val="24"/>
        </w:rPr>
        <w:t>格局，各区域生产平台需立足本地化优势构建核心竞争力，形成全球化与区域化协同的战略体系，以应对贸易环境不确定性并增强供应链韧性。</w:t>
      </w:r>
    </w:p>
    <w:p w14:paraId="745A02C5" w14:textId="77777777" w:rsidR="009F6893" w:rsidRPr="00A7505F" w:rsidRDefault="009F6893" w:rsidP="009F6893">
      <w:pPr>
        <w:pStyle w:val="a8"/>
        <w:ind w:left="360"/>
      </w:pPr>
    </w:p>
    <w:p w14:paraId="14D3C213" w14:textId="560F46D5"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hint="eastAsia"/>
          <w:sz w:val="24"/>
          <w:szCs w:val="24"/>
        </w:rPr>
        <w:t>在产能过剩周期中，公司是否会调整维生素业务结构（如向高毛利的特种维生素转型）以提升盈利能力？</w:t>
      </w:r>
    </w:p>
    <w:p w14:paraId="3090002C" w14:textId="3450F24E" w:rsidR="009F6893" w:rsidRPr="00A7505F" w:rsidRDefault="009F6893" w:rsidP="00C316C5">
      <w:pPr>
        <w:pStyle w:val="a8"/>
        <w:ind w:left="434" w:firstLine="480"/>
        <w:rPr>
          <w:rFonts w:ascii="Times New Roman" w:eastAsia="楷体" w:hAnsi="Times New Roman"/>
          <w:sz w:val="24"/>
          <w:szCs w:val="24"/>
        </w:rPr>
      </w:pPr>
      <w:r w:rsidRPr="00A7505F">
        <w:rPr>
          <w:rFonts w:ascii="Times New Roman" w:eastAsia="楷体" w:hAnsi="Times New Roman"/>
          <w:sz w:val="24"/>
          <w:szCs w:val="24"/>
        </w:rPr>
        <w:t>首先，公司通过持续推进欧洲生产基地的工艺升级来降低产品的生产成本，</w:t>
      </w:r>
      <w:r w:rsidR="00783F1E" w:rsidRPr="00A7505F">
        <w:rPr>
          <w:rFonts w:ascii="Times New Roman" w:eastAsia="楷体" w:hAnsi="Times New Roman" w:hint="eastAsia"/>
          <w:sz w:val="24"/>
          <w:szCs w:val="24"/>
        </w:rPr>
        <w:t>目标是</w:t>
      </w:r>
      <w:r w:rsidRPr="00A7505F">
        <w:rPr>
          <w:rFonts w:ascii="Times New Roman" w:eastAsia="楷体" w:hAnsi="Times New Roman"/>
          <w:sz w:val="24"/>
          <w:szCs w:val="24"/>
        </w:rPr>
        <w:t>即使未来市场价格进一步下行，依托欧洲工厂的技术更新与精益管理，公司仍能</w:t>
      </w:r>
      <w:r w:rsidR="003F5515" w:rsidRPr="00A7505F">
        <w:rPr>
          <w:rFonts w:ascii="Times New Roman" w:eastAsia="楷体" w:hAnsi="Times New Roman" w:hint="eastAsia"/>
          <w:sz w:val="24"/>
          <w:szCs w:val="24"/>
        </w:rPr>
        <w:t>保持盈利</w:t>
      </w:r>
      <w:r w:rsidRPr="00A7505F">
        <w:rPr>
          <w:rFonts w:ascii="Times New Roman" w:eastAsia="楷体" w:hAnsi="Times New Roman"/>
          <w:sz w:val="24"/>
          <w:szCs w:val="24"/>
        </w:rPr>
        <w:t>。其次，在保持基础维生素品类竞争力的同时，我们正通过配方技术革新提升产品附加值，以提升产品盈利水平。</w:t>
      </w:r>
      <w:r w:rsidRPr="00A7505F">
        <w:rPr>
          <w:rFonts w:ascii="Times New Roman" w:eastAsia="楷体" w:hAnsi="Times New Roman" w:hint="eastAsia"/>
          <w:sz w:val="24"/>
          <w:szCs w:val="24"/>
        </w:rPr>
        <w:t>最后，安迪苏</w:t>
      </w:r>
      <w:r w:rsidR="00344F0D" w:rsidRPr="00A7505F">
        <w:rPr>
          <w:rFonts w:ascii="Times New Roman" w:eastAsia="楷体" w:hAnsi="Times New Roman" w:hint="eastAsia"/>
          <w:sz w:val="24"/>
          <w:szCs w:val="24"/>
        </w:rPr>
        <w:t>作为</w:t>
      </w:r>
      <w:r w:rsidRPr="00A7505F">
        <w:rPr>
          <w:rFonts w:ascii="Times New Roman" w:eastAsia="楷体" w:hAnsi="Times New Roman" w:hint="eastAsia"/>
          <w:sz w:val="24"/>
          <w:szCs w:val="24"/>
        </w:rPr>
        <w:t>维生素市场的重要参与者，</w:t>
      </w:r>
      <w:r w:rsidR="00344F0D" w:rsidRPr="00A7505F">
        <w:rPr>
          <w:rFonts w:ascii="Times New Roman" w:eastAsia="楷体" w:hAnsi="Times New Roman" w:hint="eastAsia"/>
          <w:sz w:val="24"/>
          <w:szCs w:val="24"/>
          <w:lang w:val="fr-FR"/>
        </w:rPr>
        <w:t>将保持</w:t>
      </w:r>
      <w:r w:rsidR="000C13F0" w:rsidRPr="00A7505F">
        <w:rPr>
          <w:rFonts w:ascii="Times New Roman" w:eastAsia="楷体" w:hAnsi="Times New Roman" w:hint="eastAsia"/>
          <w:sz w:val="24"/>
          <w:szCs w:val="24"/>
          <w:lang w:val="fr-FR"/>
        </w:rPr>
        <w:t>其在饲料级维生素行业中非</w:t>
      </w:r>
      <w:proofErr w:type="gramStart"/>
      <w:r w:rsidR="000C13F0" w:rsidRPr="00A7505F">
        <w:rPr>
          <w:rFonts w:ascii="Times New Roman" w:eastAsia="楷体" w:hAnsi="Times New Roman" w:hint="eastAsia"/>
          <w:sz w:val="24"/>
          <w:szCs w:val="24"/>
          <w:lang w:val="fr-FR"/>
        </w:rPr>
        <w:t>常独特</w:t>
      </w:r>
      <w:proofErr w:type="gramEnd"/>
      <w:r w:rsidR="000C13F0" w:rsidRPr="00A7505F">
        <w:rPr>
          <w:rFonts w:ascii="Times New Roman" w:eastAsia="楷体" w:hAnsi="Times New Roman" w:hint="eastAsia"/>
          <w:sz w:val="24"/>
          <w:szCs w:val="24"/>
          <w:lang w:val="fr-FR"/>
        </w:rPr>
        <w:t>的竞争地位，致力于向客户提供高质量且具有完全可追溯性的全系列维生素解决方案</w:t>
      </w:r>
      <w:r w:rsidRPr="00A7505F">
        <w:rPr>
          <w:rFonts w:ascii="Times New Roman" w:eastAsia="楷体" w:hAnsi="Times New Roman"/>
          <w:sz w:val="24"/>
          <w:szCs w:val="24"/>
        </w:rPr>
        <w:t>。</w:t>
      </w:r>
    </w:p>
    <w:p w14:paraId="1F637798" w14:textId="77777777" w:rsidR="009F6893" w:rsidRPr="00A7505F" w:rsidRDefault="009F6893" w:rsidP="009F6893">
      <w:pPr>
        <w:pStyle w:val="a8"/>
        <w:ind w:left="800"/>
      </w:pPr>
    </w:p>
    <w:p w14:paraId="1C8C8C20" w14:textId="12CB5E18"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hint="eastAsia"/>
          <w:sz w:val="24"/>
          <w:szCs w:val="24"/>
        </w:rPr>
        <w:t>公司维生素业务以饲料添加剂为主，是否计划拓展至人的健康领域？</w:t>
      </w:r>
      <w:r w:rsidRPr="00A7505F">
        <w:rPr>
          <w:rFonts w:ascii="Times New Roman" w:eastAsia="楷体" w:hAnsi="Times New Roman" w:hint="eastAsia"/>
          <w:sz w:val="24"/>
          <w:szCs w:val="24"/>
        </w:rPr>
        <w:t> </w:t>
      </w:r>
    </w:p>
    <w:p w14:paraId="2D90E860" w14:textId="77777777" w:rsidR="009F6893" w:rsidRPr="00A7505F" w:rsidRDefault="009F6893" w:rsidP="00C316C5">
      <w:pPr>
        <w:pStyle w:val="a8"/>
        <w:ind w:left="434" w:firstLine="480"/>
        <w:rPr>
          <w:rFonts w:ascii="Times New Roman" w:eastAsia="楷体" w:hAnsi="Times New Roman"/>
          <w:sz w:val="24"/>
        </w:rPr>
      </w:pPr>
      <w:bookmarkStart w:id="1" w:name="OLE_LINK5"/>
      <w:r w:rsidRPr="00A7505F">
        <w:rPr>
          <w:rFonts w:ascii="Times New Roman" w:eastAsia="楷体" w:hAnsi="Times New Roman" w:hint="eastAsia"/>
          <w:sz w:val="24"/>
        </w:rPr>
        <w:t>当前全球维生素</w:t>
      </w:r>
      <w:r w:rsidRPr="00A7505F">
        <w:rPr>
          <w:rFonts w:ascii="Times New Roman" w:eastAsia="楷体" w:hAnsi="Times New Roman" w:hint="eastAsia"/>
          <w:sz w:val="24"/>
        </w:rPr>
        <w:t>A</w:t>
      </w:r>
      <w:r w:rsidRPr="00A7505F">
        <w:rPr>
          <w:rFonts w:ascii="Times New Roman" w:eastAsia="楷体" w:hAnsi="Times New Roman" w:hint="eastAsia"/>
          <w:sz w:val="24"/>
        </w:rPr>
        <w:t>市场中，约</w:t>
      </w:r>
      <w:r w:rsidRPr="00A7505F">
        <w:rPr>
          <w:rFonts w:ascii="Times New Roman" w:eastAsia="楷体" w:hAnsi="Times New Roman" w:hint="eastAsia"/>
          <w:sz w:val="24"/>
        </w:rPr>
        <w:t>80%-85%</w:t>
      </w:r>
      <w:r w:rsidRPr="00A7505F">
        <w:rPr>
          <w:rFonts w:ascii="Times New Roman" w:eastAsia="楷体" w:hAnsi="Times New Roman" w:hint="eastAsia"/>
          <w:sz w:val="24"/>
        </w:rPr>
        <w:t>的用于饲料添加剂领域，人类健康领域（包括食品、医药）占比仅</w:t>
      </w:r>
      <w:r w:rsidRPr="00A7505F">
        <w:rPr>
          <w:rFonts w:ascii="Times New Roman" w:eastAsia="楷体" w:hAnsi="Times New Roman" w:hint="eastAsia"/>
          <w:sz w:val="24"/>
        </w:rPr>
        <w:t>15%-20%</w:t>
      </w:r>
      <w:r w:rsidRPr="00A7505F">
        <w:rPr>
          <w:rFonts w:ascii="Times New Roman" w:eastAsia="楷体" w:hAnsi="Times New Roman" w:hint="eastAsia"/>
          <w:sz w:val="24"/>
        </w:rPr>
        <w:t>。人类健康领域因涉及食品安全与医药标准，对质量认证、供应链稳定性及合</w:t>
      </w:r>
      <w:proofErr w:type="gramStart"/>
      <w:r w:rsidRPr="00A7505F">
        <w:rPr>
          <w:rFonts w:ascii="Times New Roman" w:eastAsia="楷体" w:hAnsi="Times New Roman" w:hint="eastAsia"/>
          <w:sz w:val="24"/>
        </w:rPr>
        <w:t>规</w:t>
      </w:r>
      <w:proofErr w:type="gramEnd"/>
      <w:r w:rsidRPr="00A7505F">
        <w:rPr>
          <w:rFonts w:ascii="Times New Roman" w:eastAsia="楷体" w:hAnsi="Times New Roman" w:hint="eastAsia"/>
          <w:sz w:val="24"/>
        </w:rPr>
        <w:t>性要求更高，虽存在一定溢价空间，但需跨越更严格的监管壁垒。基于现有业务布局，公司短期内将继续专注于饲料添加剂领域。与此同时，我们将密切关注市场需求变化与技术演进趋势，</w:t>
      </w:r>
      <w:proofErr w:type="gramStart"/>
      <w:r w:rsidRPr="00A7505F">
        <w:rPr>
          <w:rFonts w:ascii="Times New Roman" w:eastAsia="楷体" w:hAnsi="Times New Roman" w:hint="eastAsia"/>
          <w:sz w:val="24"/>
        </w:rPr>
        <w:t>若人</w:t>
      </w:r>
      <w:proofErr w:type="gramEnd"/>
      <w:r w:rsidRPr="00A7505F">
        <w:rPr>
          <w:rFonts w:ascii="Times New Roman" w:eastAsia="楷体" w:hAnsi="Times New Roman" w:hint="eastAsia"/>
          <w:sz w:val="24"/>
        </w:rPr>
        <w:t>类健康领域出现与公司技术路径契合、且能发挥现有生产体系协同效应的潜在机会，不排除通过审慎评估后探索相关业务的可能性。</w:t>
      </w:r>
    </w:p>
    <w:bookmarkEnd w:id="1"/>
    <w:p w14:paraId="2B2F6924" w14:textId="77777777" w:rsidR="009F6893" w:rsidRPr="00A7505F" w:rsidRDefault="009F6893" w:rsidP="009F6893">
      <w:pPr>
        <w:pStyle w:val="a8"/>
        <w:ind w:left="360"/>
      </w:pPr>
    </w:p>
    <w:p w14:paraId="656FA3CB" w14:textId="69D5B516"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hint="eastAsia"/>
          <w:sz w:val="24"/>
          <w:szCs w:val="24"/>
        </w:rPr>
        <w:t>公司特种产品毛利率长期维持在</w:t>
      </w:r>
      <w:r w:rsidRPr="00A7505F">
        <w:rPr>
          <w:rFonts w:ascii="Times New Roman" w:eastAsia="楷体" w:hAnsi="Times New Roman" w:hint="eastAsia"/>
          <w:sz w:val="24"/>
          <w:szCs w:val="24"/>
        </w:rPr>
        <w:t>40%-50%</w:t>
      </w:r>
      <w:r w:rsidRPr="00A7505F">
        <w:rPr>
          <w:rFonts w:ascii="Times New Roman" w:eastAsia="楷体" w:hAnsi="Times New Roman" w:hint="eastAsia"/>
          <w:sz w:val="24"/>
          <w:szCs w:val="24"/>
        </w:rPr>
        <w:t>，面对市场竞争加剧公司的高毛利是否可持续？是否面临新进入者挑战？</w:t>
      </w:r>
      <w:r w:rsidRPr="00A7505F">
        <w:rPr>
          <w:rFonts w:ascii="Times New Roman" w:eastAsia="楷体" w:hAnsi="Times New Roman" w:hint="eastAsia"/>
          <w:sz w:val="24"/>
          <w:szCs w:val="24"/>
        </w:rPr>
        <w:t xml:space="preserve"> </w:t>
      </w:r>
    </w:p>
    <w:p w14:paraId="13AFB150" w14:textId="419E5B85"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首先，公司通过加速</w:t>
      </w:r>
      <w:r w:rsidR="00765C02" w:rsidRPr="00A7505F">
        <w:rPr>
          <w:rFonts w:ascii="Times New Roman" w:eastAsia="楷体" w:hAnsi="Times New Roman" w:hint="eastAsia"/>
          <w:sz w:val="24"/>
        </w:rPr>
        <w:t>研发创新投入，实现</w:t>
      </w:r>
      <w:r w:rsidRPr="00A7505F">
        <w:rPr>
          <w:rFonts w:ascii="Times New Roman" w:eastAsia="楷体" w:hAnsi="Times New Roman" w:hint="eastAsia"/>
          <w:sz w:val="24"/>
        </w:rPr>
        <w:t>新技术迭代和产品升级，确保产品始终处于行业前沿。例如，今年公司</w:t>
      </w:r>
      <w:r w:rsidR="00765C02" w:rsidRPr="00A7505F">
        <w:rPr>
          <w:rFonts w:ascii="Times New Roman" w:eastAsia="楷体" w:hAnsi="Times New Roman" w:hint="eastAsia"/>
          <w:sz w:val="24"/>
        </w:rPr>
        <w:t>预计</w:t>
      </w:r>
      <w:r w:rsidRPr="00A7505F">
        <w:rPr>
          <w:rFonts w:ascii="Times New Roman" w:eastAsia="楷体" w:hAnsi="Times New Roman" w:hint="eastAsia"/>
          <w:sz w:val="24"/>
        </w:rPr>
        <w:t>将推出的</w:t>
      </w:r>
      <w:r w:rsidR="00B174A3" w:rsidRPr="00A7505F">
        <w:rPr>
          <w:rFonts w:ascii="Times New Roman" w:eastAsia="楷体" w:hAnsi="Times New Roman" w:hint="eastAsia"/>
          <w:sz w:val="24"/>
        </w:rPr>
        <w:t>在</w:t>
      </w:r>
      <w:r w:rsidRPr="00A7505F">
        <w:rPr>
          <w:rFonts w:ascii="Times New Roman" w:eastAsia="楷体" w:hAnsi="Times New Roman" w:hint="eastAsia"/>
          <w:sz w:val="24"/>
        </w:rPr>
        <w:t>反刍动物、酶制剂及肠道健康解决方案等</w:t>
      </w:r>
      <w:r w:rsidR="00B174A3" w:rsidRPr="00A7505F">
        <w:rPr>
          <w:rFonts w:ascii="Times New Roman" w:eastAsia="楷体" w:hAnsi="Times New Roman" w:hint="eastAsia"/>
          <w:sz w:val="24"/>
        </w:rPr>
        <w:t>领域的</w:t>
      </w:r>
      <w:r w:rsidRPr="00A7505F">
        <w:rPr>
          <w:rFonts w:ascii="Times New Roman" w:eastAsia="楷体" w:hAnsi="Times New Roman" w:hint="eastAsia"/>
          <w:sz w:val="24"/>
        </w:rPr>
        <w:t>创新产品，有效抵御同质化竞争。其次，特种产品毛利率的可持续性源于其不可替代的应用价值。公司通过</w:t>
      </w:r>
      <w:r w:rsidR="00B174A3" w:rsidRPr="00A7505F">
        <w:rPr>
          <w:rFonts w:ascii="Times New Roman" w:eastAsia="楷体" w:hAnsi="Times New Roman" w:hint="eastAsia"/>
          <w:sz w:val="24"/>
        </w:rPr>
        <w:t>专业的</w:t>
      </w:r>
      <w:r w:rsidRPr="00A7505F">
        <w:rPr>
          <w:rFonts w:ascii="Times New Roman" w:eastAsia="楷体" w:hAnsi="Times New Roman" w:hint="eastAsia"/>
          <w:sz w:val="24"/>
        </w:rPr>
        <w:t>技术销售团队深入客户生产场景，量化产品对客户降本增效、品质提升等维度的价值贡献，并以此作为定价基础。既增强了客户对溢价的认可度，也构建了长期合作壁垒。</w:t>
      </w:r>
      <w:bookmarkStart w:id="2" w:name="OLE_LINK6"/>
      <w:r w:rsidRPr="00A7505F">
        <w:rPr>
          <w:rFonts w:ascii="Times New Roman" w:eastAsia="楷体" w:hAnsi="Times New Roman" w:hint="eastAsia"/>
          <w:sz w:val="24"/>
        </w:rPr>
        <w:t>综上，依托技术研发优势与高质量的客户服务，我们有信心在加速特种产品业务增长的同时，持续维持其高盈利水平。</w:t>
      </w:r>
      <w:bookmarkEnd w:id="2"/>
    </w:p>
    <w:p w14:paraId="563208DA" w14:textId="77777777" w:rsidR="009F6893" w:rsidRPr="00A7505F" w:rsidRDefault="009F6893" w:rsidP="009F6893">
      <w:pPr>
        <w:pStyle w:val="a8"/>
        <w:ind w:left="360"/>
      </w:pPr>
    </w:p>
    <w:p w14:paraId="52C1F5B7" w14:textId="4A9EF3B7"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sz w:val="24"/>
          <w:szCs w:val="24"/>
        </w:rPr>
        <w:t>公司未来是否计划通过并购进一步整合特种产品领域？</w:t>
      </w:r>
    </w:p>
    <w:p w14:paraId="445B4F3A" w14:textId="77777777" w:rsidR="00C316C5"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公司特种产品业务的战略聚焦于</w:t>
      </w:r>
      <w:r w:rsidRPr="00A7505F">
        <w:rPr>
          <w:rFonts w:ascii="Times New Roman" w:eastAsia="楷体" w:hAnsi="Times New Roman" w:hint="eastAsia"/>
          <w:sz w:val="24"/>
        </w:rPr>
        <w:t>"</w:t>
      </w:r>
      <w:r w:rsidRPr="00A7505F">
        <w:rPr>
          <w:rFonts w:ascii="Times New Roman" w:eastAsia="楷体" w:hAnsi="Times New Roman" w:hint="eastAsia"/>
          <w:sz w:val="24"/>
        </w:rPr>
        <w:t>补链、延链、强链</w:t>
      </w:r>
      <w:r w:rsidRPr="00A7505F">
        <w:rPr>
          <w:rFonts w:ascii="Times New Roman" w:eastAsia="楷体" w:hAnsi="Times New Roman" w:hint="eastAsia"/>
          <w:sz w:val="24"/>
        </w:rPr>
        <w:t>"</w:t>
      </w:r>
      <w:r w:rsidRPr="00A7505F">
        <w:rPr>
          <w:rFonts w:ascii="Times New Roman" w:eastAsia="楷体" w:hAnsi="Times New Roman" w:hint="eastAsia"/>
          <w:sz w:val="24"/>
        </w:rPr>
        <w:t>三大方向，并购</w:t>
      </w:r>
      <w:r w:rsidRPr="00A7505F">
        <w:rPr>
          <w:rFonts w:ascii="Times New Roman" w:eastAsia="楷体" w:hAnsi="Times New Roman" w:hint="eastAsia"/>
          <w:sz w:val="24"/>
        </w:rPr>
        <w:lastRenderedPageBreak/>
        <w:t>将作为战略落地的有机补充工具。一是补链，完善产业链纵深布局。针对现有特种产品产业链中研发、生产、销售环节的结构性短板，</w:t>
      </w:r>
      <w:r w:rsidR="008B2700" w:rsidRPr="00A7505F">
        <w:rPr>
          <w:rFonts w:ascii="Times New Roman" w:eastAsia="楷体" w:hAnsi="Times New Roman" w:hint="eastAsia"/>
          <w:sz w:val="24"/>
        </w:rPr>
        <w:t>例如</w:t>
      </w:r>
      <w:r w:rsidRPr="00A7505F">
        <w:rPr>
          <w:rFonts w:ascii="Times New Roman" w:eastAsia="楷体" w:hAnsi="Times New Roman" w:hint="eastAsia"/>
          <w:sz w:val="24"/>
        </w:rPr>
        <w:t>公司正通过自主建设（如反刍动物酯化生产线自有化项目）</w:t>
      </w:r>
      <w:r w:rsidR="008B2700" w:rsidRPr="00A7505F">
        <w:rPr>
          <w:rFonts w:ascii="Times New Roman" w:eastAsia="楷体" w:hAnsi="Times New Roman" w:hint="eastAsia"/>
          <w:sz w:val="24"/>
        </w:rPr>
        <w:t>实现</w:t>
      </w:r>
      <w:r w:rsidRPr="00A7505F">
        <w:rPr>
          <w:rFonts w:ascii="Times New Roman" w:eastAsia="楷体" w:hAnsi="Times New Roman" w:hint="eastAsia"/>
          <w:sz w:val="24"/>
        </w:rPr>
        <w:t>关键生产环节</w:t>
      </w:r>
      <w:r w:rsidR="008B2700" w:rsidRPr="00A7505F">
        <w:rPr>
          <w:rFonts w:ascii="Times New Roman" w:eastAsia="楷体" w:hAnsi="Times New Roman" w:hint="eastAsia"/>
          <w:sz w:val="24"/>
        </w:rPr>
        <w:t>自行生产，</w:t>
      </w:r>
      <w:r w:rsidR="001B384F" w:rsidRPr="00A7505F">
        <w:rPr>
          <w:rFonts w:ascii="Times New Roman" w:eastAsia="楷体" w:hAnsi="Times New Roman" w:hint="eastAsia"/>
          <w:sz w:val="24"/>
        </w:rPr>
        <w:t>在</w:t>
      </w:r>
      <w:r w:rsidR="008B2700" w:rsidRPr="00A7505F">
        <w:rPr>
          <w:rFonts w:ascii="Times New Roman" w:eastAsia="楷体" w:hAnsi="Times New Roman" w:hint="eastAsia"/>
          <w:sz w:val="24"/>
        </w:rPr>
        <w:t>降低生产成本</w:t>
      </w:r>
      <w:r w:rsidR="001B384F" w:rsidRPr="00A7505F">
        <w:rPr>
          <w:rFonts w:ascii="Times New Roman" w:eastAsia="楷体" w:hAnsi="Times New Roman" w:hint="eastAsia"/>
          <w:sz w:val="24"/>
        </w:rPr>
        <w:t>的同时</w:t>
      </w:r>
      <w:r w:rsidR="008B2700" w:rsidRPr="00A7505F">
        <w:rPr>
          <w:rFonts w:ascii="Times New Roman" w:eastAsia="楷体" w:hAnsi="Times New Roman" w:hint="eastAsia"/>
          <w:sz w:val="24"/>
        </w:rPr>
        <w:t>提升可持续</w:t>
      </w:r>
      <w:r w:rsidR="001B384F" w:rsidRPr="00A7505F">
        <w:rPr>
          <w:rFonts w:ascii="Times New Roman" w:eastAsia="楷体" w:hAnsi="Times New Roman" w:hint="eastAsia"/>
          <w:sz w:val="24"/>
        </w:rPr>
        <w:t>水平</w:t>
      </w:r>
      <w:r w:rsidRPr="00A7505F">
        <w:rPr>
          <w:rFonts w:ascii="Times New Roman" w:eastAsia="楷体" w:hAnsi="Times New Roman" w:hint="eastAsia"/>
          <w:sz w:val="24"/>
        </w:rPr>
        <w:t>。二是延链，拓展多维应用场景。基于现有动物产品线的技术积累，公司正</w:t>
      </w:r>
      <w:r w:rsidR="00E23D1F" w:rsidRPr="00A7505F">
        <w:rPr>
          <w:rFonts w:ascii="Times New Roman" w:eastAsia="楷体" w:hAnsi="Times New Roman" w:hint="eastAsia"/>
          <w:sz w:val="24"/>
        </w:rPr>
        <w:t>研究</w:t>
      </w:r>
      <w:r w:rsidRPr="00A7505F">
        <w:rPr>
          <w:rFonts w:ascii="Times New Roman" w:eastAsia="楷体" w:hAnsi="Times New Roman" w:hint="eastAsia"/>
          <w:sz w:val="24"/>
        </w:rPr>
        <w:t>推动产品向宠物等高增长领域渗透</w:t>
      </w:r>
      <w:r w:rsidR="0002720C" w:rsidRPr="00A7505F">
        <w:rPr>
          <w:rFonts w:ascii="Times New Roman" w:eastAsia="楷体" w:hAnsi="Times New Roman" w:hint="eastAsia"/>
          <w:sz w:val="24"/>
        </w:rPr>
        <w:t>的可行性</w:t>
      </w:r>
      <w:r w:rsidRPr="00A7505F">
        <w:rPr>
          <w:rFonts w:ascii="Times New Roman" w:eastAsia="楷体" w:hAnsi="Times New Roman" w:hint="eastAsia"/>
          <w:sz w:val="24"/>
        </w:rPr>
        <w:t>。三是强链，构建技术驱动型竞争优势。公司持续强化研发投入，并通过</w:t>
      </w:r>
      <w:r w:rsidR="00311809" w:rsidRPr="00A7505F">
        <w:rPr>
          <w:rFonts w:ascii="Times New Roman" w:eastAsia="楷体" w:hAnsi="Times New Roman" w:hint="eastAsia"/>
          <w:sz w:val="24"/>
        </w:rPr>
        <w:t>创新实验室等</w:t>
      </w:r>
      <w:r w:rsidR="006B02C1" w:rsidRPr="00A7505F">
        <w:rPr>
          <w:rFonts w:ascii="Times New Roman" w:eastAsia="楷体" w:hAnsi="Times New Roman" w:hint="eastAsia"/>
          <w:sz w:val="24"/>
        </w:rPr>
        <w:t>外部研发等方式</w:t>
      </w:r>
      <w:r w:rsidRPr="00A7505F">
        <w:rPr>
          <w:rFonts w:ascii="Times New Roman" w:eastAsia="楷体" w:hAnsi="Times New Roman" w:hint="eastAsia"/>
          <w:sz w:val="24"/>
        </w:rPr>
        <w:t>整合优质技术资源，提升公司的盈利能力与客户服务能力。</w:t>
      </w:r>
      <w:r w:rsidR="006B02C1" w:rsidRPr="00A7505F">
        <w:rPr>
          <w:rFonts w:ascii="Times New Roman" w:eastAsia="楷体" w:hAnsi="Times New Roman" w:hint="eastAsia"/>
          <w:sz w:val="24"/>
        </w:rPr>
        <w:t>除此之外，外部并购对于产品线的丰富和市场的加速拓展都有重要意义。安迪苏近几年的数次收购对于特种品业务增长均带来了积极影响，公司将</w:t>
      </w:r>
      <w:r w:rsidR="006924B9" w:rsidRPr="00A7505F">
        <w:rPr>
          <w:rFonts w:ascii="Times New Roman" w:eastAsia="楷体" w:hAnsi="Times New Roman" w:hint="eastAsia"/>
          <w:sz w:val="24"/>
        </w:rPr>
        <w:t>在未来</w:t>
      </w:r>
      <w:r w:rsidR="006B02C1" w:rsidRPr="00A7505F">
        <w:rPr>
          <w:rFonts w:ascii="Times New Roman" w:eastAsia="楷体" w:hAnsi="Times New Roman" w:hint="eastAsia"/>
          <w:sz w:val="24"/>
        </w:rPr>
        <w:t>持续</w:t>
      </w:r>
      <w:r w:rsidR="006924B9" w:rsidRPr="00A7505F">
        <w:rPr>
          <w:rFonts w:ascii="Times New Roman" w:eastAsia="楷体" w:hAnsi="Times New Roman" w:hint="eastAsia"/>
          <w:sz w:val="24"/>
        </w:rPr>
        <w:t>积极寻求无机增长的机会</w:t>
      </w:r>
      <w:r w:rsidR="006B02C1" w:rsidRPr="00A7505F">
        <w:rPr>
          <w:rFonts w:ascii="Times New Roman" w:eastAsia="楷体" w:hAnsi="Times New Roman" w:hint="eastAsia"/>
          <w:sz w:val="24"/>
        </w:rPr>
        <w:t>。</w:t>
      </w:r>
    </w:p>
    <w:p w14:paraId="7EAA01DC" w14:textId="0418BEC5"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借助现有产品线的内生有机增长、新产品的不断推出和外部并购，安迪苏旨在巩固其全球动物营养与健康特种产品的主要领导者地位。我们将始终对具有潜力的新兴市场和技术领域保持关注，以抓住所有可能的机会，加快在公司的发展，扩大创新产品和服务组合，创造协同效应和规模效应。</w:t>
      </w:r>
    </w:p>
    <w:p w14:paraId="5B1642D7" w14:textId="77777777" w:rsidR="009F6893" w:rsidRPr="00A7505F" w:rsidRDefault="009F6893" w:rsidP="009F6893">
      <w:pPr>
        <w:pStyle w:val="a8"/>
        <w:ind w:left="360" w:firstLine="480"/>
        <w:rPr>
          <w:rFonts w:ascii="Times New Roman" w:eastAsia="楷体" w:hAnsi="Times New Roman"/>
          <w:sz w:val="24"/>
        </w:rPr>
      </w:pPr>
    </w:p>
    <w:p w14:paraId="5EFBF58C" w14:textId="39EB31DA"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sz w:val="24"/>
          <w:szCs w:val="24"/>
        </w:rPr>
        <w:t>公司定向增发进展？</w:t>
      </w:r>
    </w:p>
    <w:p w14:paraId="5FCEC5A0" w14:textId="65178DB4"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公司定向增发项目已于</w:t>
      </w:r>
      <w:r w:rsidRPr="00A7505F">
        <w:rPr>
          <w:rFonts w:ascii="Times New Roman" w:eastAsia="楷体" w:hAnsi="Times New Roman" w:hint="eastAsia"/>
          <w:sz w:val="24"/>
        </w:rPr>
        <w:t>4</w:t>
      </w:r>
      <w:r w:rsidRPr="00A7505F">
        <w:rPr>
          <w:rFonts w:ascii="Times New Roman" w:eastAsia="楷体" w:hAnsi="Times New Roman" w:hint="eastAsia"/>
          <w:sz w:val="24"/>
        </w:rPr>
        <w:t>月</w:t>
      </w:r>
      <w:r w:rsidRPr="00A7505F">
        <w:rPr>
          <w:rFonts w:ascii="Times New Roman" w:eastAsia="楷体" w:hAnsi="Times New Roman" w:hint="eastAsia"/>
          <w:sz w:val="24"/>
        </w:rPr>
        <w:t>15</w:t>
      </w:r>
      <w:r w:rsidRPr="00A7505F">
        <w:rPr>
          <w:rFonts w:ascii="Times New Roman" w:eastAsia="楷体" w:hAnsi="Times New Roman" w:hint="eastAsia"/>
          <w:sz w:val="24"/>
        </w:rPr>
        <w:t>日被上交所正式受理，目前正处于上交所问询阶段。未来在经上交所</w:t>
      </w:r>
      <w:r w:rsidR="001159BA" w:rsidRPr="00A7505F">
        <w:rPr>
          <w:rFonts w:ascii="Times New Roman" w:eastAsia="楷体" w:hAnsi="Times New Roman" w:hint="eastAsia"/>
          <w:sz w:val="24"/>
        </w:rPr>
        <w:t>审核通过</w:t>
      </w:r>
      <w:r w:rsidRPr="00A7505F">
        <w:rPr>
          <w:rFonts w:ascii="Times New Roman" w:eastAsia="楷体" w:hAnsi="Times New Roman" w:hint="eastAsia"/>
          <w:sz w:val="24"/>
        </w:rPr>
        <w:t>、</w:t>
      </w:r>
      <w:r w:rsidR="001159BA" w:rsidRPr="00A7505F">
        <w:rPr>
          <w:rFonts w:ascii="Times New Roman" w:eastAsia="楷体" w:hAnsi="Times New Roman" w:hint="eastAsia"/>
          <w:sz w:val="24"/>
        </w:rPr>
        <w:t>并完成</w:t>
      </w:r>
      <w:r w:rsidRPr="00A7505F">
        <w:rPr>
          <w:rFonts w:ascii="Times New Roman" w:eastAsia="楷体" w:hAnsi="Times New Roman" w:hint="eastAsia"/>
          <w:sz w:val="24"/>
        </w:rPr>
        <w:t>证监会</w:t>
      </w:r>
      <w:r w:rsidR="001159BA" w:rsidRPr="00A7505F">
        <w:rPr>
          <w:rFonts w:ascii="Times New Roman" w:eastAsia="楷体" w:hAnsi="Times New Roman" w:hint="eastAsia"/>
          <w:sz w:val="24"/>
        </w:rPr>
        <w:t>注册程序</w:t>
      </w:r>
      <w:r w:rsidRPr="00A7505F">
        <w:rPr>
          <w:rFonts w:ascii="Times New Roman" w:eastAsia="楷体" w:hAnsi="Times New Roman" w:hint="eastAsia"/>
          <w:sz w:val="24"/>
        </w:rPr>
        <w:t>后，公司将选择合适的发行窗口，并力争通过广泛和高效的路演等投资者活动，提升投资者对安迪苏未来发展的长期认可，从而确保高质量发行并切实维护全体投资者</w:t>
      </w:r>
      <w:r w:rsidR="003B1C50" w:rsidRPr="00A7505F">
        <w:rPr>
          <w:rFonts w:ascii="Times New Roman" w:eastAsia="楷体" w:hAnsi="Times New Roman" w:hint="eastAsia"/>
          <w:sz w:val="24"/>
        </w:rPr>
        <w:t>利益</w:t>
      </w:r>
      <w:r w:rsidRPr="00A7505F">
        <w:rPr>
          <w:rFonts w:ascii="Times New Roman" w:eastAsia="楷体" w:hAnsi="Times New Roman" w:hint="eastAsia"/>
          <w:sz w:val="24"/>
        </w:rPr>
        <w:t>。</w:t>
      </w:r>
    </w:p>
    <w:p w14:paraId="1A807E4B" w14:textId="77777777" w:rsidR="009F6893" w:rsidRPr="00A7505F" w:rsidRDefault="009F6893" w:rsidP="009F6893">
      <w:pPr>
        <w:pStyle w:val="a8"/>
        <w:ind w:left="360"/>
      </w:pPr>
    </w:p>
    <w:p w14:paraId="32E17526" w14:textId="033F9D10"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hint="eastAsia"/>
          <w:sz w:val="24"/>
          <w:szCs w:val="24"/>
        </w:rPr>
        <w:t>公司今年分红情况以及对未来的分红规划？</w:t>
      </w:r>
    </w:p>
    <w:p w14:paraId="11276E56" w14:textId="77777777"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为提升公司投资价值，与广大投资者共享公司经营发展成果，增强投资者获得感，在确保公司持续稳健经营及长远发展的前提下，公司今年增加了现金分红频次，在</w:t>
      </w:r>
      <w:r w:rsidRPr="00A7505F">
        <w:rPr>
          <w:rFonts w:ascii="Times New Roman" w:eastAsia="楷体" w:hAnsi="Times New Roman" w:hint="eastAsia"/>
          <w:sz w:val="24"/>
        </w:rPr>
        <w:t>2025</w:t>
      </w:r>
      <w:r w:rsidRPr="00A7505F">
        <w:rPr>
          <w:rFonts w:ascii="Times New Roman" w:eastAsia="楷体" w:hAnsi="Times New Roman" w:hint="eastAsia"/>
          <w:sz w:val="24"/>
        </w:rPr>
        <w:t>年实施中期分红、年度分红，整体分红比率为</w:t>
      </w:r>
      <w:r w:rsidRPr="00A7505F">
        <w:rPr>
          <w:rFonts w:ascii="Times New Roman" w:eastAsia="楷体" w:hAnsi="Times New Roman" w:hint="eastAsia"/>
          <w:sz w:val="24"/>
        </w:rPr>
        <w:t>40.08%</w:t>
      </w:r>
      <w:r w:rsidRPr="00A7505F">
        <w:rPr>
          <w:rFonts w:ascii="Times New Roman" w:eastAsia="楷体" w:hAnsi="Times New Roman" w:hint="eastAsia"/>
          <w:sz w:val="24"/>
        </w:rPr>
        <w:t>，其中中期分红</w:t>
      </w:r>
      <w:r w:rsidRPr="00A7505F">
        <w:rPr>
          <w:rFonts w:ascii="Times New Roman" w:eastAsia="楷体" w:hAnsi="Times New Roman"/>
          <w:sz w:val="24"/>
        </w:rPr>
        <w:t>1.61</w:t>
      </w:r>
      <w:r w:rsidRPr="00A7505F">
        <w:rPr>
          <w:rFonts w:ascii="Times New Roman" w:eastAsia="楷体" w:hAnsi="Times New Roman" w:hint="eastAsia"/>
          <w:sz w:val="24"/>
        </w:rPr>
        <w:t>亿元人民币已于</w:t>
      </w:r>
      <w:r w:rsidRPr="00A7505F">
        <w:rPr>
          <w:rFonts w:ascii="Times New Roman" w:eastAsia="楷体" w:hAnsi="Times New Roman"/>
          <w:sz w:val="24"/>
        </w:rPr>
        <w:t>3</w:t>
      </w:r>
      <w:r w:rsidRPr="00A7505F">
        <w:rPr>
          <w:rFonts w:ascii="Times New Roman" w:eastAsia="楷体" w:hAnsi="Times New Roman" w:hint="eastAsia"/>
          <w:sz w:val="24"/>
        </w:rPr>
        <w:t>月</w:t>
      </w:r>
      <w:r w:rsidRPr="00A7505F">
        <w:rPr>
          <w:rFonts w:ascii="Times New Roman" w:eastAsia="楷体" w:hAnsi="Times New Roman"/>
          <w:sz w:val="24"/>
        </w:rPr>
        <w:t>28</w:t>
      </w:r>
      <w:r w:rsidRPr="00A7505F">
        <w:rPr>
          <w:rFonts w:ascii="Times New Roman" w:eastAsia="楷体" w:hAnsi="Times New Roman" w:hint="eastAsia"/>
          <w:sz w:val="24"/>
        </w:rPr>
        <w:t>日派发，年度分红</w:t>
      </w:r>
      <w:r w:rsidRPr="00A7505F">
        <w:rPr>
          <w:rFonts w:ascii="Times New Roman" w:eastAsia="楷体" w:hAnsi="Times New Roman"/>
          <w:sz w:val="24"/>
        </w:rPr>
        <w:t>3.22</w:t>
      </w:r>
      <w:r w:rsidRPr="00A7505F">
        <w:rPr>
          <w:rFonts w:ascii="Times New Roman" w:eastAsia="楷体" w:hAnsi="Times New Roman" w:hint="eastAsia"/>
          <w:sz w:val="24"/>
        </w:rPr>
        <w:t>亿元人民币已获得股东大会批准通过，将于</w:t>
      </w:r>
      <w:r w:rsidRPr="00A7505F">
        <w:rPr>
          <w:rFonts w:ascii="Times New Roman" w:eastAsia="楷体" w:hAnsi="Times New Roman" w:hint="eastAsia"/>
          <w:sz w:val="24"/>
        </w:rPr>
        <w:t>5</w:t>
      </w:r>
      <w:r w:rsidRPr="00A7505F">
        <w:rPr>
          <w:rFonts w:ascii="Times New Roman" w:eastAsia="楷体" w:hAnsi="Times New Roman" w:hint="eastAsia"/>
          <w:sz w:val="24"/>
        </w:rPr>
        <w:t>月</w:t>
      </w:r>
      <w:r w:rsidRPr="00A7505F">
        <w:rPr>
          <w:rFonts w:ascii="Times New Roman" w:eastAsia="楷体" w:hAnsi="Times New Roman" w:hint="eastAsia"/>
          <w:sz w:val="24"/>
        </w:rPr>
        <w:t>20</w:t>
      </w:r>
      <w:r w:rsidRPr="00A7505F">
        <w:rPr>
          <w:rFonts w:ascii="Times New Roman" w:eastAsia="楷体" w:hAnsi="Times New Roman" w:hint="eastAsia"/>
          <w:sz w:val="24"/>
        </w:rPr>
        <w:t>日派发。</w:t>
      </w:r>
    </w:p>
    <w:p w14:paraId="30C084DA" w14:textId="33B42A77"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未来，公司将继续致力于为股东创造价值，坚持</w:t>
      </w:r>
      <w:r w:rsidR="00054F51" w:rsidRPr="00A7505F">
        <w:rPr>
          <w:rFonts w:ascii="Times New Roman" w:eastAsia="楷体" w:hAnsi="Times New Roman" w:hint="eastAsia"/>
          <w:sz w:val="24"/>
        </w:rPr>
        <w:t>在</w:t>
      </w:r>
      <w:r w:rsidR="00236014" w:rsidRPr="00A7505F">
        <w:rPr>
          <w:rFonts w:ascii="Times New Roman" w:eastAsia="楷体" w:hAnsi="Times New Roman" w:hint="eastAsia"/>
          <w:sz w:val="24"/>
        </w:rPr>
        <w:t>通常情况下不低于</w:t>
      </w:r>
      <w:r w:rsidR="00236014" w:rsidRPr="00A7505F">
        <w:rPr>
          <w:rFonts w:ascii="Times New Roman" w:eastAsia="楷体" w:hAnsi="Times New Roman" w:hint="eastAsia"/>
          <w:sz w:val="24"/>
        </w:rPr>
        <w:t>40%</w:t>
      </w:r>
      <w:r w:rsidR="00236014" w:rsidRPr="00A7505F">
        <w:rPr>
          <w:rFonts w:ascii="Times New Roman" w:eastAsia="楷体" w:hAnsi="Times New Roman" w:hint="eastAsia"/>
          <w:sz w:val="24"/>
        </w:rPr>
        <w:t>的</w:t>
      </w:r>
      <w:r w:rsidRPr="00A7505F">
        <w:rPr>
          <w:rFonts w:ascii="Times New Roman" w:eastAsia="楷体" w:hAnsi="Times New Roman" w:hint="eastAsia"/>
          <w:sz w:val="24"/>
        </w:rPr>
        <w:t>现金分红</w:t>
      </w:r>
      <w:r w:rsidR="00054F51" w:rsidRPr="00A7505F">
        <w:rPr>
          <w:rFonts w:ascii="Times New Roman" w:eastAsia="楷体" w:hAnsi="Times New Roman" w:hint="eastAsia"/>
          <w:sz w:val="24"/>
        </w:rPr>
        <w:t>比例的分配</w:t>
      </w:r>
      <w:r w:rsidRPr="00A7505F">
        <w:rPr>
          <w:rFonts w:ascii="Times New Roman" w:eastAsia="楷体" w:hAnsi="Times New Roman" w:hint="eastAsia"/>
          <w:sz w:val="24"/>
        </w:rPr>
        <w:t>方案积极回报股东，让投资者共享公司经营发展成果，促进各方共同关注公司的长期、持续、健康发展。</w:t>
      </w:r>
    </w:p>
    <w:p w14:paraId="64B56E18" w14:textId="77777777" w:rsidR="009F6893" w:rsidRPr="00A7505F" w:rsidRDefault="009F6893" w:rsidP="009F6893">
      <w:pPr>
        <w:pStyle w:val="a8"/>
        <w:ind w:left="360"/>
      </w:pPr>
    </w:p>
    <w:p w14:paraId="793AD5E6" w14:textId="5C39AC0C" w:rsidR="009F6893" w:rsidRPr="00A7505F" w:rsidRDefault="009F6893" w:rsidP="00C316C5">
      <w:pPr>
        <w:pStyle w:val="a8"/>
        <w:numPr>
          <w:ilvl w:val="3"/>
          <w:numId w:val="1"/>
        </w:numPr>
        <w:ind w:left="434" w:firstLineChars="0"/>
        <w:rPr>
          <w:rFonts w:ascii="Times New Roman" w:eastAsia="楷体" w:hAnsi="Times New Roman"/>
          <w:sz w:val="24"/>
          <w:szCs w:val="24"/>
        </w:rPr>
      </w:pPr>
      <w:bookmarkStart w:id="3" w:name="OLE_LINK7"/>
      <w:r w:rsidRPr="00A7505F">
        <w:rPr>
          <w:rFonts w:ascii="Times New Roman" w:eastAsia="楷体" w:hAnsi="Times New Roman" w:hint="eastAsia"/>
          <w:sz w:val="24"/>
          <w:szCs w:val="24"/>
        </w:rPr>
        <w:t>公司在原材料方面做了哪些工作应对原材料价格波动</w:t>
      </w:r>
      <w:bookmarkEnd w:id="3"/>
      <w:r w:rsidRPr="00A7505F">
        <w:rPr>
          <w:rFonts w:ascii="Times New Roman" w:eastAsia="楷体" w:hAnsi="Times New Roman" w:hint="eastAsia"/>
          <w:sz w:val="24"/>
          <w:szCs w:val="24"/>
        </w:rPr>
        <w:t>？</w:t>
      </w:r>
    </w:p>
    <w:p w14:paraId="211135BD" w14:textId="2AB2C9A7" w:rsidR="009F6893" w:rsidRPr="00A7505F" w:rsidRDefault="009F6893" w:rsidP="00C316C5">
      <w:pPr>
        <w:pStyle w:val="a8"/>
        <w:ind w:left="434" w:firstLine="480"/>
        <w:rPr>
          <w:rFonts w:ascii="Times New Roman" w:eastAsia="楷体" w:hAnsi="Times New Roman"/>
          <w:sz w:val="24"/>
        </w:rPr>
      </w:pPr>
      <w:bookmarkStart w:id="4" w:name="OLE_LINK8"/>
      <w:r w:rsidRPr="00A7505F">
        <w:rPr>
          <w:rFonts w:ascii="Times New Roman" w:eastAsia="楷体" w:hAnsi="Times New Roman"/>
          <w:sz w:val="24"/>
        </w:rPr>
        <w:t>面对原材料价格波动，公司通过多维度策略构建抗风险能力。</w:t>
      </w:r>
      <w:r w:rsidR="00054F51" w:rsidRPr="00A7505F">
        <w:rPr>
          <w:rFonts w:ascii="Times New Roman" w:eastAsia="楷体" w:hAnsi="Times New Roman" w:hint="eastAsia"/>
          <w:sz w:val="24"/>
        </w:rPr>
        <w:t>例如，</w:t>
      </w:r>
      <w:r w:rsidRPr="00A7505F">
        <w:rPr>
          <w:rFonts w:ascii="Times New Roman" w:eastAsia="楷体" w:hAnsi="Times New Roman" w:hint="eastAsia"/>
          <w:sz w:val="24"/>
        </w:rPr>
        <w:t>在</w:t>
      </w:r>
      <w:r w:rsidR="00A204D5" w:rsidRPr="00A7505F">
        <w:rPr>
          <w:rFonts w:ascii="Times New Roman" w:eastAsia="楷体" w:hAnsi="Times New Roman" w:hint="eastAsia"/>
          <w:sz w:val="24"/>
        </w:rPr>
        <w:t>面对硫磺成本上升的行业挑战</w:t>
      </w:r>
      <w:r w:rsidRPr="00A7505F">
        <w:rPr>
          <w:rFonts w:ascii="Times New Roman" w:eastAsia="楷体" w:hAnsi="Times New Roman" w:hint="eastAsia"/>
          <w:sz w:val="24"/>
        </w:rPr>
        <w:t>，依托中国</w:t>
      </w:r>
      <w:r w:rsidR="00142070" w:rsidRPr="00A7505F">
        <w:rPr>
          <w:rFonts w:ascii="Times New Roman" w:eastAsia="楷体" w:hAnsi="Times New Roman" w:hint="eastAsia"/>
          <w:sz w:val="24"/>
        </w:rPr>
        <w:t>的一体化生产装置</w:t>
      </w:r>
      <w:r w:rsidRPr="00A7505F">
        <w:rPr>
          <w:rFonts w:ascii="Times New Roman" w:eastAsia="楷体" w:hAnsi="Times New Roman"/>
          <w:sz w:val="24"/>
        </w:rPr>
        <w:t>与欧洲基地的硫磺熔炼装置实现关键技术自主可控，降低外部依赖；同时强化核心</w:t>
      </w:r>
      <w:r w:rsidR="3C76498E" w:rsidRPr="00A7505F">
        <w:rPr>
          <w:rFonts w:ascii="Times New Roman" w:eastAsia="楷体" w:hAnsi="Times New Roman"/>
          <w:sz w:val="24"/>
        </w:rPr>
        <w:t>原材料</w:t>
      </w:r>
      <w:r w:rsidRPr="00A7505F">
        <w:rPr>
          <w:rFonts w:ascii="Times New Roman" w:eastAsia="楷体" w:hAnsi="Times New Roman"/>
          <w:sz w:val="24"/>
        </w:rPr>
        <w:t>供应链</w:t>
      </w:r>
      <w:r w:rsidR="00A204D5" w:rsidRPr="00A7505F">
        <w:rPr>
          <w:rFonts w:ascii="Times New Roman" w:eastAsia="楷体" w:hAnsi="Times New Roman" w:hint="eastAsia"/>
          <w:sz w:val="24"/>
        </w:rPr>
        <w:t>的</w:t>
      </w:r>
      <w:r w:rsidRPr="00A7505F">
        <w:rPr>
          <w:rFonts w:ascii="Times New Roman" w:eastAsia="楷体" w:hAnsi="Times New Roman"/>
          <w:sz w:val="24"/>
        </w:rPr>
        <w:t>稳定性，并通过技术研发推动硫磺使用量减少及副产品硫磺回收再利用，从源头缓解成本压力。此外，公司利用产业链协同效应，通过</w:t>
      </w:r>
      <w:r w:rsidR="00A204D5" w:rsidRPr="00A7505F">
        <w:rPr>
          <w:rFonts w:ascii="Times New Roman" w:eastAsia="楷体" w:hAnsi="Times New Roman" w:hint="eastAsia"/>
          <w:sz w:val="24"/>
        </w:rPr>
        <w:t>相关</w:t>
      </w:r>
      <w:r w:rsidRPr="00A7505F">
        <w:rPr>
          <w:rFonts w:ascii="Times New Roman" w:eastAsia="楷体" w:hAnsi="Times New Roman"/>
          <w:sz w:val="24"/>
        </w:rPr>
        <w:t>副产品</w:t>
      </w:r>
      <w:r w:rsidR="00A204D5" w:rsidRPr="00A7505F">
        <w:rPr>
          <w:rFonts w:ascii="Times New Roman" w:eastAsia="楷体" w:hAnsi="Times New Roman" w:hint="eastAsia"/>
          <w:sz w:val="24"/>
        </w:rPr>
        <w:t>销售</w:t>
      </w:r>
      <w:r w:rsidRPr="00A7505F">
        <w:rPr>
          <w:rFonts w:ascii="Times New Roman" w:eastAsia="楷体" w:hAnsi="Times New Roman"/>
          <w:sz w:val="24"/>
        </w:rPr>
        <w:t>价格传导部分抵消硫磺成本上涨影响。公司还充分发挥区域优势，中国工厂凭借本地化采购成本优势保持竞争力，而欧洲基地则通过整合周边产业链资源确保供应稳定，</w:t>
      </w:r>
      <w:r w:rsidR="00DF0D54" w:rsidRPr="00A7505F">
        <w:rPr>
          <w:rFonts w:ascii="Times New Roman" w:eastAsia="楷体" w:hAnsi="Times New Roman" w:hint="eastAsia"/>
          <w:sz w:val="24"/>
        </w:rPr>
        <w:t>通过</w:t>
      </w:r>
      <w:r w:rsidRPr="00A7505F">
        <w:rPr>
          <w:rFonts w:ascii="Times New Roman" w:eastAsia="楷体" w:hAnsi="Times New Roman"/>
          <w:sz w:val="24"/>
        </w:rPr>
        <w:t>区域协同有效平衡了全球市场波动风险。</w:t>
      </w:r>
    </w:p>
    <w:p w14:paraId="2C47675B" w14:textId="77777777"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lastRenderedPageBreak/>
        <w:t>整体来看，公司通过技术升级、资源循环、成本对冲及全球供应链联动，系统性应对原材料价格波动，保障业务韧性与盈利能力。</w:t>
      </w:r>
    </w:p>
    <w:bookmarkEnd w:id="4"/>
    <w:p w14:paraId="4A54E3C7" w14:textId="77777777" w:rsidR="009F6893" w:rsidRPr="00A7505F" w:rsidRDefault="009F6893" w:rsidP="009F6893">
      <w:pPr>
        <w:pStyle w:val="a8"/>
        <w:ind w:left="360"/>
      </w:pPr>
    </w:p>
    <w:p w14:paraId="332CAE79" w14:textId="322B1DC1" w:rsidR="009F6893" w:rsidRPr="00A7505F" w:rsidRDefault="009F6893" w:rsidP="00C316C5">
      <w:pPr>
        <w:pStyle w:val="a8"/>
        <w:numPr>
          <w:ilvl w:val="3"/>
          <w:numId w:val="1"/>
        </w:numPr>
        <w:ind w:left="434" w:firstLineChars="0"/>
        <w:rPr>
          <w:rFonts w:ascii="Times New Roman" w:eastAsia="楷体" w:hAnsi="Times New Roman"/>
          <w:sz w:val="24"/>
          <w:szCs w:val="24"/>
        </w:rPr>
      </w:pPr>
      <w:r w:rsidRPr="00A7505F">
        <w:rPr>
          <w:rFonts w:ascii="Times New Roman" w:eastAsia="楷体" w:hAnsi="Times New Roman"/>
          <w:sz w:val="24"/>
          <w:szCs w:val="24"/>
        </w:rPr>
        <w:t>中美贸易摩擦对公司业务的影响？</w:t>
      </w:r>
    </w:p>
    <w:p w14:paraId="3B914536" w14:textId="6491ED24"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sz w:val="24"/>
        </w:rPr>
        <w:t>中美贸易战对于全球国际贸易均带来了一定的不确定性和挑战。得益于全球化销售布局及前瞻性供应链调整，对安迪苏业务影响有限。</w:t>
      </w:r>
      <w:r w:rsidR="2CB92925" w:rsidRPr="00A7505F">
        <w:rPr>
          <w:rFonts w:ascii="Times New Roman" w:eastAsia="楷体" w:hAnsi="Times New Roman"/>
          <w:sz w:val="24"/>
        </w:rPr>
        <w:t>受</w:t>
      </w:r>
      <w:r w:rsidR="0436B491" w:rsidRPr="00A7505F">
        <w:rPr>
          <w:rFonts w:ascii="Times New Roman" w:eastAsia="楷体" w:hAnsi="Times New Roman"/>
          <w:sz w:val="24"/>
        </w:rPr>
        <w:t>之前美国对中国关税政策</w:t>
      </w:r>
      <w:r w:rsidR="49A9BA01" w:rsidRPr="00A7505F">
        <w:rPr>
          <w:rFonts w:ascii="Times New Roman" w:eastAsia="楷体" w:hAnsi="Times New Roman"/>
          <w:sz w:val="24"/>
        </w:rPr>
        <w:t>影响</w:t>
      </w:r>
      <w:r w:rsidR="090C2ADA" w:rsidRPr="00A7505F">
        <w:rPr>
          <w:rFonts w:ascii="Times New Roman" w:eastAsia="楷体" w:hAnsi="Times New Roman"/>
          <w:sz w:val="24"/>
        </w:rPr>
        <w:t>，</w:t>
      </w:r>
      <w:r w:rsidRPr="00A7505F">
        <w:rPr>
          <w:rFonts w:ascii="Times New Roman" w:eastAsia="楷体" w:hAnsi="Times New Roman"/>
          <w:sz w:val="24"/>
        </w:rPr>
        <w:t>公司</w:t>
      </w:r>
      <w:r w:rsidR="0828172C" w:rsidRPr="00A7505F">
        <w:rPr>
          <w:rFonts w:ascii="Times New Roman" w:eastAsia="楷体" w:hAnsi="Times New Roman"/>
          <w:sz w:val="24"/>
        </w:rPr>
        <w:t>已将</w:t>
      </w:r>
      <w:r w:rsidRPr="00A7505F">
        <w:rPr>
          <w:rFonts w:ascii="Times New Roman" w:eastAsia="楷体" w:hAnsi="Times New Roman"/>
          <w:sz w:val="24"/>
        </w:rPr>
        <w:t>核心产品</w:t>
      </w:r>
      <w:r w:rsidR="00AF37F1">
        <w:rPr>
          <w:rFonts w:ascii="Times New Roman" w:eastAsia="楷体" w:hAnsi="Times New Roman" w:hint="eastAsia"/>
          <w:sz w:val="24"/>
        </w:rPr>
        <w:t>（</w:t>
      </w:r>
      <w:r w:rsidR="00AF37F1" w:rsidRPr="00A7505F">
        <w:rPr>
          <w:rFonts w:ascii="Times New Roman" w:eastAsia="楷体" w:hAnsi="Times New Roman"/>
          <w:sz w:val="24"/>
        </w:rPr>
        <w:t>蛋氨酸</w:t>
      </w:r>
      <w:r w:rsidR="00AF37F1">
        <w:rPr>
          <w:rFonts w:ascii="Times New Roman" w:eastAsia="楷体" w:hAnsi="Times New Roman" w:hint="eastAsia"/>
          <w:sz w:val="24"/>
        </w:rPr>
        <w:t>）</w:t>
      </w:r>
      <w:r w:rsidR="1B520E0C" w:rsidRPr="00A7505F">
        <w:rPr>
          <w:rFonts w:ascii="Times New Roman" w:eastAsia="楷体" w:hAnsi="Times New Roman"/>
          <w:sz w:val="24"/>
        </w:rPr>
        <w:t>向美国出口的</w:t>
      </w:r>
      <w:r w:rsidRPr="00A7505F">
        <w:rPr>
          <w:rFonts w:ascii="Times New Roman" w:eastAsia="楷体" w:hAnsi="Times New Roman"/>
          <w:sz w:val="24"/>
        </w:rPr>
        <w:t>供应</w:t>
      </w:r>
      <w:proofErr w:type="gramStart"/>
      <w:r w:rsidRPr="00A7505F">
        <w:rPr>
          <w:rFonts w:ascii="Times New Roman" w:eastAsia="楷体" w:hAnsi="Times New Roman"/>
          <w:sz w:val="24"/>
        </w:rPr>
        <w:t>链</w:t>
      </w:r>
      <w:r w:rsidR="03E09B19" w:rsidRPr="00A7505F">
        <w:rPr>
          <w:rFonts w:ascii="Times New Roman" w:eastAsia="楷体" w:hAnsi="Times New Roman"/>
          <w:sz w:val="24"/>
        </w:rPr>
        <w:t>调整</w:t>
      </w:r>
      <w:proofErr w:type="gramEnd"/>
      <w:r w:rsidR="03E09B19" w:rsidRPr="00A7505F">
        <w:rPr>
          <w:rFonts w:ascii="Times New Roman" w:eastAsia="楷体" w:hAnsi="Times New Roman"/>
          <w:sz w:val="24"/>
        </w:rPr>
        <w:t>为</w:t>
      </w:r>
      <w:r w:rsidRPr="00A7505F">
        <w:rPr>
          <w:rFonts w:ascii="Times New Roman" w:eastAsia="楷体" w:hAnsi="Times New Roman"/>
          <w:sz w:val="24"/>
        </w:rPr>
        <w:t>欧洲</w:t>
      </w:r>
      <w:r w:rsidR="0080769B" w:rsidRPr="00A7505F">
        <w:rPr>
          <w:rFonts w:ascii="Times New Roman" w:eastAsia="楷体" w:hAnsi="Times New Roman" w:hint="eastAsia"/>
          <w:sz w:val="24"/>
        </w:rPr>
        <w:t>供应</w:t>
      </w:r>
      <w:r w:rsidRPr="00A7505F">
        <w:rPr>
          <w:rFonts w:ascii="Times New Roman" w:eastAsia="楷体" w:hAnsi="Times New Roman"/>
          <w:sz w:val="24"/>
        </w:rPr>
        <w:t>。目前美国市场涉及的中国出口产品仅含少量</w:t>
      </w:r>
      <w:r w:rsidR="000033CA" w:rsidRPr="00A7505F">
        <w:rPr>
          <w:rFonts w:ascii="Times New Roman" w:eastAsia="楷体" w:hAnsi="Times New Roman" w:hint="eastAsia"/>
          <w:sz w:val="24"/>
        </w:rPr>
        <w:t>贸易</w:t>
      </w:r>
      <w:r w:rsidRPr="00A7505F">
        <w:rPr>
          <w:rFonts w:ascii="Times New Roman" w:eastAsia="楷体" w:hAnsi="Times New Roman"/>
          <w:sz w:val="24"/>
        </w:rPr>
        <w:t>维生素，且部分享受关税豁免，实际新增关税冲击较小，整体业务</w:t>
      </w:r>
      <w:r w:rsidR="000033CA" w:rsidRPr="00A7505F">
        <w:rPr>
          <w:rFonts w:ascii="Times New Roman" w:eastAsia="楷体" w:hAnsi="Times New Roman" w:hint="eastAsia"/>
          <w:sz w:val="24"/>
        </w:rPr>
        <w:t>盈利水平</w:t>
      </w:r>
      <w:r w:rsidRPr="00A7505F">
        <w:rPr>
          <w:rFonts w:ascii="Times New Roman" w:eastAsia="楷体" w:hAnsi="Times New Roman"/>
          <w:sz w:val="24"/>
        </w:rPr>
        <w:t>未受显著影响。</w:t>
      </w:r>
    </w:p>
    <w:p w14:paraId="4F1906A7" w14:textId="5A527BF0"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sz w:val="24"/>
        </w:rPr>
        <w:t>为应对贸易摩擦，公司采取了多重策略：一是</w:t>
      </w:r>
      <w:r w:rsidR="003509F0" w:rsidRPr="00A7505F">
        <w:rPr>
          <w:rFonts w:ascii="Times New Roman" w:eastAsia="楷体" w:hAnsi="Times New Roman" w:hint="eastAsia"/>
          <w:sz w:val="24"/>
        </w:rPr>
        <w:t>充分发挥中欧生产平台和全球供应链优势，根据关税政策变化，灵活调整供应链，以最大化</w:t>
      </w:r>
      <w:r w:rsidR="00866C55" w:rsidRPr="00A7505F">
        <w:rPr>
          <w:rFonts w:ascii="Times New Roman" w:eastAsia="楷体" w:hAnsi="Times New Roman" w:hint="eastAsia"/>
          <w:sz w:val="24"/>
        </w:rPr>
        <w:t>降低</w:t>
      </w:r>
      <w:r w:rsidR="003509F0" w:rsidRPr="00A7505F">
        <w:rPr>
          <w:rFonts w:ascii="Times New Roman" w:eastAsia="楷体" w:hAnsi="Times New Roman" w:hint="eastAsia"/>
          <w:sz w:val="24"/>
        </w:rPr>
        <w:t>关税影响</w:t>
      </w:r>
      <w:r w:rsidRPr="00A7505F">
        <w:rPr>
          <w:rFonts w:ascii="Times New Roman" w:eastAsia="楷体" w:hAnsi="Times New Roman"/>
          <w:sz w:val="24"/>
        </w:rPr>
        <w:t>；二是强化本土化生产，利用美国特种品工厂提升本土供应能力，减少进口依赖；三是动态调整价格，</w:t>
      </w:r>
      <w:r w:rsidR="00734BEC" w:rsidRPr="00A7505F">
        <w:rPr>
          <w:rFonts w:ascii="Times New Roman" w:eastAsia="楷体" w:hAnsi="Times New Roman" w:hint="eastAsia"/>
          <w:sz w:val="24"/>
        </w:rPr>
        <w:t>根据</w:t>
      </w:r>
      <w:r w:rsidRPr="00A7505F">
        <w:rPr>
          <w:rFonts w:ascii="Times New Roman" w:eastAsia="楷体" w:hAnsi="Times New Roman"/>
          <w:sz w:val="24"/>
        </w:rPr>
        <w:t>美国市场</w:t>
      </w:r>
      <w:r w:rsidR="00866C55" w:rsidRPr="00A7505F">
        <w:rPr>
          <w:rFonts w:ascii="Times New Roman" w:eastAsia="楷体" w:hAnsi="Times New Roman" w:hint="eastAsia"/>
          <w:sz w:val="24"/>
        </w:rPr>
        <w:t>情况</w:t>
      </w:r>
      <w:r w:rsidRPr="00A7505F">
        <w:rPr>
          <w:rFonts w:ascii="Times New Roman" w:eastAsia="楷体" w:hAnsi="Times New Roman" w:hint="eastAsia"/>
          <w:sz w:val="24"/>
        </w:rPr>
        <w:t>适度</w:t>
      </w:r>
      <w:r w:rsidR="00866C55" w:rsidRPr="00A7505F">
        <w:rPr>
          <w:rFonts w:ascii="Times New Roman" w:eastAsia="楷体" w:hAnsi="Times New Roman" w:hint="eastAsia"/>
          <w:sz w:val="24"/>
        </w:rPr>
        <w:t>调整</w:t>
      </w:r>
      <w:r w:rsidRPr="00A7505F">
        <w:rPr>
          <w:rFonts w:ascii="Times New Roman" w:eastAsia="楷体" w:hAnsi="Times New Roman"/>
          <w:sz w:val="24"/>
        </w:rPr>
        <w:t>产品售价。上述措施</w:t>
      </w:r>
      <w:r w:rsidR="00866C55" w:rsidRPr="00A7505F">
        <w:rPr>
          <w:rFonts w:ascii="Times New Roman" w:eastAsia="楷体" w:hAnsi="Times New Roman" w:hint="eastAsia"/>
          <w:sz w:val="24"/>
        </w:rPr>
        <w:t>将</w:t>
      </w:r>
      <w:r w:rsidRPr="00A7505F">
        <w:rPr>
          <w:rFonts w:ascii="Times New Roman" w:eastAsia="楷体" w:hAnsi="Times New Roman"/>
          <w:sz w:val="24"/>
        </w:rPr>
        <w:t>有效</w:t>
      </w:r>
      <w:r w:rsidR="00866C55" w:rsidRPr="00A7505F">
        <w:rPr>
          <w:rFonts w:ascii="Times New Roman" w:eastAsia="楷体" w:hAnsi="Times New Roman" w:hint="eastAsia"/>
          <w:sz w:val="24"/>
        </w:rPr>
        <w:t>降低</w:t>
      </w:r>
      <w:r w:rsidRPr="00A7505F">
        <w:rPr>
          <w:rFonts w:ascii="Times New Roman" w:eastAsia="楷体" w:hAnsi="Times New Roman"/>
          <w:sz w:val="24"/>
        </w:rPr>
        <w:t>关税影响，保障盈利能力与市场份额。</w:t>
      </w:r>
      <w:r w:rsidRPr="00A7505F">
        <w:rPr>
          <w:rFonts w:ascii="Times New Roman" w:eastAsia="楷体" w:hAnsi="Times New Roman"/>
          <w:sz w:val="24"/>
        </w:rPr>
        <w:t xml:space="preserve"> </w:t>
      </w:r>
    </w:p>
    <w:p w14:paraId="0E210CF0" w14:textId="29697D08" w:rsidR="009F6893" w:rsidRPr="00A7505F" w:rsidRDefault="009F6893" w:rsidP="00C316C5">
      <w:pPr>
        <w:pStyle w:val="a8"/>
        <w:ind w:left="434" w:firstLine="480"/>
        <w:rPr>
          <w:rFonts w:ascii="Times New Roman" w:eastAsia="楷体" w:hAnsi="Times New Roman"/>
          <w:sz w:val="24"/>
        </w:rPr>
      </w:pPr>
      <w:r w:rsidRPr="00A7505F">
        <w:rPr>
          <w:rFonts w:ascii="Times New Roman" w:eastAsia="楷体" w:hAnsi="Times New Roman" w:hint="eastAsia"/>
          <w:sz w:val="24"/>
        </w:rPr>
        <w:t>公司积极将贸易摩擦转化为发展契机：一方面进一步巩固欧洲产业基础，挖掘欧洲至美国的供应链潜力；另一方面通过优化全球产能布局与本土化供应能力，推动产业链升级，探索新商机。</w:t>
      </w:r>
    </w:p>
    <w:p w14:paraId="43050AF0" w14:textId="77777777" w:rsidR="006F2A8C" w:rsidRPr="00A7505F" w:rsidRDefault="006F2A8C" w:rsidP="009F6893">
      <w:pPr>
        <w:rPr>
          <w:rFonts w:ascii="Times New Roman" w:eastAsia="楷体" w:hAnsi="Times New Roman"/>
          <w:sz w:val="24"/>
          <w:szCs w:val="24"/>
        </w:rPr>
      </w:pPr>
    </w:p>
    <w:p w14:paraId="3907E348" w14:textId="77777777" w:rsidR="00201137" w:rsidRPr="00A7505F" w:rsidRDefault="00201137" w:rsidP="001D76B7">
      <w:pPr>
        <w:spacing w:after="0" w:line="240" w:lineRule="auto"/>
        <w:ind w:right="142"/>
        <w:jc w:val="right"/>
        <w:rPr>
          <w:rFonts w:ascii="Times New Roman" w:eastAsia="楷体" w:hAnsi="Times New Roman" w:cs="Times New Roman"/>
          <w:sz w:val="24"/>
          <w:szCs w:val="24"/>
        </w:rPr>
      </w:pPr>
      <w:r w:rsidRPr="00A7505F">
        <w:rPr>
          <w:rFonts w:ascii="Times New Roman" w:eastAsia="楷体" w:hAnsi="Times New Roman" w:cs="Times New Roman"/>
          <w:sz w:val="24"/>
          <w:szCs w:val="24"/>
        </w:rPr>
        <w:t>蓝星安迪苏股份有限公司</w:t>
      </w:r>
    </w:p>
    <w:p w14:paraId="7EA71453" w14:textId="6B16EAA4" w:rsidR="003644A9" w:rsidRPr="00A7505F" w:rsidRDefault="004757EC" w:rsidP="001947D3">
      <w:pPr>
        <w:spacing w:after="0" w:line="240" w:lineRule="auto"/>
        <w:ind w:right="142"/>
        <w:jc w:val="right"/>
        <w:rPr>
          <w:rFonts w:ascii="Times New Roman" w:eastAsia="楷体" w:hAnsi="Times New Roman" w:cs="Times New Roman"/>
          <w:sz w:val="24"/>
          <w:szCs w:val="24"/>
          <w:lang w:val="en-US"/>
        </w:rPr>
      </w:pPr>
      <w:r w:rsidRPr="00A7505F">
        <w:rPr>
          <w:rFonts w:ascii="Times New Roman" w:eastAsia="楷体" w:hAnsi="Times New Roman" w:cs="Times New Roman"/>
          <w:sz w:val="24"/>
          <w:szCs w:val="24"/>
        </w:rPr>
        <w:t>202</w:t>
      </w:r>
      <w:r w:rsidR="00AA4737" w:rsidRPr="00A7505F">
        <w:rPr>
          <w:rFonts w:ascii="Times New Roman" w:eastAsia="楷体" w:hAnsi="Times New Roman" w:cs="Times New Roman"/>
          <w:sz w:val="24"/>
          <w:szCs w:val="24"/>
        </w:rPr>
        <w:t>5</w:t>
      </w:r>
      <w:r w:rsidRPr="00A7505F">
        <w:rPr>
          <w:rFonts w:ascii="Times New Roman" w:eastAsia="楷体" w:hAnsi="Times New Roman" w:cs="Times New Roman"/>
          <w:sz w:val="24"/>
          <w:szCs w:val="24"/>
        </w:rPr>
        <w:t>年</w:t>
      </w:r>
      <w:r w:rsidR="009F6893" w:rsidRPr="00A7505F">
        <w:rPr>
          <w:rFonts w:ascii="Times New Roman" w:eastAsia="楷体" w:hAnsi="Times New Roman" w:cs="Times New Roman" w:hint="eastAsia"/>
          <w:sz w:val="24"/>
          <w:szCs w:val="24"/>
        </w:rPr>
        <w:t>5</w:t>
      </w:r>
      <w:r w:rsidRPr="00A7505F">
        <w:rPr>
          <w:rFonts w:ascii="Times New Roman" w:eastAsia="楷体" w:hAnsi="Times New Roman" w:cs="Times New Roman"/>
          <w:sz w:val="24"/>
          <w:szCs w:val="24"/>
        </w:rPr>
        <w:t>月</w:t>
      </w:r>
      <w:r w:rsidR="00EC3FAD" w:rsidRPr="00A7505F">
        <w:rPr>
          <w:rFonts w:ascii="Times New Roman" w:eastAsia="楷体" w:hAnsi="Times New Roman" w:cs="Times New Roman" w:hint="eastAsia"/>
          <w:sz w:val="24"/>
          <w:szCs w:val="24"/>
        </w:rPr>
        <w:t>1</w:t>
      </w:r>
      <w:r w:rsidR="009F6893" w:rsidRPr="00A7505F">
        <w:rPr>
          <w:rFonts w:ascii="Times New Roman" w:eastAsia="楷体" w:hAnsi="Times New Roman" w:cs="Times New Roman" w:hint="eastAsia"/>
          <w:sz w:val="24"/>
          <w:szCs w:val="24"/>
        </w:rPr>
        <w:t>4</w:t>
      </w:r>
      <w:r w:rsidR="00201137" w:rsidRPr="00A7505F">
        <w:rPr>
          <w:rFonts w:ascii="Times New Roman" w:eastAsia="楷体" w:hAnsi="Times New Roman" w:cs="Times New Roman"/>
          <w:sz w:val="24"/>
          <w:szCs w:val="24"/>
        </w:rPr>
        <w:t>日</w:t>
      </w:r>
      <w:r w:rsidR="003644A9" w:rsidRPr="00A7505F">
        <w:rPr>
          <w:rFonts w:ascii="Times New Roman" w:eastAsia="楷体" w:hAnsi="Times New Roman" w:cs="Times New Roman"/>
          <w:sz w:val="24"/>
          <w:szCs w:val="24"/>
          <w:lang w:val="en-US"/>
        </w:rPr>
        <w:br w:type="page"/>
      </w:r>
    </w:p>
    <w:p w14:paraId="1364A705" w14:textId="4E9C8390" w:rsidR="00D84E3B" w:rsidRPr="00AF37F1" w:rsidRDefault="003644A9" w:rsidP="009B6B19">
      <w:pPr>
        <w:jc w:val="both"/>
        <w:rPr>
          <w:rFonts w:ascii="Times New Roman" w:eastAsia="楷体" w:hAnsi="Times New Roman" w:cs="Times New Roman" w:hint="eastAsia"/>
          <w:sz w:val="24"/>
          <w:szCs w:val="24"/>
        </w:rPr>
      </w:pPr>
      <w:bookmarkStart w:id="5" w:name="_Hlk150434639"/>
      <w:r w:rsidRPr="00A7505F">
        <w:rPr>
          <w:rFonts w:ascii="Times New Roman" w:eastAsia="楷体" w:hAnsi="Times New Roman" w:cs="Times New Roman"/>
          <w:sz w:val="24"/>
          <w:szCs w:val="24"/>
        </w:rPr>
        <w:lastRenderedPageBreak/>
        <w:t>附件清单（排名不分先后）：</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40"/>
      </w:tblGrid>
      <w:tr w:rsidR="00AF37F1" w:rsidRPr="00A7505F" w14:paraId="2A597BEF" w14:textId="637B6DEF" w:rsidTr="00AF37F1">
        <w:trPr>
          <w:trHeight w:val="276"/>
        </w:trPr>
        <w:tc>
          <w:tcPr>
            <w:tcW w:w="817" w:type="dxa"/>
            <w:shd w:val="clear" w:color="auto" w:fill="auto"/>
            <w:noWrap/>
            <w:vAlign w:val="center"/>
            <w:hideMark/>
          </w:tcPr>
          <w:bookmarkEnd w:id="5"/>
          <w:p w14:paraId="6EBD31E4" w14:textId="4F69AC56" w:rsidR="00AF37F1" w:rsidRPr="00A7505F" w:rsidRDefault="00AF37F1" w:rsidP="00AF37F1">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序号</w:t>
            </w:r>
          </w:p>
        </w:tc>
        <w:tc>
          <w:tcPr>
            <w:tcW w:w="4140" w:type="dxa"/>
            <w:shd w:val="clear" w:color="auto" w:fill="auto"/>
            <w:noWrap/>
            <w:vAlign w:val="center"/>
            <w:hideMark/>
          </w:tcPr>
          <w:p w14:paraId="6B2FF867" w14:textId="52EE5244" w:rsidR="00AF37F1" w:rsidRPr="00A7505F" w:rsidRDefault="00AF37F1" w:rsidP="00964972">
            <w:pPr>
              <w:spacing w:after="0" w:line="240" w:lineRule="auto"/>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机构名称</w:t>
            </w:r>
          </w:p>
        </w:tc>
      </w:tr>
      <w:tr w:rsidR="00AF37F1" w:rsidRPr="00A7505F" w14:paraId="43B3A3F7" w14:textId="4856EA0B" w:rsidTr="00AF37F1">
        <w:trPr>
          <w:trHeight w:val="276"/>
        </w:trPr>
        <w:tc>
          <w:tcPr>
            <w:tcW w:w="817" w:type="dxa"/>
            <w:shd w:val="clear" w:color="auto" w:fill="auto"/>
            <w:noWrap/>
            <w:vAlign w:val="center"/>
            <w:hideMark/>
          </w:tcPr>
          <w:p w14:paraId="45F444AF" w14:textId="77777777"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w:t>
            </w:r>
          </w:p>
        </w:tc>
        <w:tc>
          <w:tcPr>
            <w:tcW w:w="4140" w:type="dxa"/>
            <w:shd w:val="clear" w:color="auto" w:fill="auto"/>
            <w:noWrap/>
            <w:vAlign w:val="center"/>
          </w:tcPr>
          <w:p w14:paraId="46FBC4A4" w14:textId="759DBE4A"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rPr>
              <w:t>中国电子投资控股有限公司</w:t>
            </w:r>
          </w:p>
        </w:tc>
      </w:tr>
      <w:tr w:rsidR="00AF37F1" w:rsidRPr="00A7505F" w14:paraId="416369D6" w14:textId="242AF654" w:rsidTr="00AF37F1">
        <w:trPr>
          <w:trHeight w:val="276"/>
        </w:trPr>
        <w:tc>
          <w:tcPr>
            <w:tcW w:w="817" w:type="dxa"/>
            <w:shd w:val="clear" w:color="auto" w:fill="auto"/>
            <w:noWrap/>
            <w:vAlign w:val="center"/>
          </w:tcPr>
          <w:p w14:paraId="0F13F956" w14:textId="5AFEE50A"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2</w:t>
            </w:r>
          </w:p>
        </w:tc>
        <w:tc>
          <w:tcPr>
            <w:tcW w:w="4140" w:type="dxa"/>
            <w:shd w:val="clear" w:color="auto" w:fill="auto"/>
            <w:noWrap/>
            <w:vAlign w:val="center"/>
          </w:tcPr>
          <w:p w14:paraId="1A6F7836" w14:textId="4462071E" w:rsidR="00AF37F1" w:rsidRPr="00A7505F" w:rsidRDefault="00AF37F1" w:rsidP="00A57420">
            <w:pPr>
              <w:spacing w:after="0" w:line="240" w:lineRule="auto"/>
              <w:jc w:val="both"/>
              <w:rPr>
                <w:rFonts w:ascii="Times New Roman" w:eastAsia="楷体" w:hAnsi="Times New Roman" w:cs="Times New Roman"/>
                <w:sz w:val="24"/>
                <w:szCs w:val="24"/>
              </w:rPr>
            </w:pPr>
            <w:r w:rsidRPr="00A7505F">
              <w:rPr>
                <w:rFonts w:ascii="Times New Roman" w:eastAsia="楷体" w:hAnsi="Times New Roman" w:cs="Times New Roman"/>
                <w:sz w:val="24"/>
                <w:szCs w:val="24"/>
              </w:rPr>
              <w:t>东兴证券</w:t>
            </w:r>
            <w:r w:rsidRPr="00A7505F">
              <w:rPr>
                <w:rFonts w:ascii="Times New Roman" w:eastAsia="楷体" w:hAnsi="Times New Roman" w:cs="Times New Roman"/>
                <w:sz w:val="24"/>
                <w:szCs w:val="24"/>
              </w:rPr>
              <w:t xml:space="preserve"> </w:t>
            </w:r>
          </w:p>
        </w:tc>
      </w:tr>
      <w:tr w:rsidR="00AF37F1" w:rsidRPr="00A7505F" w14:paraId="27215473" w14:textId="5F126498" w:rsidTr="00AF37F1">
        <w:trPr>
          <w:trHeight w:val="276"/>
        </w:trPr>
        <w:tc>
          <w:tcPr>
            <w:tcW w:w="817" w:type="dxa"/>
            <w:shd w:val="clear" w:color="auto" w:fill="auto"/>
            <w:noWrap/>
            <w:vAlign w:val="center"/>
          </w:tcPr>
          <w:p w14:paraId="410F17FB" w14:textId="7FA5A884"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3</w:t>
            </w:r>
          </w:p>
        </w:tc>
        <w:tc>
          <w:tcPr>
            <w:tcW w:w="4140" w:type="dxa"/>
            <w:shd w:val="clear" w:color="auto" w:fill="auto"/>
            <w:noWrap/>
            <w:vAlign w:val="center"/>
          </w:tcPr>
          <w:p w14:paraId="5B109B44" w14:textId="4B556A98" w:rsidR="00AF37F1" w:rsidRPr="00A7505F" w:rsidRDefault="00AF37F1" w:rsidP="00A57420">
            <w:pPr>
              <w:spacing w:after="0" w:line="240" w:lineRule="auto"/>
              <w:jc w:val="both"/>
              <w:rPr>
                <w:rFonts w:ascii="Times New Roman" w:eastAsia="楷体" w:hAnsi="Times New Roman" w:cs="Times New Roman"/>
                <w:sz w:val="24"/>
                <w:szCs w:val="24"/>
              </w:rPr>
            </w:pPr>
            <w:r w:rsidRPr="00A7505F">
              <w:rPr>
                <w:rFonts w:ascii="Times New Roman" w:eastAsia="楷体" w:hAnsi="Times New Roman" w:cs="Times New Roman"/>
                <w:sz w:val="24"/>
                <w:szCs w:val="24"/>
              </w:rPr>
              <w:t>国信证券</w:t>
            </w:r>
            <w:r w:rsidRPr="00A7505F">
              <w:rPr>
                <w:rFonts w:ascii="Times New Roman" w:eastAsia="楷体" w:hAnsi="Times New Roman" w:cs="Times New Roman"/>
                <w:sz w:val="24"/>
                <w:szCs w:val="24"/>
              </w:rPr>
              <w:t xml:space="preserve"> </w:t>
            </w:r>
          </w:p>
        </w:tc>
      </w:tr>
      <w:tr w:rsidR="00AF37F1" w:rsidRPr="00A7505F" w14:paraId="0EA7774D" w14:textId="18E2B2D4" w:rsidTr="00AF37F1">
        <w:trPr>
          <w:trHeight w:val="276"/>
        </w:trPr>
        <w:tc>
          <w:tcPr>
            <w:tcW w:w="817" w:type="dxa"/>
            <w:shd w:val="clear" w:color="auto" w:fill="auto"/>
            <w:noWrap/>
            <w:vAlign w:val="center"/>
          </w:tcPr>
          <w:p w14:paraId="55F584A5" w14:textId="113EC1C6"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4</w:t>
            </w:r>
          </w:p>
        </w:tc>
        <w:tc>
          <w:tcPr>
            <w:tcW w:w="4140" w:type="dxa"/>
            <w:shd w:val="clear" w:color="auto" w:fill="auto"/>
            <w:noWrap/>
            <w:vAlign w:val="center"/>
          </w:tcPr>
          <w:p w14:paraId="483AB10F" w14:textId="0A4A5E5E" w:rsidR="00AF37F1" w:rsidRPr="00A7505F" w:rsidRDefault="00AF37F1" w:rsidP="00A57420">
            <w:pPr>
              <w:spacing w:after="0" w:line="240" w:lineRule="auto"/>
              <w:jc w:val="both"/>
              <w:rPr>
                <w:rFonts w:ascii="Times New Roman" w:eastAsia="楷体" w:hAnsi="Times New Roman" w:cs="Times New Roman"/>
                <w:sz w:val="24"/>
                <w:szCs w:val="24"/>
              </w:rPr>
            </w:pPr>
            <w:r w:rsidRPr="00A7505F">
              <w:rPr>
                <w:rFonts w:ascii="Times New Roman" w:eastAsia="楷体" w:hAnsi="Times New Roman" w:cs="Times New Roman"/>
                <w:sz w:val="24"/>
                <w:szCs w:val="24"/>
              </w:rPr>
              <w:t>山西证券</w:t>
            </w:r>
            <w:r w:rsidRPr="00A7505F">
              <w:rPr>
                <w:rFonts w:ascii="Times New Roman" w:eastAsia="楷体" w:hAnsi="Times New Roman" w:cs="Times New Roman"/>
                <w:sz w:val="24"/>
                <w:szCs w:val="24"/>
              </w:rPr>
              <w:t xml:space="preserve"> </w:t>
            </w:r>
          </w:p>
        </w:tc>
      </w:tr>
      <w:tr w:rsidR="00AF37F1" w:rsidRPr="00A7505F" w14:paraId="0D56A53A" w14:textId="49738DF6" w:rsidTr="00AF37F1">
        <w:trPr>
          <w:trHeight w:val="276"/>
        </w:trPr>
        <w:tc>
          <w:tcPr>
            <w:tcW w:w="817" w:type="dxa"/>
            <w:shd w:val="clear" w:color="auto" w:fill="auto"/>
            <w:noWrap/>
            <w:vAlign w:val="center"/>
          </w:tcPr>
          <w:p w14:paraId="0DF4CF48" w14:textId="2F9C791C"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5</w:t>
            </w:r>
          </w:p>
        </w:tc>
        <w:tc>
          <w:tcPr>
            <w:tcW w:w="4140" w:type="dxa"/>
            <w:shd w:val="clear" w:color="auto" w:fill="auto"/>
            <w:noWrap/>
            <w:vAlign w:val="center"/>
          </w:tcPr>
          <w:p w14:paraId="111FD5B8" w14:textId="605D7D90" w:rsidR="00AF37F1" w:rsidRPr="00A7505F" w:rsidRDefault="00AF37F1" w:rsidP="00A57420">
            <w:pPr>
              <w:spacing w:after="0" w:line="240" w:lineRule="auto"/>
              <w:jc w:val="both"/>
              <w:rPr>
                <w:rFonts w:ascii="Times New Roman" w:eastAsia="楷体" w:hAnsi="Times New Roman" w:cs="Times New Roman"/>
                <w:sz w:val="24"/>
                <w:szCs w:val="24"/>
              </w:rPr>
            </w:pPr>
            <w:proofErr w:type="gramStart"/>
            <w:r w:rsidRPr="00A7505F">
              <w:rPr>
                <w:rFonts w:ascii="Times New Roman" w:eastAsia="楷体" w:hAnsi="Times New Roman" w:cs="Times New Roman"/>
                <w:sz w:val="24"/>
                <w:szCs w:val="24"/>
              </w:rPr>
              <w:t>申万宏源证券</w:t>
            </w:r>
            <w:proofErr w:type="gramEnd"/>
          </w:p>
        </w:tc>
      </w:tr>
      <w:tr w:rsidR="00AF37F1" w:rsidRPr="00A7505F" w14:paraId="7E1EA195" w14:textId="0D881741" w:rsidTr="00AF37F1">
        <w:trPr>
          <w:trHeight w:val="276"/>
        </w:trPr>
        <w:tc>
          <w:tcPr>
            <w:tcW w:w="817" w:type="dxa"/>
            <w:shd w:val="clear" w:color="auto" w:fill="auto"/>
            <w:noWrap/>
            <w:vAlign w:val="center"/>
            <w:hideMark/>
          </w:tcPr>
          <w:p w14:paraId="5DA61325" w14:textId="2508CF58"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6</w:t>
            </w:r>
          </w:p>
        </w:tc>
        <w:tc>
          <w:tcPr>
            <w:tcW w:w="4140" w:type="dxa"/>
            <w:shd w:val="clear" w:color="auto" w:fill="auto"/>
            <w:noWrap/>
            <w:vAlign w:val="center"/>
          </w:tcPr>
          <w:p w14:paraId="4739592B" w14:textId="004357DD"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rPr>
              <w:t>光大证券</w:t>
            </w:r>
            <w:r w:rsidRPr="00A7505F">
              <w:rPr>
                <w:rFonts w:ascii="Times New Roman" w:eastAsia="楷体" w:hAnsi="Times New Roman" w:cs="Times New Roman"/>
                <w:sz w:val="24"/>
                <w:szCs w:val="24"/>
              </w:rPr>
              <w:t xml:space="preserve"> </w:t>
            </w:r>
          </w:p>
        </w:tc>
      </w:tr>
      <w:tr w:rsidR="00AF37F1" w:rsidRPr="00A7505F" w14:paraId="34E020E5" w14:textId="08D26008" w:rsidTr="00AF37F1">
        <w:trPr>
          <w:trHeight w:val="276"/>
        </w:trPr>
        <w:tc>
          <w:tcPr>
            <w:tcW w:w="817" w:type="dxa"/>
            <w:shd w:val="clear" w:color="auto" w:fill="auto"/>
            <w:noWrap/>
            <w:vAlign w:val="center"/>
            <w:hideMark/>
          </w:tcPr>
          <w:p w14:paraId="7829BE99" w14:textId="527EB35E"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7</w:t>
            </w:r>
          </w:p>
        </w:tc>
        <w:tc>
          <w:tcPr>
            <w:tcW w:w="4140" w:type="dxa"/>
            <w:shd w:val="clear" w:color="auto" w:fill="auto"/>
            <w:noWrap/>
            <w:vAlign w:val="center"/>
          </w:tcPr>
          <w:p w14:paraId="7481DBF4" w14:textId="5EAF7FDC"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rPr>
              <w:t>中泰证券</w:t>
            </w:r>
            <w:r w:rsidRPr="00A7505F">
              <w:rPr>
                <w:rFonts w:ascii="Times New Roman" w:eastAsia="楷体" w:hAnsi="Times New Roman" w:cs="Times New Roman"/>
                <w:sz w:val="24"/>
                <w:szCs w:val="24"/>
              </w:rPr>
              <w:t xml:space="preserve"> </w:t>
            </w:r>
          </w:p>
        </w:tc>
      </w:tr>
      <w:tr w:rsidR="00AF37F1" w:rsidRPr="00A7505F" w14:paraId="72E9678C" w14:textId="5D48300C" w:rsidTr="00AF37F1">
        <w:trPr>
          <w:trHeight w:val="276"/>
        </w:trPr>
        <w:tc>
          <w:tcPr>
            <w:tcW w:w="817" w:type="dxa"/>
            <w:shd w:val="clear" w:color="auto" w:fill="auto"/>
            <w:noWrap/>
            <w:vAlign w:val="center"/>
            <w:hideMark/>
          </w:tcPr>
          <w:p w14:paraId="155AB168" w14:textId="6C9BB00A"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8</w:t>
            </w:r>
          </w:p>
        </w:tc>
        <w:tc>
          <w:tcPr>
            <w:tcW w:w="4140" w:type="dxa"/>
            <w:shd w:val="clear" w:color="auto" w:fill="auto"/>
            <w:noWrap/>
            <w:vAlign w:val="center"/>
          </w:tcPr>
          <w:p w14:paraId="5354AFCF" w14:textId="7602F93A" w:rsidR="00AF37F1" w:rsidRPr="00A7505F" w:rsidRDefault="00AF37F1" w:rsidP="00A57420">
            <w:pPr>
              <w:spacing w:after="0" w:line="240" w:lineRule="auto"/>
              <w:jc w:val="both"/>
              <w:rPr>
                <w:rFonts w:ascii="Times New Roman" w:eastAsia="楷体" w:hAnsi="Times New Roman" w:cs="Times New Roman"/>
                <w:sz w:val="24"/>
                <w:szCs w:val="24"/>
                <w:lang w:val="en-US"/>
              </w:rPr>
            </w:pPr>
            <w:proofErr w:type="gramStart"/>
            <w:r w:rsidRPr="00A7505F">
              <w:rPr>
                <w:rFonts w:ascii="Times New Roman" w:eastAsia="楷体" w:hAnsi="Times New Roman" w:cs="Times New Roman"/>
                <w:sz w:val="24"/>
                <w:szCs w:val="24"/>
              </w:rPr>
              <w:t>华西银</w:t>
            </w:r>
            <w:proofErr w:type="gramEnd"/>
            <w:r w:rsidRPr="00A7505F">
              <w:rPr>
                <w:rFonts w:ascii="Times New Roman" w:eastAsia="楷体" w:hAnsi="Times New Roman" w:cs="Times New Roman"/>
                <w:sz w:val="24"/>
                <w:szCs w:val="24"/>
              </w:rPr>
              <w:t>峰</w:t>
            </w:r>
          </w:p>
        </w:tc>
      </w:tr>
      <w:tr w:rsidR="00AF37F1" w:rsidRPr="00A7505F" w14:paraId="3FA5F31B" w14:textId="77777777" w:rsidTr="00AF37F1">
        <w:trPr>
          <w:trHeight w:val="276"/>
        </w:trPr>
        <w:tc>
          <w:tcPr>
            <w:tcW w:w="817" w:type="dxa"/>
            <w:shd w:val="clear" w:color="auto" w:fill="auto"/>
            <w:noWrap/>
            <w:vAlign w:val="center"/>
          </w:tcPr>
          <w:p w14:paraId="7BF400DA" w14:textId="6E1E9453"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9</w:t>
            </w:r>
          </w:p>
        </w:tc>
        <w:tc>
          <w:tcPr>
            <w:tcW w:w="4140" w:type="dxa"/>
            <w:shd w:val="clear" w:color="auto" w:fill="auto"/>
            <w:noWrap/>
            <w:vAlign w:val="center"/>
          </w:tcPr>
          <w:p w14:paraId="5AD19F8F" w14:textId="4B73EDE5" w:rsidR="00AF37F1" w:rsidRPr="00A7505F" w:rsidRDefault="00AF37F1" w:rsidP="00A57420">
            <w:pPr>
              <w:spacing w:after="0" w:line="240" w:lineRule="auto"/>
              <w:jc w:val="both"/>
              <w:rPr>
                <w:rFonts w:ascii="Times New Roman" w:eastAsia="楷体" w:hAnsi="Times New Roman" w:cs="Times New Roman"/>
                <w:sz w:val="24"/>
                <w:szCs w:val="24"/>
              </w:rPr>
            </w:pPr>
            <w:r w:rsidRPr="00A7505F">
              <w:rPr>
                <w:rFonts w:ascii="Times New Roman" w:eastAsia="楷体" w:hAnsi="Times New Roman" w:cs="Times New Roman"/>
                <w:sz w:val="24"/>
                <w:szCs w:val="24"/>
              </w:rPr>
              <w:t>汇丰银行</w:t>
            </w:r>
          </w:p>
        </w:tc>
      </w:tr>
      <w:tr w:rsidR="00AF37F1" w:rsidRPr="00A7505F" w14:paraId="1E5C293A" w14:textId="78CBCA4B" w:rsidTr="00AF37F1">
        <w:trPr>
          <w:trHeight w:val="276"/>
        </w:trPr>
        <w:tc>
          <w:tcPr>
            <w:tcW w:w="817" w:type="dxa"/>
            <w:shd w:val="clear" w:color="auto" w:fill="auto"/>
            <w:noWrap/>
            <w:vAlign w:val="center"/>
            <w:hideMark/>
          </w:tcPr>
          <w:p w14:paraId="7F364D68" w14:textId="2E8F00C5"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10</w:t>
            </w:r>
          </w:p>
        </w:tc>
        <w:tc>
          <w:tcPr>
            <w:tcW w:w="4140" w:type="dxa"/>
            <w:shd w:val="clear" w:color="auto" w:fill="auto"/>
            <w:noWrap/>
            <w:vAlign w:val="center"/>
          </w:tcPr>
          <w:p w14:paraId="6144902E" w14:textId="035CF1F9"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中</w:t>
            </w:r>
            <w:proofErr w:type="gramStart"/>
            <w:r w:rsidRPr="00A7505F">
              <w:rPr>
                <w:rFonts w:ascii="Times New Roman" w:eastAsia="楷体" w:hAnsi="Times New Roman" w:cs="Times New Roman"/>
                <w:sz w:val="24"/>
                <w:szCs w:val="24"/>
                <w:lang w:val="en-US"/>
              </w:rPr>
              <w:t>金资管</w:t>
            </w:r>
            <w:proofErr w:type="gramEnd"/>
          </w:p>
        </w:tc>
      </w:tr>
      <w:tr w:rsidR="00AF37F1" w:rsidRPr="00A7505F" w14:paraId="66F79DCF" w14:textId="77777777" w:rsidTr="00AF37F1">
        <w:trPr>
          <w:trHeight w:val="276"/>
        </w:trPr>
        <w:tc>
          <w:tcPr>
            <w:tcW w:w="817" w:type="dxa"/>
            <w:shd w:val="clear" w:color="auto" w:fill="auto"/>
            <w:noWrap/>
            <w:vAlign w:val="center"/>
          </w:tcPr>
          <w:p w14:paraId="69D91772" w14:textId="36B4BF69"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11</w:t>
            </w:r>
          </w:p>
        </w:tc>
        <w:tc>
          <w:tcPr>
            <w:tcW w:w="4140" w:type="dxa"/>
            <w:shd w:val="clear" w:color="auto" w:fill="auto"/>
            <w:noWrap/>
            <w:vAlign w:val="center"/>
          </w:tcPr>
          <w:p w14:paraId="4865624E" w14:textId="4C39E1F4"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民生证券</w:t>
            </w:r>
          </w:p>
        </w:tc>
      </w:tr>
      <w:tr w:rsidR="00AF37F1" w:rsidRPr="00A7505F" w14:paraId="09AE348B" w14:textId="0F2C045F" w:rsidTr="00AF37F1">
        <w:trPr>
          <w:trHeight w:val="276"/>
        </w:trPr>
        <w:tc>
          <w:tcPr>
            <w:tcW w:w="817" w:type="dxa"/>
            <w:shd w:val="clear" w:color="auto" w:fill="auto"/>
            <w:noWrap/>
            <w:vAlign w:val="center"/>
            <w:hideMark/>
          </w:tcPr>
          <w:p w14:paraId="50A65ADB" w14:textId="17EA955E"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12</w:t>
            </w:r>
          </w:p>
        </w:tc>
        <w:tc>
          <w:tcPr>
            <w:tcW w:w="4140" w:type="dxa"/>
            <w:shd w:val="clear" w:color="auto" w:fill="auto"/>
            <w:noWrap/>
            <w:vAlign w:val="center"/>
          </w:tcPr>
          <w:p w14:paraId="18F853A9" w14:textId="1FBB88C5"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瑞银</w:t>
            </w:r>
          </w:p>
        </w:tc>
      </w:tr>
      <w:tr w:rsidR="00AF37F1" w:rsidRPr="00A7505F" w14:paraId="02BF3B28" w14:textId="58630DCC" w:rsidTr="00AF37F1">
        <w:trPr>
          <w:trHeight w:val="276"/>
        </w:trPr>
        <w:tc>
          <w:tcPr>
            <w:tcW w:w="817" w:type="dxa"/>
            <w:shd w:val="clear" w:color="auto" w:fill="auto"/>
            <w:noWrap/>
            <w:vAlign w:val="center"/>
            <w:hideMark/>
          </w:tcPr>
          <w:p w14:paraId="7B226A2C" w14:textId="143E3BC0"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13</w:t>
            </w:r>
          </w:p>
        </w:tc>
        <w:tc>
          <w:tcPr>
            <w:tcW w:w="4140" w:type="dxa"/>
            <w:shd w:val="clear" w:color="auto" w:fill="auto"/>
            <w:noWrap/>
            <w:vAlign w:val="center"/>
          </w:tcPr>
          <w:p w14:paraId="7250043B" w14:textId="136FB572"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Style w:val="normaltextrun"/>
                <w:rFonts w:ascii="Times New Roman" w:eastAsia="楷体" w:hAnsi="Times New Roman" w:cs="Times New Roman"/>
                <w:sz w:val="24"/>
                <w:szCs w:val="24"/>
              </w:rPr>
              <w:t>Millennium</w:t>
            </w:r>
            <w:r w:rsidRPr="00A7505F">
              <w:rPr>
                <w:rStyle w:val="eop"/>
                <w:rFonts w:ascii="Times New Roman" w:eastAsia="楷体" w:hAnsi="Times New Roman" w:cs="Times New Roman"/>
                <w:sz w:val="24"/>
                <w:szCs w:val="24"/>
              </w:rPr>
              <w:t> </w:t>
            </w:r>
          </w:p>
        </w:tc>
      </w:tr>
      <w:tr w:rsidR="00AF37F1" w:rsidRPr="00A7505F" w14:paraId="561D5E78" w14:textId="254B6F0C" w:rsidTr="00AF37F1">
        <w:trPr>
          <w:trHeight w:val="276"/>
        </w:trPr>
        <w:tc>
          <w:tcPr>
            <w:tcW w:w="817" w:type="dxa"/>
            <w:shd w:val="clear" w:color="auto" w:fill="auto"/>
            <w:noWrap/>
            <w:vAlign w:val="center"/>
          </w:tcPr>
          <w:p w14:paraId="10EB6B64" w14:textId="7EEC0F31"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14</w:t>
            </w:r>
          </w:p>
        </w:tc>
        <w:tc>
          <w:tcPr>
            <w:tcW w:w="4140" w:type="dxa"/>
            <w:shd w:val="clear" w:color="auto" w:fill="auto"/>
            <w:noWrap/>
            <w:vAlign w:val="center"/>
          </w:tcPr>
          <w:p w14:paraId="7F57607C" w14:textId="2AAA179A" w:rsidR="00AF37F1" w:rsidRPr="00A7505F" w:rsidRDefault="00AF37F1" w:rsidP="00A57420">
            <w:pPr>
              <w:spacing w:after="0" w:line="240" w:lineRule="auto"/>
              <w:jc w:val="both"/>
              <w:rPr>
                <w:rFonts w:ascii="Times New Roman" w:eastAsia="楷体" w:hAnsi="Times New Roman" w:cs="Times New Roman"/>
                <w:sz w:val="24"/>
                <w:szCs w:val="24"/>
              </w:rPr>
            </w:pPr>
            <w:r w:rsidRPr="00A7505F">
              <w:rPr>
                <w:rFonts w:ascii="Times New Roman" w:eastAsia="楷体" w:hAnsi="Times New Roman" w:cs="Times New Roman"/>
                <w:sz w:val="24"/>
                <w:szCs w:val="24"/>
              </w:rPr>
              <w:t>金山湖投资</w:t>
            </w:r>
          </w:p>
        </w:tc>
      </w:tr>
      <w:tr w:rsidR="00AF37F1" w:rsidRPr="00A7505F" w14:paraId="6B0BA224" w14:textId="61D6DDA2" w:rsidTr="00AF37F1">
        <w:trPr>
          <w:trHeight w:val="276"/>
        </w:trPr>
        <w:tc>
          <w:tcPr>
            <w:tcW w:w="817" w:type="dxa"/>
            <w:shd w:val="clear" w:color="auto" w:fill="auto"/>
            <w:noWrap/>
            <w:vAlign w:val="center"/>
            <w:hideMark/>
          </w:tcPr>
          <w:p w14:paraId="7D4D1A69" w14:textId="1689D013"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15</w:t>
            </w:r>
          </w:p>
        </w:tc>
        <w:tc>
          <w:tcPr>
            <w:tcW w:w="4140" w:type="dxa"/>
            <w:shd w:val="clear" w:color="auto" w:fill="auto"/>
            <w:noWrap/>
            <w:vAlign w:val="center"/>
          </w:tcPr>
          <w:p w14:paraId="11FB26C9" w14:textId="35A959D6"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君和资本</w:t>
            </w:r>
          </w:p>
        </w:tc>
      </w:tr>
      <w:tr w:rsidR="00AF37F1" w:rsidRPr="00A7505F" w14:paraId="05AEB075" w14:textId="77777777" w:rsidTr="00AF37F1">
        <w:trPr>
          <w:trHeight w:val="276"/>
        </w:trPr>
        <w:tc>
          <w:tcPr>
            <w:tcW w:w="817" w:type="dxa"/>
            <w:shd w:val="clear" w:color="auto" w:fill="auto"/>
            <w:noWrap/>
            <w:vAlign w:val="center"/>
          </w:tcPr>
          <w:p w14:paraId="086551B6" w14:textId="61DA098D"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16</w:t>
            </w:r>
          </w:p>
        </w:tc>
        <w:tc>
          <w:tcPr>
            <w:tcW w:w="4140" w:type="dxa"/>
            <w:shd w:val="clear" w:color="auto" w:fill="auto"/>
            <w:noWrap/>
            <w:vAlign w:val="center"/>
          </w:tcPr>
          <w:p w14:paraId="31FC6BEA" w14:textId="4C943FE2"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大成资本</w:t>
            </w:r>
          </w:p>
        </w:tc>
      </w:tr>
      <w:tr w:rsidR="00AF37F1" w:rsidRPr="00A7505F" w14:paraId="08067A8C" w14:textId="5553C284" w:rsidTr="00AF37F1">
        <w:trPr>
          <w:trHeight w:val="276"/>
        </w:trPr>
        <w:tc>
          <w:tcPr>
            <w:tcW w:w="817" w:type="dxa"/>
            <w:shd w:val="clear" w:color="auto" w:fill="auto"/>
            <w:noWrap/>
            <w:vAlign w:val="center"/>
          </w:tcPr>
          <w:p w14:paraId="385836F7" w14:textId="08F7AF87"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17</w:t>
            </w:r>
          </w:p>
        </w:tc>
        <w:tc>
          <w:tcPr>
            <w:tcW w:w="4140" w:type="dxa"/>
            <w:shd w:val="clear" w:color="auto" w:fill="auto"/>
            <w:noWrap/>
            <w:vAlign w:val="center"/>
          </w:tcPr>
          <w:p w14:paraId="2B416D2F" w14:textId="764BA65A"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青岛城</w:t>
            </w:r>
            <w:proofErr w:type="gramStart"/>
            <w:r w:rsidRPr="00A7505F">
              <w:rPr>
                <w:rFonts w:ascii="Times New Roman" w:eastAsia="楷体" w:hAnsi="Times New Roman" w:cs="Times New Roman"/>
                <w:sz w:val="24"/>
                <w:szCs w:val="24"/>
                <w:lang w:val="en-US"/>
              </w:rPr>
              <w:t>投城金</w:t>
            </w:r>
            <w:proofErr w:type="gramEnd"/>
            <w:r w:rsidRPr="00A7505F">
              <w:rPr>
                <w:rFonts w:ascii="Times New Roman" w:eastAsia="楷体" w:hAnsi="Times New Roman" w:cs="Times New Roman"/>
                <w:sz w:val="24"/>
                <w:szCs w:val="24"/>
                <w:lang w:val="en-US"/>
              </w:rPr>
              <w:t>控股集团有限公司</w:t>
            </w:r>
          </w:p>
        </w:tc>
      </w:tr>
      <w:tr w:rsidR="00AF37F1" w:rsidRPr="00A7505F" w14:paraId="3C20680C" w14:textId="63672FB5" w:rsidTr="00AF37F1">
        <w:trPr>
          <w:trHeight w:val="276"/>
        </w:trPr>
        <w:tc>
          <w:tcPr>
            <w:tcW w:w="817" w:type="dxa"/>
            <w:shd w:val="clear" w:color="auto" w:fill="auto"/>
            <w:noWrap/>
            <w:vAlign w:val="center"/>
          </w:tcPr>
          <w:p w14:paraId="7B97F17F" w14:textId="4FE8CA91"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18</w:t>
            </w:r>
          </w:p>
        </w:tc>
        <w:tc>
          <w:tcPr>
            <w:tcW w:w="4140" w:type="dxa"/>
            <w:shd w:val="clear" w:color="auto" w:fill="auto"/>
            <w:noWrap/>
            <w:vAlign w:val="center"/>
          </w:tcPr>
          <w:p w14:paraId="0F188E86" w14:textId="19B4EA7B"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锦绣中和（北京）资产管理有限公司</w:t>
            </w:r>
          </w:p>
        </w:tc>
      </w:tr>
      <w:tr w:rsidR="00AF37F1" w:rsidRPr="00A7505F" w14:paraId="7AAFAD25" w14:textId="3324EB95" w:rsidTr="00AF37F1">
        <w:trPr>
          <w:trHeight w:val="276"/>
        </w:trPr>
        <w:tc>
          <w:tcPr>
            <w:tcW w:w="817" w:type="dxa"/>
            <w:shd w:val="clear" w:color="auto" w:fill="auto"/>
            <w:noWrap/>
            <w:vAlign w:val="center"/>
          </w:tcPr>
          <w:p w14:paraId="42446522" w14:textId="6B1AC5E8"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19</w:t>
            </w:r>
          </w:p>
        </w:tc>
        <w:tc>
          <w:tcPr>
            <w:tcW w:w="4140" w:type="dxa"/>
            <w:shd w:val="clear" w:color="auto" w:fill="auto"/>
            <w:noWrap/>
            <w:vAlign w:val="center"/>
          </w:tcPr>
          <w:p w14:paraId="54E89BD9" w14:textId="1AA3E4A3"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上海腾霄投资管理有限公司</w:t>
            </w:r>
          </w:p>
        </w:tc>
      </w:tr>
      <w:tr w:rsidR="00AF37F1" w:rsidRPr="00A7505F" w14:paraId="18FAAE6A" w14:textId="69D8C92A" w:rsidTr="00AF37F1">
        <w:trPr>
          <w:trHeight w:val="276"/>
        </w:trPr>
        <w:tc>
          <w:tcPr>
            <w:tcW w:w="817" w:type="dxa"/>
            <w:shd w:val="clear" w:color="auto" w:fill="auto"/>
            <w:noWrap/>
            <w:vAlign w:val="center"/>
          </w:tcPr>
          <w:p w14:paraId="40925210" w14:textId="564D9F0B" w:rsidR="00AF37F1" w:rsidRPr="00A7505F" w:rsidRDefault="00AF37F1" w:rsidP="006240F4">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20</w:t>
            </w:r>
          </w:p>
        </w:tc>
        <w:tc>
          <w:tcPr>
            <w:tcW w:w="4140" w:type="dxa"/>
            <w:shd w:val="clear" w:color="auto" w:fill="auto"/>
            <w:noWrap/>
            <w:vAlign w:val="center"/>
          </w:tcPr>
          <w:p w14:paraId="4862FFC3" w14:textId="5DDF920C"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陕西新时代资本管理有限公司</w:t>
            </w:r>
          </w:p>
        </w:tc>
      </w:tr>
      <w:tr w:rsidR="00AF37F1" w:rsidRPr="00A7505F" w14:paraId="57825454" w14:textId="6D000EFC" w:rsidTr="00AF37F1">
        <w:trPr>
          <w:trHeight w:val="276"/>
        </w:trPr>
        <w:tc>
          <w:tcPr>
            <w:tcW w:w="817" w:type="dxa"/>
            <w:shd w:val="clear" w:color="auto" w:fill="auto"/>
            <w:noWrap/>
            <w:vAlign w:val="center"/>
          </w:tcPr>
          <w:p w14:paraId="6401D26D" w14:textId="46F13D6A"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21</w:t>
            </w:r>
          </w:p>
        </w:tc>
        <w:tc>
          <w:tcPr>
            <w:tcW w:w="4140" w:type="dxa"/>
            <w:shd w:val="clear" w:color="auto" w:fill="auto"/>
            <w:noWrap/>
            <w:vAlign w:val="center"/>
          </w:tcPr>
          <w:p w14:paraId="34F28919" w14:textId="6DC78136"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中国船舶集团投资有限公司</w:t>
            </w:r>
          </w:p>
        </w:tc>
      </w:tr>
      <w:tr w:rsidR="00AF37F1" w:rsidRPr="00A7505F" w14:paraId="1CDA3768" w14:textId="77777777" w:rsidTr="00AF37F1">
        <w:trPr>
          <w:trHeight w:val="276"/>
        </w:trPr>
        <w:tc>
          <w:tcPr>
            <w:tcW w:w="817" w:type="dxa"/>
            <w:shd w:val="clear" w:color="auto" w:fill="auto"/>
            <w:noWrap/>
            <w:vAlign w:val="center"/>
          </w:tcPr>
          <w:p w14:paraId="1B31A74C" w14:textId="07D0656C"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22</w:t>
            </w:r>
          </w:p>
        </w:tc>
        <w:tc>
          <w:tcPr>
            <w:tcW w:w="4140" w:type="dxa"/>
            <w:shd w:val="clear" w:color="auto" w:fill="auto"/>
            <w:noWrap/>
            <w:vAlign w:val="center"/>
          </w:tcPr>
          <w:p w14:paraId="5AEBD1AB" w14:textId="0EBFC3CE"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无锡</w:t>
            </w:r>
            <w:proofErr w:type="gramStart"/>
            <w:r w:rsidRPr="00A7505F">
              <w:rPr>
                <w:rFonts w:ascii="Times New Roman" w:eastAsia="楷体" w:hAnsi="Times New Roman" w:cs="Times New Roman"/>
                <w:sz w:val="24"/>
                <w:szCs w:val="24"/>
                <w:lang w:val="en-US"/>
              </w:rPr>
              <w:t>滨湖科创</w:t>
            </w:r>
            <w:proofErr w:type="gramEnd"/>
            <w:r w:rsidRPr="00A7505F">
              <w:rPr>
                <w:rFonts w:ascii="Times New Roman" w:eastAsia="楷体" w:hAnsi="Times New Roman" w:cs="Times New Roman"/>
                <w:sz w:val="24"/>
                <w:szCs w:val="24"/>
                <w:lang w:val="en-US"/>
              </w:rPr>
              <w:t>集团有限公司</w:t>
            </w:r>
          </w:p>
        </w:tc>
      </w:tr>
      <w:tr w:rsidR="00AF37F1" w:rsidRPr="00A7505F" w14:paraId="6108E64C" w14:textId="77777777" w:rsidTr="00AF37F1">
        <w:trPr>
          <w:trHeight w:val="276"/>
        </w:trPr>
        <w:tc>
          <w:tcPr>
            <w:tcW w:w="817" w:type="dxa"/>
            <w:shd w:val="clear" w:color="auto" w:fill="auto"/>
            <w:noWrap/>
            <w:vAlign w:val="center"/>
          </w:tcPr>
          <w:p w14:paraId="4E9BAA35" w14:textId="181D2AE0" w:rsidR="00AF37F1" w:rsidRPr="00A7505F" w:rsidRDefault="00AF37F1" w:rsidP="00D84E3B">
            <w:pPr>
              <w:spacing w:after="0" w:line="240" w:lineRule="auto"/>
              <w:jc w:val="center"/>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23</w:t>
            </w:r>
          </w:p>
        </w:tc>
        <w:tc>
          <w:tcPr>
            <w:tcW w:w="4140" w:type="dxa"/>
            <w:shd w:val="clear" w:color="auto" w:fill="auto"/>
            <w:noWrap/>
            <w:vAlign w:val="center"/>
          </w:tcPr>
          <w:p w14:paraId="44DD92DD" w14:textId="5B8815F8" w:rsidR="00AF37F1" w:rsidRPr="00A7505F" w:rsidRDefault="00AF37F1" w:rsidP="00A57420">
            <w:pPr>
              <w:spacing w:after="0" w:line="240" w:lineRule="auto"/>
              <w:jc w:val="both"/>
              <w:rPr>
                <w:rFonts w:ascii="Times New Roman" w:eastAsia="楷体" w:hAnsi="Times New Roman" w:cs="Times New Roman"/>
                <w:sz w:val="24"/>
                <w:szCs w:val="24"/>
                <w:lang w:val="en-US"/>
              </w:rPr>
            </w:pPr>
            <w:r w:rsidRPr="00A7505F">
              <w:rPr>
                <w:rFonts w:ascii="Times New Roman" w:eastAsia="楷体" w:hAnsi="Times New Roman" w:cs="Times New Roman"/>
                <w:sz w:val="24"/>
                <w:szCs w:val="24"/>
                <w:lang w:val="en-US"/>
              </w:rPr>
              <w:t>宁波电子信息集团</w:t>
            </w:r>
          </w:p>
        </w:tc>
      </w:tr>
    </w:tbl>
    <w:p w14:paraId="594C2F92" w14:textId="77777777" w:rsidR="003A6A47" w:rsidRPr="00A7505F" w:rsidRDefault="003A6A47" w:rsidP="00CE7A04">
      <w:pPr>
        <w:rPr>
          <w:rFonts w:ascii="Times New Roman" w:eastAsia="楷体" w:hAnsi="Times New Roman" w:cs="Times New Roman"/>
          <w:sz w:val="24"/>
          <w:szCs w:val="24"/>
          <w:lang w:val="en-US"/>
        </w:rPr>
      </w:pPr>
    </w:p>
    <w:sectPr w:rsidR="003A6A47" w:rsidRPr="00A7505F" w:rsidSect="0051258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2D13" w14:textId="77777777" w:rsidR="00387D28" w:rsidRDefault="00387D28" w:rsidP="00226B25">
      <w:pPr>
        <w:spacing w:after="0" w:line="240" w:lineRule="auto"/>
      </w:pPr>
      <w:r>
        <w:separator/>
      </w:r>
    </w:p>
  </w:endnote>
  <w:endnote w:type="continuationSeparator" w:id="0">
    <w:p w14:paraId="2AFF85B5" w14:textId="77777777" w:rsidR="00387D28" w:rsidRDefault="00387D28" w:rsidP="00226B25">
      <w:pPr>
        <w:spacing w:after="0" w:line="240" w:lineRule="auto"/>
      </w:pPr>
      <w:r>
        <w:continuationSeparator/>
      </w:r>
    </w:p>
  </w:endnote>
  <w:endnote w:type="continuationNotice" w:id="1">
    <w:p w14:paraId="072B0087" w14:textId="77777777" w:rsidR="00387D28" w:rsidRDefault="00387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42074528"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r w:rsidR="00050A0B">
          <w:rPr>
            <w:rFonts w:ascii="Times New Roman" w:hAnsi="Times New Roman" w:cs="Times New Roman" w:hint="eastAsia"/>
          </w:rPr>
          <w:t xml:space="preserve"> </w:t>
        </w:r>
        <w:r w:rsidR="00050A0B">
          <w:rPr>
            <w:rFonts w:ascii="Times New Roman" w:hAnsi="Times New Roman" w:cs="Times New Roman" w:hint="eastAsia"/>
          </w:rPr>
          <w:t xml:space="preserve">of </w:t>
        </w:r>
        <w:r w:rsidR="00050A0B">
          <w:rPr>
            <w:rFonts w:ascii="Times New Roman" w:hAnsi="Times New Roman" w:cs="Times New Roman"/>
          </w:rPr>
          <w:fldChar w:fldCharType="begin"/>
        </w:r>
        <w:r w:rsidR="00050A0B">
          <w:rPr>
            <w:rFonts w:ascii="Times New Roman" w:hAnsi="Times New Roman" w:cs="Times New Roman"/>
          </w:rPr>
          <w:instrText xml:space="preserve"> </w:instrText>
        </w:r>
        <w:r w:rsidR="00050A0B">
          <w:rPr>
            <w:rFonts w:ascii="Times New Roman" w:hAnsi="Times New Roman" w:cs="Times New Roman" w:hint="eastAsia"/>
          </w:rPr>
          <w:instrText>NUMPAGES  \* Arabic  \* MERGEFORMAT</w:instrText>
        </w:r>
        <w:r w:rsidR="00050A0B">
          <w:rPr>
            <w:rFonts w:ascii="Times New Roman" w:hAnsi="Times New Roman" w:cs="Times New Roman"/>
          </w:rPr>
          <w:instrText xml:space="preserve"> </w:instrText>
        </w:r>
        <w:r w:rsidR="00050A0B">
          <w:rPr>
            <w:rFonts w:ascii="Times New Roman" w:hAnsi="Times New Roman" w:cs="Times New Roman"/>
          </w:rPr>
          <w:fldChar w:fldCharType="separate"/>
        </w:r>
        <w:r w:rsidR="00050A0B">
          <w:rPr>
            <w:rFonts w:ascii="Times New Roman" w:hAnsi="Times New Roman" w:cs="Times New Roman"/>
            <w:noProof/>
          </w:rPr>
          <w:t>27</w:t>
        </w:r>
        <w:r w:rsidR="00050A0B">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0D72" w14:textId="77777777" w:rsidR="00387D28" w:rsidRDefault="00387D28" w:rsidP="00226B25">
      <w:pPr>
        <w:spacing w:after="0" w:line="240" w:lineRule="auto"/>
      </w:pPr>
      <w:r>
        <w:separator/>
      </w:r>
    </w:p>
  </w:footnote>
  <w:footnote w:type="continuationSeparator" w:id="0">
    <w:p w14:paraId="1264A1A2" w14:textId="77777777" w:rsidR="00387D28" w:rsidRDefault="00387D28" w:rsidP="00226B25">
      <w:pPr>
        <w:spacing w:after="0" w:line="240" w:lineRule="auto"/>
      </w:pPr>
      <w:r>
        <w:continuationSeparator/>
      </w:r>
    </w:p>
  </w:footnote>
  <w:footnote w:type="continuationNotice" w:id="1">
    <w:p w14:paraId="52E1FC64" w14:textId="77777777" w:rsidR="00387D28" w:rsidRDefault="00387D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5AD3B66D" w:rsidR="00B86FD7" w:rsidRPr="00D44165" w:rsidRDefault="00521F0B" w:rsidP="00D44165">
    <w:pPr>
      <w:pStyle w:val="a4"/>
      <w:rPr>
        <w:rFonts w:ascii="Times New Roman" w:eastAsia="楷体" w:hAnsi="Times New Roman" w:cs="Times New Roman"/>
      </w:rPr>
    </w:pPr>
    <w:r w:rsidRPr="009870C8">
      <w:rPr>
        <w:rFonts w:ascii="楷体" w:eastAsia="楷体" w:hAnsi="楷体" w:hint="eastAsia"/>
      </w:rPr>
      <w:t>蓝星安迪苏</w:t>
    </w:r>
    <w:r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28B8"/>
    <w:multiLevelType w:val="hybridMultilevel"/>
    <w:tmpl w:val="164223E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1" w15:restartNumberingAfterBreak="0">
    <w:nsid w:val="433C0961"/>
    <w:multiLevelType w:val="hybridMultilevel"/>
    <w:tmpl w:val="DFA8C334"/>
    <w:lvl w:ilvl="0" w:tplc="D646C3F6">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1A5712B"/>
    <w:multiLevelType w:val="hybridMultilevel"/>
    <w:tmpl w:val="3E6ACD42"/>
    <w:lvl w:ilvl="0" w:tplc="7C6818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81A078A"/>
    <w:multiLevelType w:val="hybridMultilevel"/>
    <w:tmpl w:val="460EED24"/>
    <w:lvl w:ilvl="0" w:tplc="D646C3F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5" w15:restartNumberingAfterBreak="0">
    <w:nsid w:val="6FDA4AE9"/>
    <w:multiLevelType w:val="hybridMultilevel"/>
    <w:tmpl w:val="1AC0A0F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6"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14560216">
    <w:abstractNumId w:val="2"/>
  </w:num>
  <w:num w:numId="2" w16cid:durableId="803083500">
    <w:abstractNumId w:val="6"/>
  </w:num>
  <w:num w:numId="3" w16cid:durableId="1602641034">
    <w:abstractNumId w:val="0"/>
  </w:num>
  <w:num w:numId="4" w16cid:durableId="1914197986">
    <w:abstractNumId w:val="3"/>
  </w:num>
  <w:num w:numId="5" w16cid:durableId="1813257291">
    <w:abstractNumId w:val="4"/>
  </w:num>
  <w:num w:numId="6" w16cid:durableId="503403353">
    <w:abstractNumId w:val="1"/>
  </w:num>
  <w:num w:numId="7" w16cid:durableId="31059755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5"/>
    <w:rsid w:val="00000C03"/>
    <w:rsid w:val="000016A8"/>
    <w:rsid w:val="00001AFA"/>
    <w:rsid w:val="00002E84"/>
    <w:rsid w:val="000033CA"/>
    <w:rsid w:val="000038A9"/>
    <w:rsid w:val="0000546A"/>
    <w:rsid w:val="0000569B"/>
    <w:rsid w:val="0000635C"/>
    <w:rsid w:val="00007789"/>
    <w:rsid w:val="0001080C"/>
    <w:rsid w:val="000130C0"/>
    <w:rsid w:val="00014AC4"/>
    <w:rsid w:val="00015071"/>
    <w:rsid w:val="00022FB1"/>
    <w:rsid w:val="00025FCA"/>
    <w:rsid w:val="0002720C"/>
    <w:rsid w:val="00027A9B"/>
    <w:rsid w:val="00030A0E"/>
    <w:rsid w:val="000334C6"/>
    <w:rsid w:val="0003422A"/>
    <w:rsid w:val="00037911"/>
    <w:rsid w:val="00037B51"/>
    <w:rsid w:val="00037B8C"/>
    <w:rsid w:val="00040143"/>
    <w:rsid w:val="00043847"/>
    <w:rsid w:val="00050A0B"/>
    <w:rsid w:val="000519AD"/>
    <w:rsid w:val="00051EAB"/>
    <w:rsid w:val="00051EBA"/>
    <w:rsid w:val="00054F51"/>
    <w:rsid w:val="0005510F"/>
    <w:rsid w:val="00055F3D"/>
    <w:rsid w:val="00056AA5"/>
    <w:rsid w:val="000634A8"/>
    <w:rsid w:val="00063505"/>
    <w:rsid w:val="00063CB5"/>
    <w:rsid w:val="00067325"/>
    <w:rsid w:val="000676D4"/>
    <w:rsid w:val="00071664"/>
    <w:rsid w:val="000729B8"/>
    <w:rsid w:val="000732A8"/>
    <w:rsid w:val="0007504E"/>
    <w:rsid w:val="00076889"/>
    <w:rsid w:val="00080769"/>
    <w:rsid w:val="00080A92"/>
    <w:rsid w:val="00082A41"/>
    <w:rsid w:val="0008395B"/>
    <w:rsid w:val="00083BD2"/>
    <w:rsid w:val="00085B70"/>
    <w:rsid w:val="00086493"/>
    <w:rsid w:val="00086946"/>
    <w:rsid w:val="00093C77"/>
    <w:rsid w:val="00094A89"/>
    <w:rsid w:val="00094DA2"/>
    <w:rsid w:val="00095EDB"/>
    <w:rsid w:val="000A03F7"/>
    <w:rsid w:val="000B1CCA"/>
    <w:rsid w:val="000B2C6A"/>
    <w:rsid w:val="000B33A7"/>
    <w:rsid w:val="000B5E27"/>
    <w:rsid w:val="000C13F0"/>
    <w:rsid w:val="000C6148"/>
    <w:rsid w:val="000D0773"/>
    <w:rsid w:val="000D0AC8"/>
    <w:rsid w:val="000D356D"/>
    <w:rsid w:val="000D395D"/>
    <w:rsid w:val="000D4984"/>
    <w:rsid w:val="000D4AF9"/>
    <w:rsid w:val="000D5738"/>
    <w:rsid w:val="000D6755"/>
    <w:rsid w:val="000D6D51"/>
    <w:rsid w:val="000E35A9"/>
    <w:rsid w:val="000E36ED"/>
    <w:rsid w:val="000E3D49"/>
    <w:rsid w:val="000E6388"/>
    <w:rsid w:val="000F010F"/>
    <w:rsid w:val="000F0619"/>
    <w:rsid w:val="000F1B9B"/>
    <w:rsid w:val="000F21CF"/>
    <w:rsid w:val="000F35E6"/>
    <w:rsid w:val="000F4444"/>
    <w:rsid w:val="000F50ED"/>
    <w:rsid w:val="000F53F1"/>
    <w:rsid w:val="000F7B46"/>
    <w:rsid w:val="001005D1"/>
    <w:rsid w:val="001030BE"/>
    <w:rsid w:val="00104F91"/>
    <w:rsid w:val="00110288"/>
    <w:rsid w:val="00111359"/>
    <w:rsid w:val="0011266F"/>
    <w:rsid w:val="00112F65"/>
    <w:rsid w:val="00114733"/>
    <w:rsid w:val="00114F9C"/>
    <w:rsid w:val="001159BA"/>
    <w:rsid w:val="00116DF0"/>
    <w:rsid w:val="00122C4C"/>
    <w:rsid w:val="001251D5"/>
    <w:rsid w:val="00130883"/>
    <w:rsid w:val="0013206A"/>
    <w:rsid w:val="0013317E"/>
    <w:rsid w:val="00134CAA"/>
    <w:rsid w:val="00134E34"/>
    <w:rsid w:val="001361A6"/>
    <w:rsid w:val="00136F33"/>
    <w:rsid w:val="00137BC5"/>
    <w:rsid w:val="00141E15"/>
    <w:rsid w:val="00142070"/>
    <w:rsid w:val="00143709"/>
    <w:rsid w:val="00144B55"/>
    <w:rsid w:val="00145211"/>
    <w:rsid w:val="001452A7"/>
    <w:rsid w:val="001508AD"/>
    <w:rsid w:val="00154C2C"/>
    <w:rsid w:val="00155870"/>
    <w:rsid w:val="00155AE4"/>
    <w:rsid w:val="00155BC5"/>
    <w:rsid w:val="0015640B"/>
    <w:rsid w:val="00157367"/>
    <w:rsid w:val="00160640"/>
    <w:rsid w:val="0016135B"/>
    <w:rsid w:val="00161965"/>
    <w:rsid w:val="00162260"/>
    <w:rsid w:val="00162C62"/>
    <w:rsid w:val="00162DF3"/>
    <w:rsid w:val="0016340B"/>
    <w:rsid w:val="00164204"/>
    <w:rsid w:val="00173174"/>
    <w:rsid w:val="0017348C"/>
    <w:rsid w:val="001735EC"/>
    <w:rsid w:val="00173841"/>
    <w:rsid w:val="001752DE"/>
    <w:rsid w:val="00176F41"/>
    <w:rsid w:val="00177BDD"/>
    <w:rsid w:val="00180123"/>
    <w:rsid w:val="001805F7"/>
    <w:rsid w:val="00180A4F"/>
    <w:rsid w:val="001814BD"/>
    <w:rsid w:val="00181B14"/>
    <w:rsid w:val="001835BE"/>
    <w:rsid w:val="00183D53"/>
    <w:rsid w:val="001849F4"/>
    <w:rsid w:val="001868F8"/>
    <w:rsid w:val="00186F02"/>
    <w:rsid w:val="001947D3"/>
    <w:rsid w:val="00194A4B"/>
    <w:rsid w:val="00195007"/>
    <w:rsid w:val="00195394"/>
    <w:rsid w:val="001964EB"/>
    <w:rsid w:val="001A1148"/>
    <w:rsid w:val="001A1189"/>
    <w:rsid w:val="001A4053"/>
    <w:rsid w:val="001A59BF"/>
    <w:rsid w:val="001A6E1B"/>
    <w:rsid w:val="001B0844"/>
    <w:rsid w:val="001B384F"/>
    <w:rsid w:val="001B3B74"/>
    <w:rsid w:val="001B57DA"/>
    <w:rsid w:val="001B5DCC"/>
    <w:rsid w:val="001B6FA8"/>
    <w:rsid w:val="001B707F"/>
    <w:rsid w:val="001C0047"/>
    <w:rsid w:val="001C0CC5"/>
    <w:rsid w:val="001C3012"/>
    <w:rsid w:val="001C597C"/>
    <w:rsid w:val="001C5E0B"/>
    <w:rsid w:val="001C639E"/>
    <w:rsid w:val="001D231A"/>
    <w:rsid w:val="001D24E8"/>
    <w:rsid w:val="001D4AFE"/>
    <w:rsid w:val="001D52AD"/>
    <w:rsid w:val="001D5BC5"/>
    <w:rsid w:val="001D5F49"/>
    <w:rsid w:val="001D615D"/>
    <w:rsid w:val="001D6945"/>
    <w:rsid w:val="001D69C9"/>
    <w:rsid w:val="001D76B7"/>
    <w:rsid w:val="001E181A"/>
    <w:rsid w:val="001E3990"/>
    <w:rsid w:val="001E425D"/>
    <w:rsid w:val="001E48A4"/>
    <w:rsid w:val="001E5D03"/>
    <w:rsid w:val="001E5D37"/>
    <w:rsid w:val="001E6007"/>
    <w:rsid w:val="001F1540"/>
    <w:rsid w:val="001F2166"/>
    <w:rsid w:val="001F2272"/>
    <w:rsid w:val="001F25BF"/>
    <w:rsid w:val="001F2DF2"/>
    <w:rsid w:val="001F3437"/>
    <w:rsid w:val="001F5184"/>
    <w:rsid w:val="001F5F68"/>
    <w:rsid w:val="001F6D3A"/>
    <w:rsid w:val="00200D57"/>
    <w:rsid w:val="00201137"/>
    <w:rsid w:val="00201631"/>
    <w:rsid w:val="00206EEF"/>
    <w:rsid w:val="0021001E"/>
    <w:rsid w:val="00211763"/>
    <w:rsid w:val="00212367"/>
    <w:rsid w:val="00212DB9"/>
    <w:rsid w:val="00215542"/>
    <w:rsid w:val="0021674D"/>
    <w:rsid w:val="00216869"/>
    <w:rsid w:val="00216C72"/>
    <w:rsid w:val="00221227"/>
    <w:rsid w:val="00222E67"/>
    <w:rsid w:val="0022397C"/>
    <w:rsid w:val="0022539C"/>
    <w:rsid w:val="00225BA4"/>
    <w:rsid w:val="00226193"/>
    <w:rsid w:val="00226B25"/>
    <w:rsid w:val="002276B4"/>
    <w:rsid w:val="00227B02"/>
    <w:rsid w:val="00234D7D"/>
    <w:rsid w:val="002353BB"/>
    <w:rsid w:val="0023576F"/>
    <w:rsid w:val="00236014"/>
    <w:rsid w:val="00236B23"/>
    <w:rsid w:val="00236D6F"/>
    <w:rsid w:val="00241504"/>
    <w:rsid w:val="00241807"/>
    <w:rsid w:val="00243048"/>
    <w:rsid w:val="00245734"/>
    <w:rsid w:val="00250A19"/>
    <w:rsid w:val="00251485"/>
    <w:rsid w:val="00252034"/>
    <w:rsid w:val="00252EE9"/>
    <w:rsid w:val="00254DDC"/>
    <w:rsid w:val="002561B6"/>
    <w:rsid w:val="002576E5"/>
    <w:rsid w:val="002605D2"/>
    <w:rsid w:val="002635E0"/>
    <w:rsid w:val="00263EF6"/>
    <w:rsid w:val="00267D7C"/>
    <w:rsid w:val="00271533"/>
    <w:rsid w:val="002720B6"/>
    <w:rsid w:val="0027506E"/>
    <w:rsid w:val="002753A8"/>
    <w:rsid w:val="00275BAA"/>
    <w:rsid w:val="00282EAB"/>
    <w:rsid w:val="00283272"/>
    <w:rsid w:val="002856D2"/>
    <w:rsid w:val="00285E74"/>
    <w:rsid w:val="00286B7C"/>
    <w:rsid w:val="002879A6"/>
    <w:rsid w:val="002942CB"/>
    <w:rsid w:val="00294370"/>
    <w:rsid w:val="002944F8"/>
    <w:rsid w:val="00294B13"/>
    <w:rsid w:val="00294BB6"/>
    <w:rsid w:val="0029728B"/>
    <w:rsid w:val="00297300"/>
    <w:rsid w:val="002A1979"/>
    <w:rsid w:val="002A252A"/>
    <w:rsid w:val="002A2937"/>
    <w:rsid w:val="002A3668"/>
    <w:rsid w:val="002A3E91"/>
    <w:rsid w:val="002A46D2"/>
    <w:rsid w:val="002A5236"/>
    <w:rsid w:val="002B344A"/>
    <w:rsid w:val="002B359E"/>
    <w:rsid w:val="002B3704"/>
    <w:rsid w:val="002B3E77"/>
    <w:rsid w:val="002B44B1"/>
    <w:rsid w:val="002B768E"/>
    <w:rsid w:val="002B791C"/>
    <w:rsid w:val="002C0698"/>
    <w:rsid w:val="002C1997"/>
    <w:rsid w:val="002C53BD"/>
    <w:rsid w:val="002C6360"/>
    <w:rsid w:val="002C7EEB"/>
    <w:rsid w:val="002D276B"/>
    <w:rsid w:val="002D2B22"/>
    <w:rsid w:val="002D5060"/>
    <w:rsid w:val="002E2865"/>
    <w:rsid w:val="002E375D"/>
    <w:rsid w:val="002E4BCA"/>
    <w:rsid w:val="002E573F"/>
    <w:rsid w:val="002E65B3"/>
    <w:rsid w:val="002E6651"/>
    <w:rsid w:val="002F09A2"/>
    <w:rsid w:val="002F2B31"/>
    <w:rsid w:val="002F3C52"/>
    <w:rsid w:val="002F43D0"/>
    <w:rsid w:val="002F6C1B"/>
    <w:rsid w:val="00302A16"/>
    <w:rsid w:val="00302EF7"/>
    <w:rsid w:val="003032C0"/>
    <w:rsid w:val="003048FD"/>
    <w:rsid w:val="00305D2B"/>
    <w:rsid w:val="00307F18"/>
    <w:rsid w:val="00310342"/>
    <w:rsid w:val="00310B1E"/>
    <w:rsid w:val="00311809"/>
    <w:rsid w:val="00313761"/>
    <w:rsid w:val="00314813"/>
    <w:rsid w:val="0031531E"/>
    <w:rsid w:val="003161F0"/>
    <w:rsid w:val="003220CE"/>
    <w:rsid w:val="00324585"/>
    <w:rsid w:val="00324776"/>
    <w:rsid w:val="00326630"/>
    <w:rsid w:val="003269CA"/>
    <w:rsid w:val="00327B55"/>
    <w:rsid w:val="003304BA"/>
    <w:rsid w:val="0033177A"/>
    <w:rsid w:val="0033550A"/>
    <w:rsid w:val="00337BAC"/>
    <w:rsid w:val="00340458"/>
    <w:rsid w:val="00342459"/>
    <w:rsid w:val="0034440A"/>
    <w:rsid w:val="00344F0D"/>
    <w:rsid w:val="00346B69"/>
    <w:rsid w:val="00347707"/>
    <w:rsid w:val="003500EB"/>
    <w:rsid w:val="003509F0"/>
    <w:rsid w:val="003510EC"/>
    <w:rsid w:val="003541CE"/>
    <w:rsid w:val="003600A9"/>
    <w:rsid w:val="00360B49"/>
    <w:rsid w:val="00361C5C"/>
    <w:rsid w:val="00361C62"/>
    <w:rsid w:val="003621AA"/>
    <w:rsid w:val="00362FF2"/>
    <w:rsid w:val="0036354E"/>
    <w:rsid w:val="003644A9"/>
    <w:rsid w:val="0036645F"/>
    <w:rsid w:val="003702DB"/>
    <w:rsid w:val="00370801"/>
    <w:rsid w:val="00370D88"/>
    <w:rsid w:val="003714D4"/>
    <w:rsid w:val="00372737"/>
    <w:rsid w:val="0037603E"/>
    <w:rsid w:val="0037649A"/>
    <w:rsid w:val="00381D50"/>
    <w:rsid w:val="00383BC5"/>
    <w:rsid w:val="0038502F"/>
    <w:rsid w:val="003850E6"/>
    <w:rsid w:val="00386272"/>
    <w:rsid w:val="00387D28"/>
    <w:rsid w:val="00391E83"/>
    <w:rsid w:val="0039264F"/>
    <w:rsid w:val="00392F17"/>
    <w:rsid w:val="003955C3"/>
    <w:rsid w:val="003A0222"/>
    <w:rsid w:val="003A0412"/>
    <w:rsid w:val="003A15CB"/>
    <w:rsid w:val="003A2BC9"/>
    <w:rsid w:val="003A3690"/>
    <w:rsid w:val="003A506C"/>
    <w:rsid w:val="003A57A5"/>
    <w:rsid w:val="003A6A47"/>
    <w:rsid w:val="003A6B3A"/>
    <w:rsid w:val="003B02DE"/>
    <w:rsid w:val="003B1C50"/>
    <w:rsid w:val="003B24D2"/>
    <w:rsid w:val="003B7197"/>
    <w:rsid w:val="003B7D7B"/>
    <w:rsid w:val="003B7FE3"/>
    <w:rsid w:val="003C0730"/>
    <w:rsid w:val="003C1BB6"/>
    <w:rsid w:val="003C7EFB"/>
    <w:rsid w:val="003D1D7C"/>
    <w:rsid w:val="003D5AED"/>
    <w:rsid w:val="003E1788"/>
    <w:rsid w:val="003E2105"/>
    <w:rsid w:val="003E3862"/>
    <w:rsid w:val="003E4802"/>
    <w:rsid w:val="003E5CB5"/>
    <w:rsid w:val="003E6041"/>
    <w:rsid w:val="003E7387"/>
    <w:rsid w:val="003F53CE"/>
    <w:rsid w:val="003F5515"/>
    <w:rsid w:val="003F5A64"/>
    <w:rsid w:val="003F5C4A"/>
    <w:rsid w:val="004008A9"/>
    <w:rsid w:val="004046E3"/>
    <w:rsid w:val="00404A54"/>
    <w:rsid w:val="00405275"/>
    <w:rsid w:val="00405724"/>
    <w:rsid w:val="00410A43"/>
    <w:rsid w:val="00411B47"/>
    <w:rsid w:val="004126D4"/>
    <w:rsid w:val="00415515"/>
    <w:rsid w:val="004156D3"/>
    <w:rsid w:val="0041684B"/>
    <w:rsid w:val="00417450"/>
    <w:rsid w:val="00417F32"/>
    <w:rsid w:val="00421783"/>
    <w:rsid w:val="004218F7"/>
    <w:rsid w:val="00421C5C"/>
    <w:rsid w:val="00423CDF"/>
    <w:rsid w:val="004306D1"/>
    <w:rsid w:val="00434351"/>
    <w:rsid w:val="00435CDC"/>
    <w:rsid w:val="0043669F"/>
    <w:rsid w:val="004378BB"/>
    <w:rsid w:val="004379C5"/>
    <w:rsid w:val="00437B4A"/>
    <w:rsid w:val="00440207"/>
    <w:rsid w:val="00440369"/>
    <w:rsid w:val="00440FF3"/>
    <w:rsid w:val="00441477"/>
    <w:rsid w:val="0044414E"/>
    <w:rsid w:val="004462EB"/>
    <w:rsid w:val="0044708D"/>
    <w:rsid w:val="0045092B"/>
    <w:rsid w:val="00451BC5"/>
    <w:rsid w:val="00452A2D"/>
    <w:rsid w:val="004564B0"/>
    <w:rsid w:val="00463B04"/>
    <w:rsid w:val="00463C9B"/>
    <w:rsid w:val="00463CFB"/>
    <w:rsid w:val="00463FB7"/>
    <w:rsid w:val="00464AC2"/>
    <w:rsid w:val="004651F5"/>
    <w:rsid w:val="00465273"/>
    <w:rsid w:val="00465477"/>
    <w:rsid w:val="0046565D"/>
    <w:rsid w:val="004657A3"/>
    <w:rsid w:val="0046593B"/>
    <w:rsid w:val="00466084"/>
    <w:rsid w:val="004666BC"/>
    <w:rsid w:val="0046724C"/>
    <w:rsid w:val="00471435"/>
    <w:rsid w:val="00474B7E"/>
    <w:rsid w:val="00474BC3"/>
    <w:rsid w:val="00475531"/>
    <w:rsid w:val="004756A2"/>
    <w:rsid w:val="004757EC"/>
    <w:rsid w:val="004769EC"/>
    <w:rsid w:val="00476BED"/>
    <w:rsid w:val="00480906"/>
    <w:rsid w:val="0048196B"/>
    <w:rsid w:val="00484890"/>
    <w:rsid w:val="00485225"/>
    <w:rsid w:val="00486215"/>
    <w:rsid w:val="0048710D"/>
    <w:rsid w:val="004873B1"/>
    <w:rsid w:val="0049060A"/>
    <w:rsid w:val="00495C43"/>
    <w:rsid w:val="004960E9"/>
    <w:rsid w:val="004971EF"/>
    <w:rsid w:val="004A0C26"/>
    <w:rsid w:val="004A0C9F"/>
    <w:rsid w:val="004A5056"/>
    <w:rsid w:val="004A7095"/>
    <w:rsid w:val="004B1A76"/>
    <w:rsid w:val="004B1F09"/>
    <w:rsid w:val="004B2315"/>
    <w:rsid w:val="004B419F"/>
    <w:rsid w:val="004B60A3"/>
    <w:rsid w:val="004B7C51"/>
    <w:rsid w:val="004B7CCF"/>
    <w:rsid w:val="004C07AE"/>
    <w:rsid w:val="004C12D3"/>
    <w:rsid w:val="004C5AC5"/>
    <w:rsid w:val="004D0196"/>
    <w:rsid w:val="004D01EE"/>
    <w:rsid w:val="004D05F4"/>
    <w:rsid w:val="004D1340"/>
    <w:rsid w:val="004D3775"/>
    <w:rsid w:val="004D397A"/>
    <w:rsid w:val="004D39E0"/>
    <w:rsid w:val="004D4B45"/>
    <w:rsid w:val="004D590C"/>
    <w:rsid w:val="004D6E0B"/>
    <w:rsid w:val="004D7763"/>
    <w:rsid w:val="004E1A2C"/>
    <w:rsid w:val="004E2458"/>
    <w:rsid w:val="004E25AE"/>
    <w:rsid w:val="004E2D3D"/>
    <w:rsid w:val="004E46DC"/>
    <w:rsid w:val="004E5DB7"/>
    <w:rsid w:val="004E6521"/>
    <w:rsid w:val="004E6F5C"/>
    <w:rsid w:val="004F062C"/>
    <w:rsid w:val="004F27F9"/>
    <w:rsid w:val="004F41AF"/>
    <w:rsid w:val="004F5065"/>
    <w:rsid w:val="00501424"/>
    <w:rsid w:val="0050194F"/>
    <w:rsid w:val="005032B3"/>
    <w:rsid w:val="0050434B"/>
    <w:rsid w:val="00505560"/>
    <w:rsid w:val="005056F3"/>
    <w:rsid w:val="00505F2D"/>
    <w:rsid w:val="005068C8"/>
    <w:rsid w:val="00507024"/>
    <w:rsid w:val="005079E9"/>
    <w:rsid w:val="00507BB6"/>
    <w:rsid w:val="0051053C"/>
    <w:rsid w:val="00510B71"/>
    <w:rsid w:val="005117B4"/>
    <w:rsid w:val="00512589"/>
    <w:rsid w:val="00513206"/>
    <w:rsid w:val="00517F76"/>
    <w:rsid w:val="00520899"/>
    <w:rsid w:val="0052137E"/>
    <w:rsid w:val="00521F0B"/>
    <w:rsid w:val="00526E8D"/>
    <w:rsid w:val="00527842"/>
    <w:rsid w:val="00527CB6"/>
    <w:rsid w:val="005354E0"/>
    <w:rsid w:val="005362CB"/>
    <w:rsid w:val="00536CD9"/>
    <w:rsid w:val="00537FC2"/>
    <w:rsid w:val="0054261E"/>
    <w:rsid w:val="00543B66"/>
    <w:rsid w:val="00544CDD"/>
    <w:rsid w:val="00547D20"/>
    <w:rsid w:val="00550B05"/>
    <w:rsid w:val="00551503"/>
    <w:rsid w:val="005520A2"/>
    <w:rsid w:val="00555667"/>
    <w:rsid w:val="00555A6F"/>
    <w:rsid w:val="00557C1F"/>
    <w:rsid w:val="00557E4B"/>
    <w:rsid w:val="005606AD"/>
    <w:rsid w:val="00560723"/>
    <w:rsid w:val="00561BA8"/>
    <w:rsid w:val="00565600"/>
    <w:rsid w:val="0056662C"/>
    <w:rsid w:val="00566722"/>
    <w:rsid w:val="00567446"/>
    <w:rsid w:val="00574892"/>
    <w:rsid w:val="00574C82"/>
    <w:rsid w:val="00577904"/>
    <w:rsid w:val="00580C5C"/>
    <w:rsid w:val="00580CA5"/>
    <w:rsid w:val="00583D0A"/>
    <w:rsid w:val="00584D45"/>
    <w:rsid w:val="00585D1F"/>
    <w:rsid w:val="00593B6A"/>
    <w:rsid w:val="00595865"/>
    <w:rsid w:val="005972A7"/>
    <w:rsid w:val="005A2A2E"/>
    <w:rsid w:val="005A3A37"/>
    <w:rsid w:val="005A4505"/>
    <w:rsid w:val="005A5872"/>
    <w:rsid w:val="005A6A9D"/>
    <w:rsid w:val="005B21A5"/>
    <w:rsid w:val="005B2DD9"/>
    <w:rsid w:val="005B4BD6"/>
    <w:rsid w:val="005B6F10"/>
    <w:rsid w:val="005B7255"/>
    <w:rsid w:val="005C3626"/>
    <w:rsid w:val="005C52C2"/>
    <w:rsid w:val="005C6E84"/>
    <w:rsid w:val="005D1CC0"/>
    <w:rsid w:val="005D5079"/>
    <w:rsid w:val="005D521D"/>
    <w:rsid w:val="005D7A10"/>
    <w:rsid w:val="005D7BB1"/>
    <w:rsid w:val="005E0762"/>
    <w:rsid w:val="005E0A36"/>
    <w:rsid w:val="005E1118"/>
    <w:rsid w:val="005E3FE3"/>
    <w:rsid w:val="005E410A"/>
    <w:rsid w:val="005E4A46"/>
    <w:rsid w:val="005E4A8F"/>
    <w:rsid w:val="005F1AA6"/>
    <w:rsid w:val="005F3316"/>
    <w:rsid w:val="005F58B2"/>
    <w:rsid w:val="00602F14"/>
    <w:rsid w:val="00607C6B"/>
    <w:rsid w:val="00610313"/>
    <w:rsid w:val="00613AA1"/>
    <w:rsid w:val="006156FA"/>
    <w:rsid w:val="00616FC6"/>
    <w:rsid w:val="00621D3F"/>
    <w:rsid w:val="006240F4"/>
    <w:rsid w:val="00624323"/>
    <w:rsid w:val="006248E3"/>
    <w:rsid w:val="00625E85"/>
    <w:rsid w:val="00626075"/>
    <w:rsid w:val="00626245"/>
    <w:rsid w:val="006266C4"/>
    <w:rsid w:val="006266FF"/>
    <w:rsid w:val="00630A76"/>
    <w:rsid w:val="00630C0D"/>
    <w:rsid w:val="00631D7C"/>
    <w:rsid w:val="00632484"/>
    <w:rsid w:val="0063311C"/>
    <w:rsid w:val="0063338E"/>
    <w:rsid w:val="00637D35"/>
    <w:rsid w:val="00641ABD"/>
    <w:rsid w:val="00641B6E"/>
    <w:rsid w:val="00641ECF"/>
    <w:rsid w:val="0064316C"/>
    <w:rsid w:val="006450E9"/>
    <w:rsid w:val="00646D48"/>
    <w:rsid w:val="00646E63"/>
    <w:rsid w:val="00647B81"/>
    <w:rsid w:val="00647EC9"/>
    <w:rsid w:val="00651045"/>
    <w:rsid w:val="00652CF9"/>
    <w:rsid w:val="0065367C"/>
    <w:rsid w:val="006553A0"/>
    <w:rsid w:val="006566B4"/>
    <w:rsid w:val="00660B9C"/>
    <w:rsid w:val="00660FA2"/>
    <w:rsid w:val="00664B03"/>
    <w:rsid w:val="00666692"/>
    <w:rsid w:val="00673557"/>
    <w:rsid w:val="006747F0"/>
    <w:rsid w:val="006762E6"/>
    <w:rsid w:val="006805C3"/>
    <w:rsid w:val="0068081C"/>
    <w:rsid w:val="00680B96"/>
    <w:rsid w:val="006829A5"/>
    <w:rsid w:val="006862DF"/>
    <w:rsid w:val="00686632"/>
    <w:rsid w:val="00686B25"/>
    <w:rsid w:val="006870C0"/>
    <w:rsid w:val="00687D9A"/>
    <w:rsid w:val="006901FF"/>
    <w:rsid w:val="006902DC"/>
    <w:rsid w:val="00690B60"/>
    <w:rsid w:val="006924B9"/>
    <w:rsid w:val="00696B98"/>
    <w:rsid w:val="006A01E4"/>
    <w:rsid w:val="006A5EFD"/>
    <w:rsid w:val="006A60DB"/>
    <w:rsid w:val="006A6F9E"/>
    <w:rsid w:val="006A760C"/>
    <w:rsid w:val="006B02C1"/>
    <w:rsid w:val="006B09AB"/>
    <w:rsid w:val="006B1899"/>
    <w:rsid w:val="006B5B55"/>
    <w:rsid w:val="006C066F"/>
    <w:rsid w:val="006C0E9C"/>
    <w:rsid w:val="006C0FEC"/>
    <w:rsid w:val="006C24DE"/>
    <w:rsid w:val="006C29B0"/>
    <w:rsid w:val="006C2DB4"/>
    <w:rsid w:val="006C5293"/>
    <w:rsid w:val="006C56D4"/>
    <w:rsid w:val="006C72E1"/>
    <w:rsid w:val="006D0BCA"/>
    <w:rsid w:val="006D1811"/>
    <w:rsid w:val="006D22F3"/>
    <w:rsid w:val="006E1C0D"/>
    <w:rsid w:val="006E2CC9"/>
    <w:rsid w:val="006E39C9"/>
    <w:rsid w:val="006E3B25"/>
    <w:rsid w:val="006E59A3"/>
    <w:rsid w:val="006E5EE7"/>
    <w:rsid w:val="006E64AD"/>
    <w:rsid w:val="006E6E1C"/>
    <w:rsid w:val="006E7F9B"/>
    <w:rsid w:val="006F1850"/>
    <w:rsid w:val="006F2098"/>
    <w:rsid w:val="006F2A8C"/>
    <w:rsid w:val="006F4ECD"/>
    <w:rsid w:val="006F7930"/>
    <w:rsid w:val="00700A3A"/>
    <w:rsid w:val="00700E5B"/>
    <w:rsid w:val="00701BA1"/>
    <w:rsid w:val="007036DB"/>
    <w:rsid w:val="0070643D"/>
    <w:rsid w:val="007112A7"/>
    <w:rsid w:val="00711865"/>
    <w:rsid w:val="007119F9"/>
    <w:rsid w:val="007122B8"/>
    <w:rsid w:val="007146C7"/>
    <w:rsid w:val="00714B73"/>
    <w:rsid w:val="0071532C"/>
    <w:rsid w:val="00716349"/>
    <w:rsid w:val="00717564"/>
    <w:rsid w:val="007209F1"/>
    <w:rsid w:val="00720A99"/>
    <w:rsid w:val="00721333"/>
    <w:rsid w:val="00722201"/>
    <w:rsid w:val="007227A0"/>
    <w:rsid w:val="00722932"/>
    <w:rsid w:val="00724DC6"/>
    <w:rsid w:val="0072658D"/>
    <w:rsid w:val="00726758"/>
    <w:rsid w:val="007271D7"/>
    <w:rsid w:val="007274B3"/>
    <w:rsid w:val="00731E76"/>
    <w:rsid w:val="00734198"/>
    <w:rsid w:val="007341C9"/>
    <w:rsid w:val="0073441A"/>
    <w:rsid w:val="00734BEC"/>
    <w:rsid w:val="00741B41"/>
    <w:rsid w:val="00741BB5"/>
    <w:rsid w:val="00743F4A"/>
    <w:rsid w:val="00744534"/>
    <w:rsid w:val="00744C14"/>
    <w:rsid w:val="00744E3D"/>
    <w:rsid w:val="00745BC7"/>
    <w:rsid w:val="0074717F"/>
    <w:rsid w:val="00747775"/>
    <w:rsid w:val="007479D2"/>
    <w:rsid w:val="00750489"/>
    <w:rsid w:val="0075461E"/>
    <w:rsid w:val="007547EF"/>
    <w:rsid w:val="00756279"/>
    <w:rsid w:val="00756D9A"/>
    <w:rsid w:val="00756E24"/>
    <w:rsid w:val="00763ACD"/>
    <w:rsid w:val="007647D1"/>
    <w:rsid w:val="00764F07"/>
    <w:rsid w:val="0076517E"/>
    <w:rsid w:val="00765833"/>
    <w:rsid w:val="00765C02"/>
    <w:rsid w:val="00770193"/>
    <w:rsid w:val="00770B8C"/>
    <w:rsid w:val="00772487"/>
    <w:rsid w:val="00774658"/>
    <w:rsid w:val="007753AE"/>
    <w:rsid w:val="00776C64"/>
    <w:rsid w:val="00776E18"/>
    <w:rsid w:val="0077700F"/>
    <w:rsid w:val="00777546"/>
    <w:rsid w:val="007803A0"/>
    <w:rsid w:val="00781A58"/>
    <w:rsid w:val="00783C77"/>
    <w:rsid w:val="00783F1E"/>
    <w:rsid w:val="00784916"/>
    <w:rsid w:val="007850CE"/>
    <w:rsid w:val="007868A4"/>
    <w:rsid w:val="00786CBF"/>
    <w:rsid w:val="00787877"/>
    <w:rsid w:val="0079105F"/>
    <w:rsid w:val="00791720"/>
    <w:rsid w:val="00791946"/>
    <w:rsid w:val="00794AB4"/>
    <w:rsid w:val="007A0072"/>
    <w:rsid w:val="007A1668"/>
    <w:rsid w:val="007A1C0A"/>
    <w:rsid w:val="007A26FD"/>
    <w:rsid w:val="007A3343"/>
    <w:rsid w:val="007A3DD0"/>
    <w:rsid w:val="007A65AF"/>
    <w:rsid w:val="007A7401"/>
    <w:rsid w:val="007A76BA"/>
    <w:rsid w:val="007B1574"/>
    <w:rsid w:val="007C0BB8"/>
    <w:rsid w:val="007C5F59"/>
    <w:rsid w:val="007C67C7"/>
    <w:rsid w:val="007C6E61"/>
    <w:rsid w:val="007C7228"/>
    <w:rsid w:val="007D107E"/>
    <w:rsid w:val="007E1843"/>
    <w:rsid w:val="007E2BB8"/>
    <w:rsid w:val="007E31F2"/>
    <w:rsid w:val="007E4BC7"/>
    <w:rsid w:val="007E69E6"/>
    <w:rsid w:val="007E6F5B"/>
    <w:rsid w:val="007E7155"/>
    <w:rsid w:val="007F41AF"/>
    <w:rsid w:val="007F599A"/>
    <w:rsid w:val="007F6233"/>
    <w:rsid w:val="007F7999"/>
    <w:rsid w:val="007F7A98"/>
    <w:rsid w:val="00800EC5"/>
    <w:rsid w:val="00804176"/>
    <w:rsid w:val="00805B96"/>
    <w:rsid w:val="008068ED"/>
    <w:rsid w:val="0080769B"/>
    <w:rsid w:val="00807D91"/>
    <w:rsid w:val="0081364D"/>
    <w:rsid w:val="00816CD1"/>
    <w:rsid w:val="0081749D"/>
    <w:rsid w:val="008214FD"/>
    <w:rsid w:val="00821CF9"/>
    <w:rsid w:val="00826531"/>
    <w:rsid w:val="0083020D"/>
    <w:rsid w:val="00830B2E"/>
    <w:rsid w:val="00831ED0"/>
    <w:rsid w:val="0083330B"/>
    <w:rsid w:val="00836706"/>
    <w:rsid w:val="00840FF3"/>
    <w:rsid w:val="00841FDB"/>
    <w:rsid w:val="008422B2"/>
    <w:rsid w:val="0084450D"/>
    <w:rsid w:val="008449C4"/>
    <w:rsid w:val="00847628"/>
    <w:rsid w:val="00847C09"/>
    <w:rsid w:val="00847F10"/>
    <w:rsid w:val="008512A2"/>
    <w:rsid w:val="0085477F"/>
    <w:rsid w:val="0085493B"/>
    <w:rsid w:val="00854A00"/>
    <w:rsid w:val="00857A79"/>
    <w:rsid w:val="00861315"/>
    <w:rsid w:val="008626F4"/>
    <w:rsid w:val="00863464"/>
    <w:rsid w:val="00863B48"/>
    <w:rsid w:val="00864338"/>
    <w:rsid w:val="00865307"/>
    <w:rsid w:val="00866C55"/>
    <w:rsid w:val="00872A1F"/>
    <w:rsid w:val="0087366D"/>
    <w:rsid w:val="00873677"/>
    <w:rsid w:val="00874397"/>
    <w:rsid w:val="008749E3"/>
    <w:rsid w:val="00874F22"/>
    <w:rsid w:val="00876697"/>
    <w:rsid w:val="00877097"/>
    <w:rsid w:val="0087759B"/>
    <w:rsid w:val="0088290A"/>
    <w:rsid w:val="00882E97"/>
    <w:rsid w:val="008838A0"/>
    <w:rsid w:val="00886005"/>
    <w:rsid w:val="0088623C"/>
    <w:rsid w:val="00886E73"/>
    <w:rsid w:val="00887A05"/>
    <w:rsid w:val="00887F2B"/>
    <w:rsid w:val="008907E4"/>
    <w:rsid w:val="00890A00"/>
    <w:rsid w:val="008912F1"/>
    <w:rsid w:val="008914DA"/>
    <w:rsid w:val="008921FB"/>
    <w:rsid w:val="00894B8F"/>
    <w:rsid w:val="008A0C6B"/>
    <w:rsid w:val="008A18FC"/>
    <w:rsid w:val="008A4035"/>
    <w:rsid w:val="008A51DB"/>
    <w:rsid w:val="008A69C8"/>
    <w:rsid w:val="008A7352"/>
    <w:rsid w:val="008A7927"/>
    <w:rsid w:val="008B2700"/>
    <w:rsid w:val="008B4B42"/>
    <w:rsid w:val="008B5829"/>
    <w:rsid w:val="008C03A9"/>
    <w:rsid w:val="008C0547"/>
    <w:rsid w:val="008C1827"/>
    <w:rsid w:val="008C201F"/>
    <w:rsid w:val="008C26D1"/>
    <w:rsid w:val="008C36C6"/>
    <w:rsid w:val="008C73E0"/>
    <w:rsid w:val="008C79BA"/>
    <w:rsid w:val="008D02BF"/>
    <w:rsid w:val="008D0E17"/>
    <w:rsid w:val="008D109D"/>
    <w:rsid w:val="008D2A00"/>
    <w:rsid w:val="008D44C2"/>
    <w:rsid w:val="008D4BFA"/>
    <w:rsid w:val="008D533C"/>
    <w:rsid w:val="008D72ED"/>
    <w:rsid w:val="008D76C3"/>
    <w:rsid w:val="008D7A69"/>
    <w:rsid w:val="008D7DDD"/>
    <w:rsid w:val="008E53ED"/>
    <w:rsid w:val="008E548F"/>
    <w:rsid w:val="008E5AB8"/>
    <w:rsid w:val="008E6F1C"/>
    <w:rsid w:val="008F4E3D"/>
    <w:rsid w:val="008F518B"/>
    <w:rsid w:val="008F51FC"/>
    <w:rsid w:val="008F5255"/>
    <w:rsid w:val="008F5545"/>
    <w:rsid w:val="008F5D90"/>
    <w:rsid w:val="008F6D95"/>
    <w:rsid w:val="008F7370"/>
    <w:rsid w:val="009007F6"/>
    <w:rsid w:val="00901D0F"/>
    <w:rsid w:val="00902CE9"/>
    <w:rsid w:val="0090303E"/>
    <w:rsid w:val="009065D1"/>
    <w:rsid w:val="009066FF"/>
    <w:rsid w:val="00907A9A"/>
    <w:rsid w:val="00913DC3"/>
    <w:rsid w:val="00917029"/>
    <w:rsid w:val="00917CCE"/>
    <w:rsid w:val="009208C1"/>
    <w:rsid w:val="009236C5"/>
    <w:rsid w:val="009309CE"/>
    <w:rsid w:val="00931E8F"/>
    <w:rsid w:val="00932BD9"/>
    <w:rsid w:val="0093470A"/>
    <w:rsid w:val="00936D78"/>
    <w:rsid w:val="009376BF"/>
    <w:rsid w:val="00940EEF"/>
    <w:rsid w:val="009438D9"/>
    <w:rsid w:val="00944E9C"/>
    <w:rsid w:val="00945552"/>
    <w:rsid w:val="0094777A"/>
    <w:rsid w:val="009506C5"/>
    <w:rsid w:val="00951EDA"/>
    <w:rsid w:val="00952BD6"/>
    <w:rsid w:val="009532B6"/>
    <w:rsid w:val="009555DF"/>
    <w:rsid w:val="009556EB"/>
    <w:rsid w:val="00962EB5"/>
    <w:rsid w:val="00964972"/>
    <w:rsid w:val="0097209B"/>
    <w:rsid w:val="009755D6"/>
    <w:rsid w:val="009757AA"/>
    <w:rsid w:val="00975C40"/>
    <w:rsid w:val="00976BE2"/>
    <w:rsid w:val="00983F62"/>
    <w:rsid w:val="00986B66"/>
    <w:rsid w:val="009870C8"/>
    <w:rsid w:val="0099019E"/>
    <w:rsid w:val="009910E9"/>
    <w:rsid w:val="009919F0"/>
    <w:rsid w:val="00993EFD"/>
    <w:rsid w:val="00994B5C"/>
    <w:rsid w:val="009964F1"/>
    <w:rsid w:val="0099786D"/>
    <w:rsid w:val="009A1918"/>
    <w:rsid w:val="009A2E0C"/>
    <w:rsid w:val="009A4B24"/>
    <w:rsid w:val="009A4F63"/>
    <w:rsid w:val="009A5417"/>
    <w:rsid w:val="009A6D44"/>
    <w:rsid w:val="009A7AC4"/>
    <w:rsid w:val="009B0F65"/>
    <w:rsid w:val="009B2624"/>
    <w:rsid w:val="009B48EF"/>
    <w:rsid w:val="009B5309"/>
    <w:rsid w:val="009B6003"/>
    <w:rsid w:val="009B6B19"/>
    <w:rsid w:val="009B7E76"/>
    <w:rsid w:val="009C23CD"/>
    <w:rsid w:val="009C394D"/>
    <w:rsid w:val="009C44E7"/>
    <w:rsid w:val="009C4ADA"/>
    <w:rsid w:val="009C51F4"/>
    <w:rsid w:val="009C52E5"/>
    <w:rsid w:val="009C6244"/>
    <w:rsid w:val="009C6864"/>
    <w:rsid w:val="009D06AC"/>
    <w:rsid w:val="009D0B94"/>
    <w:rsid w:val="009D1B56"/>
    <w:rsid w:val="009D288F"/>
    <w:rsid w:val="009D2BF8"/>
    <w:rsid w:val="009D309B"/>
    <w:rsid w:val="009E0FFE"/>
    <w:rsid w:val="009E254D"/>
    <w:rsid w:val="009E2B3A"/>
    <w:rsid w:val="009E40F2"/>
    <w:rsid w:val="009E7755"/>
    <w:rsid w:val="009F0B8F"/>
    <w:rsid w:val="009F1BCD"/>
    <w:rsid w:val="009F375E"/>
    <w:rsid w:val="009F4C85"/>
    <w:rsid w:val="009F5CA2"/>
    <w:rsid w:val="009F606A"/>
    <w:rsid w:val="009F6893"/>
    <w:rsid w:val="009F7607"/>
    <w:rsid w:val="00A00EF2"/>
    <w:rsid w:val="00A044E5"/>
    <w:rsid w:val="00A06209"/>
    <w:rsid w:val="00A10E94"/>
    <w:rsid w:val="00A1494F"/>
    <w:rsid w:val="00A157DF"/>
    <w:rsid w:val="00A17412"/>
    <w:rsid w:val="00A204D5"/>
    <w:rsid w:val="00A205D1"/>
    <w:rsid w:val="00A21313"/>
    <w:rsid w:val="00A22C84"/>
    <w:rsid w:val="00A23A4E"/>
    <w:rsid w:val="00A308BC"/>
    <w:rsid w:val="00A31EF3"/>
    <w:rsid w:val="00A32FF2"/>
    <w:rsid w:val="00A33533"/>
    <w:rsid w:val="00A34764"/>
    <w:rsid w:val="00A35615"/>
    <w:rsid w:val="00A37241"/>
    <w:rsid w:val="00A40CC1"/>
    <w:rsid w:val="00A41C22"/>
    <w:rsid w:val="00A51393"/>
    <w:rsid w:val="00A51AD8"/>
    <w:rsid w:val="00A51DD0"/>
    <w:rsid w:val="00A537AA"/>
    <w:rsid w:val="00A53BB0"/>
    <w:rsid w:val="00A54E56"/>
    <w:rsid w:val="00A5527F"/>
    <w:rsid w:val="00A553AA"/>
    <w:rsid w:val="00A56B6C"/>
    <w:rsid w:val="00A57420"/>
    <w:rsid w:val="00A574A4"/>
    <w:rsid w:val="00A60138"/>
    <w:rsid w:val="00A612C5"/>
    <w:rsid w:val="00A62FF1"/>
    <w:rsid w:val="00A63864"/>
    <w:rsid w:val="00A651E7"/>
    <w:rsid w:val="00A66A2B"/>
    <w:rsid w:val="00A66C53"/>
    <w:rsid w:val="00A72FFA"/>
    <w:rsid w:val="00A74411"/>
    <w:rsid w:val="00A7505F"/>
    <w:rsid w:val="00A75546"/>
    <w:rsid w:val="00A833F8"/>
    <w:rsid w:val="00A86FC0"/>
    <w:rsid w:val="00A90DE9"/>
    <w:rsid w:val="00A91F5D"/>
    <w:rsid w:val="00A937C4"/>
    <w:rsid w:val="00A950A6"/>
    <w:rsid w:val="00A960C5"/>
    <w:rsid w:val="00A96F17"/>
    <w:rsid w:val="00AA19A1"/>
    <w:rsid w:val="00AA23EB"/>
    <w:rsid w:val="00AA4737"/>
    <w:rsid w:val="00AA639E"/>
    <w:rsid w:val="00AA6498"/>
    <w:rsid w:val="00AA6686"/>
    <w:rsid w:val="00AA79E4"/>
    <w:rsid w:val="00AB37DB"/>
    <w:rsid w:val="00AB4EC7"/>
    <w:rsid w:val="00AB77A3"/>
    <w:rsid w:val="00AC0D21"/>
    <w:rsid w:val="00AC1372"/>
    <w:rsid w:val="00AC23A1"/>
    <w:rsid w:val="00AC3571"/>
    <w:rsid w:val="00AC7FC2"/>
    <w:rsid w:val="00AD0578"/>
    <w:rsid w:val="00AD12A0"/>
    <w:rsid w:val="00AD12A2"/>
    <w:rsid w:val="00AD3AA4"/>
    <w:rsid w:val="00AD493D"/>
    <w:rsid w:val="00AD7A54"/>
    <w:rsid w:val="00AE0488"/>
    <w:rsid w:val="00AE27E2"/>
    <w:rsid w:val="00AE2CB2"/>
    <w:rsid w:val="00AE3808"/>
    <w:rsid w:val="00AE76D4"/>
    <w:rsid w:val="00AF1143"/>
    <w:rsid w:val="00AF37F1"/>
    <w:rsid w:val="00AF5D4B"/>
    <w:rsid w:val="00B0022A"/>
    <w:rsid w:val="00B02F9C"/>
    <w:rsid w:val="00B039E0"/>
    <w:rsid w:val="00B0476A"/>
    <w:rsid w:val="00B13B88"/>
    <w:rsid w:val="00B13D02"/>
    <w:rsid w:val="00B174A3"/>
    <w:rsid w:val="00B21D9B"/>
    <w:rsid w:val="00B23E4C"/>
    <w:rsid w:val="00B25C0A"/>
    <w:rsid w:val="00B32C2E"/>
    <w:rsid w:val="00B33DFA"/>
    <w:rsid w:val="00B35118"/>
    <w:rsid w:val="00B354EC"/>
    <w:rsid w:val="00B35ACE"/>
    <w:rsid w:val="00B36AE0"/>
    <w:rsid w:val="00B37724"/>
    <w:rsid w:val="00B4078A"/>
    <w:rsid w:val="00B408B2"/>
    <w:rsid w:val="00B40BC7"/>
    <w:rsid w:val="00B40CD0"/>
    <w:rsid w:val="00B4168C"/>
    <w:rsid w:val="00B46571"/>
    <w:rsid w:val="00B476DC"/>
    <w:rsid w:val="00B47FC0"/>
    <w:rsid w:val="00B51344"/>
    <w:rsid w:val="00B52D9F"/>
    <w:rsid w:val="00B535B2"/>
    <w:rsid w:val="00B53F30"/>
    <w:rsid w:val="00B548CE"/>
    <w:rsid w:val="00B5786B"/>
    <w:rsid w:val="00B57875"/>
    <w:rsid w:val="00B60D71"/>
    <w:rsid w:val="00B63565"/>
    <w:rsid w:val="00B636D1"/>
    <w:rsid w:val="00B6397D"/>
    <w:rsid w:val="00B66892"/>
    <w:rsid w:val="00B66D85"/>
    <w:rsid w:val="00B705DC"/>
    <w:rsid w:val="00B707EA"/>
    <w:rsid w:val="00B7101A"/>
    <w:rsid w:val="00B71C61"/>
    <w:rsid w:val="00B73568"/>
    <w:rsid w:val="00B75F07"/>
    <w:rsid w:val="00B76C99"/>
    <w:rsid w:val="00B76F91"/>
    <w:rsid w:val="00B77B05"/>
    <w:rsid w:val="00B8187F"/>
    <w:rsid w:val="00B82E58"/>
    <w:rsid w:val="00B84920"/>
    <w:rsid w:val="00B851A9"/>
    <w:rsid w:val="00B86A18"/>
    <w:rsid w:val="00B86FD7"/>
    <w:rsid w:val="00B875AE"/>
    <w:rsid w:val="00B912CF"/>
    <w:rsid w:val="00B93C91"/>
    <w:rsid w:val="00B94A0F"/>
    <w:rsid w:val="00B94DF0"/>
    <w:rsid w:val="00BA1ABD"/>
    <w:rsid w:val="00BA274B"/>
    <w:rsid w:val="00BA4317"/>
    <w:rsid w:val="00BA50C5"/>
    <w:rsid w:val="00BB2657"/>
    <w:rsid w:val="00BB2A57"/>
    <w:rsid w:val="00BB2F75"/>
    <w:rsid w:val="00BB306F"/>
    <w:rsid w:val="00BC1A03"/>
    <w:rsid w:val="00BC261A"/>
    <w:rsid w:val="00BC2F4A"/>
    <w:rsid w:val="00BC5289"/>
    <w:rsid w:val="00BD009E"/>
    <w:rsid w:val="00BD18F0"/>
    <w:rsid w:val="00BD19A1"/>
    <w:rsid w:val="00BD2B8C"/>
    <w:rsid w:val="00BD6BBD"/>
    <w:rsid w:val="00BE1233"/>
    <w:rsid w:val="00BE1377"/>
    <w:rsid w:val="00BE1E90"/>
    <w:rsid w:val="00BE32FD"/>
    <w:rsid w:val="00BE39B3"/>
    <w:rsid w:val="00BE3BC6"/>
    <w:rsid w:val="00BE5D60"/>
    <w:rsid w:val="00BE6536"/>
    <w:rsid w:val="00BF0783"/>
    <w:rsid w:val="00BF0BA8"/>
    <w:rsid w:val="00BF15DE"/>
    <w:rsid w:val="00BF2E32"/>
    <w:rsid w:val="00BF3EC0"/>
    <w:rsid w:val="00BF3FAC"/>
    <w:rsid w:val="00C01096"/>
    <w:rsid w:val="00C03774"/>
    <w:rsid w:val="00C06583"/>
    <w:rsid w:val="00C0681A"/>
    <w:rsid w:val="00C06903"/>
    <w:rsid w:val="00C06C10"/>
    <w:rsid w:val="00C12597"/>
    <w:rsid w:val="00C20B4D"/>
    <w:rsid w:val="00C20C02"/>
    <w:rsid w:val="00C20F79"/>
    <w:rsid w:val="00C21E7B"/>
    <w:rsid w:val="00C222B1"/>
    <w:rsid w:val="00C23F31"/>
    <w:rsid w:val="00C2571C"/>
    <w:rsid w:val="00C27426"/>
    <w:rsid w:val="00C31245"/>
    <w:rsid w:val="00C316C5"/>
    <w:rsid w:val="00C32328"/>
    <w:rsid w:val="00C338D1"/>
    <w:rsid w:val="00C34B8D"/>
    <w:rsid w:val="00C40838"/>
    <w:rsid w:val="00C42963"/>
    <w:rsid w:val="00C43C35"/>
    <w:rsid w:val="00C504E4"/>
    <w:rsid w:val="00C51725"/>
    <w:rsid w:val="00C54657"/>
    <w:rsid w:val="00C54F38"/>
    <w:rsid w:val="00C5560F"/>
    <w:rsid w:val="00C56B41"/>
    <w:rsid w:val="00C56C2A"/>
    <w:rsid w:val="00C56D70"/>
    <w:rsid w:val="00C60B96"/>
    <w:rsid w:val="00C635A1"/>
    <w:rsid w:val="00C64ECA"/>
    <w:rsid w:val="00C67629"/>
    <w:rsid w:val="00C70337"/>
    <w:rsid w:val="00C71496"/>
    <w:rsid w:val="00C71C7A"/>
    <w:rsid w:val="00C72493"/>
    <w:rsid w:val="00C73097"/>
    <w:rsid w:val="00C7344A"/>
    <w:rsid w:val="00C7559A"/>
    <w:rsid w:val="00C805E0"/>
    <w:rsid w:val="00C80AFA"/>
    <w:rsid w:val="00C83033"/>
    <w:rsid w:val="00C85CEA"/>
    <w:rsid w:val="00C92DBC"/>
    <w:rsid w:val="00C96113"/>
    <w:rsid w:val="00C965BE"/>
    <w:rsid w:val="00C96B00"/>
    <w:rsid w:val="00C97E63"/>
    <w:rsid w:val="00CA009B"/>
    <w:rsid w:val="00CA0E01"/>
    <w:rsid w:val="00CA1481"/>
    <w:rsid w:val="00CA23E6"/>
    <w:rsid w:val="00CA4464"/>
    <w:rsid w:val="00CA4F7D"/>
    <w:rsid w:val="00CA64CF"/>
    <w:rsid w:val="00CA7D57"/>
    <w:rsid w:val="00CB017A"/>
    <w:rsid w:val="00CB08BE"/>
    <w:rsid w:val="00CB0A9F"/>
    <w:rsid w:val="00CB0DD3"/>
    <w:rsid w:val="00CB1D82"/>
    <w:rsid w:val="00CB42CE"/>
    <w:rsid w:val="00CB4669"/>
    <w:rsid w:val="00CB5446"/>
    <w:rsid w:val="00CB641B"/>
    <w:rsid w:val="00CB6926"/>
    <w:rsid w:val="00CB7A9B"/>
    <w:rsid w:val="00CC07B8"/>
    <w:rsid w:val="00CC07D7"/>
    <w:rsid w:val="00CC2230"/>
    <w:rsid w:val="00CC3C1B"/>
    <w:rsid w:val="00CC69F0"/>
    <w:rsid w:val="00CC726D"/>
    <w:rsid w:val="00CC7FD7"/>
    <w:rsid w:val="00CD0CCF"/>
    <w:rsid w:val="00CD12ED"/>
    <w:rsid w:val="00CD3277"/>
    <w:rsid w:val="00CD4F3F"/>
    <w:rsid w:val="00CD56BE"/>
    <w:rsid w:val="00CD67AB"/>
    <w:rsid w:val="00CD6D94"/>
    <w:rsid w:val="00CE0470"/>
    <w:rsid w:val="00CE1548"/>
    <w:rsid w:val="00CE22A1"/>
    <w:rsid w:val="00CE2DC7"/>
    <w:rsid w:val="00CE5142"/>
    <w:rsid w:val="00CE7574"/>
    <w:rsid w:val="00CE7A04"/>
    <w:rsid w:val="00CF19DB"/>
    <w:rsid w:val="00CF7F64"/>
    <w:rsid w:val="00D01D15"/>
    <w:rsid w:val="00D02774"/>
    <w:rsid w:val="00D02C73"/>
    <w:rsid w:val="00D062FB"/>
    <w:rsid w:val="00D07ED0"/>
    <w:rsid w:val="00D07F40"/>
    <w:rsid w:val="00D114A8"/>
    <w:rsid w:val="00D12E1E"/>
    <w:rsid w:val="00D141E8"/>
    <w:rsid w:val="00D14AC3"/>
    <w:rsid w:val="00D1572E"/>
    <w:rsid w:val="00D21427"/>
    <w:rsid w:val="00D2355F"/>
    <w:rsid w:val="00D23FC4"/>
    <w:rsid w:val="00D25527"/>
    <w:rsid w:val="00D31BFB"/>
    <w:rsid w:val="00D32ABB"/>
    <w:rsid w:val="00D32B23"/>
    <w:rsid w:val="00D40B01"/>
    <w:rsid w:val="00D44165"/>
    <w:rsid w:val="00D454D2"/>
    <w:rsid w:val="00D45D3D"/>
    <w:rsid w:val="00D50BB5"/>
    <w:rsid w:val="00D50EE3"/>
    <w:rsid w:val="00D51005"/>
    <w:rsid w:val="00D53425"/>
    <w:rsid w:val="00D53E7C"/>
    <w:rsid w:val="00D54836"/>
    <w:rsid w:val="00D57E77"/>
    <w:rsid w:val="00D60180"/>
    <w:rsid w:val="00D6133D"/>
    <w:rsid w:val="00D64F4D"/>
    <w:rsid w:val="00D70B0B"/>
    <w:rsid w:val="00D70CAA"/>
    <w:rsid w:val="00D71731"/>
    <w:rsid w:val="00D74BA2"/>
    <w:rsid w:val="00D74F0E"/>
    <w:rsid w:val="00D77035"/>
    <w:rsid w:val="00D80DB6"/>
    <w:rsid w:val="00D82F55"/>
    <w:rsid w:val="00D83C5A"/>
    <w:rsid w:val="00D84E3B"/>
    <w:rsid w:val="00D84FE0"/>
    <w:rsid w:val="00D86D1E"/>
    <w:rsid w:val="00D87180"/>
    <w:rsid w:val="00D87353"/>
    <w:rsid w:val="00D87B2A"/>
    <w:rsid w:val="00D94655"/>
    <w:rsid w:val="00D95821"/>
    <w:rsid w:val="00D970EE"/>
    <w:rsid w:val="00DA3462"/>
    <w:rsid w:val="00DA7D3B"/>
    <w:rsid w:val="00DB2943"/>
    <w:rsid w:val="00DB2AEE"/>
    <w:rsid w:val="00DB347C"/>
    <w:rsid w:val="00DB74A6"/>
    <w:rsid w:val="00DBAE16"/>
    <w:rsid w:val="00DC0FC1"/>
    <w:rsid w:val="00DC14D7"/>
    <w:rsid w:val="00DC1804"/>
    <w:rsid w:val="00DC24EE"/>
    <w:rsid w:val="00DC309A"/>
    <w:rsid w:val="00DC31FE"/>
    <w:rsid w:val="00DC4A56"/>
    <w:rsid w:val="00DC539F"/>
    <w:rsid w:val="00DC540F"/>
    <w:rsid w:val="00DC71C4"/>
    <w:rsid w:val="00DD0423"/>
    <w:rsid w:val="00DD0D28"/>
    <w:rsid w:val="00DD0FB2"/>
    <w:rsid w:val="00DD10B2"/>
    <w:rsid w:val="00DD28A7"/>
    <w:rsid w:val="00DD3784"/>
    <w:rsid w:val="00DD41CF"/>
    <w:rsid w:val="00DD4452"/>
    <w:rsid w:val="00DE11F9"/>
    <w:rsid w:val="00DE32CB"/>
    <w:rsid w:val="00DE4741"/>
    <w:rsid w:val="00DE618A"/>
    <w:rsid w:val="00DE64CA"/>
    <w:rsid w:val="00DE7C5F"/>
    <w:rsid w:val="00DF0D54"/>
    <w:rsid w:val="00DF14C3"/>
    <w:rsid w:val="00DF38AA"/>
    <w:rsid w:val="00DF43D0"/>
    <w:rsid w:val="00DF50E7"/>
    <w:rsid w:val="00DF5D14"/>
    <w:rsid w:val="00DF6D15"/>
    <w:rsid w:val="00E00A68"/>
    <w:rsid w:val="00E01BE6"/>
    <w:rsid w:val="00E031E3"/>
    <w:rsid w:val="00E05DA0"/>
    <w:rsid w:val="00E100C1"/>
    <w:rsid w:val="00E11178"/>
    <w:rsid w:val="00E1403B"/>
    <w:rsid w:val="00E14903"/>
    <w:rsid w:val="00E14FD7"/>
    <w:rsid w:val="00E150C9"/>
    <w:rsid w:val="00E16830"/>
    <w:rsid w:val="00E16B10"/>
    <w:rsid w:val="00E178FB"/>
    <w:rsid w:val="00E22377"/>
    <w:rsid w:val="00E234C7"/>
    <w:rsid w:val="00E23D1F"/>
    <w:rsid w:val="00E27771"/>
    <w:rsid w:val="00E279ED"/>
    <w:rsid w:val="00E27B50"/>
    <w:rsid w:val="00E30288"/>
    <w:rsid w:val="00E34E9B"/>
    <w:rsid w:val="00E40046"/>
    <w:rsid w:val="00E4012F"/>
    <w:rsid w:val="00E40D32"/>
    <w:rsid w:val="00E41E93"/>
    <w:rsid w:val="00E42D54"/>
    <w:rsid w:val="00E43E50"/>
    <w:rsid w:val="00E45425"/>
    <w:rsid w:val="00E504FA"/>
    <w:rsid w:val="00E53ED2"/>
    <w:rsid w:val="00E54478"/>
    <w:rsid w:val="00E5629A"/>
    <w:rsid w:val="00E56360"/>
    <w:rsid w:val="00E56FEA"/>
    <w:rsid w:val="00E574A2"/>
    <w:rsid w:val="00E60BD8"/>
    <w:rsid w:val="00E61DBA"/>
    <w:rsid w:val="00E63DE6"/>
    <w:rsid w:val="00E641F8"/>
    <w:rsid w:val="00E64A9B"/>
    <w:rsid w:val="00E668BF"/>
    <w:rsid w:val="00E7049E"/>
    <w:rsid w:val="00E70874"/>
    <w:rsid w:val="00E71DD6"/>
    <w:rsid w:val="00E72CC9"/>
    <w:rsid w:val="00E756FC"/>
    <w:rsid w:val="00E80035"/>
    <w:rsid w:val="00E808FA"/>
    <w:rsid w:val="00E810C3"/>
    <w:rsid w:val="00E82315"/>
    <w:rsid w:val="00E85631"/>
    <w:rsid w:val="00E87522"/>
    <w:rsid w:val="00E90EB6"/>
    <w:rsid w:val="00E92C97"/>
    <w:rsid w:val="00E93549"/>
    <w:rsid w:val="00E937F2"/>
    <w:rsid w:val="00E9438B"/>
    <w:rsid w:val="00E94D35"/>
    <w:rsid w:val="00E95632"/>
    <w:rsid w:val="00EA040A"/>
    <w:rsid w:val="00EA04FB"/>
    <w:rsid w:val="00EA0EB5"/>
    <w:rsid w:val="00EA1DB2"/>
    <w:rsid w:val="00EA3BB8"/>
    <w:rsid w:val="00EA3EBC"/>
    <w:rsid w:val="00EA4D24"/>
    <w:rsid w:val="00EA6DE7"/>
    <w:rsid w:val="00EB1CEC"/>
    <w:rsid w:val="00EB286B"/>
    <w:rsid w:val="00EB5B8E"/>
    <w:rsid w:val="00EB61FE"/>
    <w:rsid w:val="00EC02F5"/>
    <w:rsid w:val="00EC2D8F"/>
    <w:rsid w:val="00EC3FAD"/>
    <w:rsid w:val="00EC51AB"/>
    <w:rsid w:val="00EC7778"/>
    <w:rsid w:val="00ED0C9E"/>
    <w:rsid w:val="00ED1C1F"/>
    <w:rsid w:val="00ED254D"/>
    <w:rsid w:val="00ED3295"/>
    <w:rsid w:val="00ED44C4"/>
    <w:rsid w:val="00ED4C5B"/>
    <w:rsid w:val="00EE2F72"/>
    <w:rsid w:val="00EE431D"/>
    <w:rsid w:val="00EE4361"/>
    <w:rsid w:val="00EE4455"/>
    <w:rsid w:val="00EE534E"/>
    <w:rsid w:val="00EE5F09"/>
    <w:rsid w:val="00EF0FF3"/>
    <w:rsid w:val="00EF2F20"/>
    <w:rsid w:val="00EF64B5"/>
    <w:rsid w:val="00EF7EE4"/>
    <w:rsid w:val="00F01056"/>
    <w:rsid w:val="00F03C68"/>
    <w:rsid w:val="00F0794F"/>
    <w:rsid w:val="00F114F4"/>
    <w:rsid w:val="00F14746"/>
    <w:rsid w:val="00F16630"/>
    <w:rsid w:val="00F1674E"/>
    <w:rsid w:val="00F170FF"/>
    <w:rsid w:val="00F20774"/>
    <w:rsid w:val="00F21900"/>
    <w:rsid w:val="00F21943"/>
    <w:rsid w:val="00F21C35"/>
    <w:rsid w:val="00F21FF8"/>
    <w:rsid w:val="00F22B9D"/>
    <w:rsid w:val="00F22F40"/>
    <w:rsid w:val="00F26281"/>
    <w:rsid w:val="00F26DEA"/>
    <w:rsid w:val="00F274BB"/>
    <w:rsid w:val="00F30264"/>
    <w:rsid w:val="00F30AF2"/>
    <w:rsid w:val="00F3101F"/>
    <w:rsid w:val="00F32EAF"/>
    <w:rsid w:val="00F3391D"/>
    <w:rsid w:val="00F33C32"/>
    <w:rsid w:val="00F34E34"/>
    <w:rsid w:val="00F35049"/>
    <w:rsid w:val="00F36A31"/>
    <w:rsid w:val="00F4069F"/>
    <w:rsid w:val="00F43E03"/>
    <w:rsid w:val="00F449DB"/>
    <w:rsid w:val="00F44B03"/>
    <w:rsid w:val="00F44C11"/>
    <w:rsid w:val="00F451FD"/>
    <w:rsid w:val="00F45900"/>
    <w:rsid w:val="00F5400A"/>
    <w:rsid w:val="00F6151F"/>
    <w:rsid w:val="00F61A6A"/>
    <w:rsid w:val="00F65977"/>
    <w:rsid w:val="00F65FBB"/>
    <w:rsid w:val="00F66346"/>
    <w:rsid w:val="00F71877"/>
    <w:rsid w:val="00F71A7B"/>
    <w:rsid w:val="00F7223F"/>
    <w:rsid w:val="00F73C40"/>
    <w:rsid w:val="00F750D7"/>
    <w:rsid w:val="00F757A4"/>
    <w:rsid w:val="00F7774D"/>
    <w:rsid w:val="00F81073"/>
    <w:rsid w:val="00F81E9C"/>
    <w:rsid w:val="00F833B1"/>
    <w:rsid w:val="00F84B40"/>
    <w:rsid w:val="00F85EA2"/>
    <w:rsid w:val="00F866C3"/>
    <w:rsid w:val="00F91FF0"/>
    <w:rsid w:val="00F9457F"/>
    <w:rsid w:val="00F9470C"/>
    <w:rsid w:val="00F97EE3"/>
    <w:rsid w:val="00FA1B6E"/>
    <w:rsid w:val="00FA24C8"/>
    <w:rsid w:val="00FA3F1A"/>
    <w:rsid w:val="00FA3F64"/>
    <w:rsid w:val="00FA5119"/>
    <w:rsid w:val="00FA649D"/>
    <w:rsid w:val="00FB4C84"/>
    <w:rsid w:val="00FB5737"/>
    <w:rsid w:val="00FB5DA9"/>
    <w:rsid w:val="00FB64A1"/>
    <w:rsid w:val="00FB7430"/>
    <w:rsid w:val="00FC04F5"/>
    <w:rsid w:val="00FC112F"/>
    <w:rsid w:val="00FC1C6C"/>
    <w:rsid w:val="00FC1F5E"/>
    <w:rsid w:val="00FC3CCC"/>
    <w:rsid w:val="00FC5980"/>
    <w:rsid w:val="00FC692F"/>
    <w:rsid w:val="00FC745D"/>
    <w:rsid w:val="00FD0370"/>
    <w:rsid w:val="00FD0EC3"/>
    <w:rsid w:val="00FD3722"/>
    <w:rsid w:val="00FD4377"/>
    <w:rsid w:val="00FD7237"/>
    <w:rsid w:val="00FE141C"/>
    <w:rsid w:val="00FE1C87"/>
    <w:rsid w:val="00FE2A7A"/>
    <w:rsid w:val="00FE3CF0"/>
    <w:rsid w:val="00FE51D3"/>
    <w:rsid w:val="00FE7249"/>
    <w:rsid w:val="00FF12F1"/>
    <w:rsid w:val="00FF2EC9"/>
    <w:rsid w:val="00FF574E"/>
    <w:rsid w:val="018F2C7C"/>
    <w:rsid w:val="0223830F"/>
    <w:rsid w:val="02552B95"/>
    <w:rsid w:val="03AA5366"/>
    <w:rsid w:val="03DEA702"/>
    <w:rsid w:val="03E09B19"/>
    <w:rsid w:val="0436B491"/>
    <w:rsid w:val="044C23CC"/>
    <w:rsid w:val="046BB1A0"/>
    <w:rsid w:val="060DE4CE"/>
    <w:rsid w:val="06AA95AC"/>
    <w:rsid w:val="06DB26A1"/>
    <w:rsid w:val="0828172C"/>
    <w:rsid w:val="083BC2A9"/>
    <w:rsid w:val="0855DC1E"/>
    <w:rsid w:val="086BED07"/>
    <w:rsid w:val="08862C90"/>
    <w:rsid w:val="090C2ADA"/>
    <w:rsid w:val="091E0476"/>
    <w:rsid w:val="0C053BF8"/>
    <w:rsid w:val="0E847063"/>
    <w:rsid w:val="0EF8B580"/>
    <w:rsid w:val="0F2511E5"/>
    <w:rsid w:val="0F30B655"/>
    <w:rsid w:val="10C78A19"/>
    <w:rsid w:val="11482078"/>
    <w:rsid w:val="11F2049D"/>
    <w:rsid w:val="11F8D1F8"/>
    <w:rsid w:val="13ABCC2D"/>
    <w:rsid w:val="13B4C578"/>
    <w:rsid w:val="1657A6E4"/>
    <w:rsid w:val="17363740"/>
    <w:rsid w:val="177612BA"/>
    <w:rsid w:val="19F173A4"/>
    <w:rsid w:val="1AD71EF9"/>
    <w:rsid w:val="1ADD3561"/>
    <w:rsid w:val="1AEF8786"/>
    <w:rsid w:val="1B003A64"/>
    <w:rsid w:val="1B520E0C"/>
    <w:rsid w:val="1D4A2E5F"/>
    <w:rsid w:val="1DC5469B"/>
    <w:rsid w:val="1EDED836"/>
    <w:rsid w:val="2022CF09"/>
    <w:rsid w:val="20B4347A"/>
    <w:rsid w:val="20FE5C14"/>
    <w:rsid w:val="21266565"/>
    <w:rsid w:val="21BF9F6E"/>
    <w:rsid w:val="223909F7"/>
    <w:rsid w:val="2395CC85"/>
    <w:rsid w:val="24205648"/>
    <w:rsid w:val="24B610B6"/>
    <w:rsid w:val="24C8ED7E"/>
    <w:rsid w:val="2543E090"/>
    <w:rsid w:val="25F7D34D"/>
    <w:rsid w:val="2787C01C"/>
    <w:rsid w:val="2AEB0F2D"/>
    <w:rsid w:val="2B16B5AE"/>
    <w:rsid w:val="2CAF03F0"/>
    <w:rsid w:val="2CB92925"/>
    <w:rsid w:val="2CD38E61"/>
    <w:rsid w:val="2CE65BB5"/>
    <w:rsid w:val="2CF1BB6A"/>
    <w:rsid w:val="302C7385"/>
    <w:rsid w:val="30D4462E"/>
    <w:rsid w:val="3166BD88"/>
    <w:rsid w:val="3194CFAE"/>
    <w:rsid w:val="32551CE6"/>
    <w:rsid w:val="33423D1D"/>
    <w:rsid w:val="33764D40"/>
    <w:rsid w:val="33E3D813"/>
    <w:rsid w:val="34A11309"/>
    <w:rsid w:val="35350AE1"/>
    <w:rsid w:val="35793BCF"/>
    <w:rsid w:val="36025CB4"/>
    <w:rsid w:val="36595780"/>
    <w:rsid w:val="383610B4"/>
    <w:rsid w:val="38EA5D45"/>
    <w:rsid w:val="39D43A98"/>
    <w:rsid w:val="3A405198"/>
    <w:rsid w:val="3C76498E"/>
    <w:rsid w:val="3C978616"/>
    <w:rsid w:val="3E22C235"/>
    <w:rsid w:val="40455841"/>
    <w:rsid w:val="42CE0488"/>
    <w:rsid w:val="42D84A17"/>
    <w:rsid w:val="4307D578"/>
    <w:rsid w:val="45615729"/>
    <w:rsid w:val="4611766F"/>
    <w:rsid w:val="474695F0"/>
    <w:rsid w:val="47BB2A35"/>
    <w:rsid w:val="49A9BA01"/>
    <w:rsid w:val="4A0488F1"/>
    <w:rsid w:val="4CDC50C2"/>
    <w:rsid w:val="50F031AA"/>
    <w:rsid w:val="53534A9C"/>
    <w:rsid w:val="53B7B48F"/>
    <w:rsid w:val="56A89708"/>
    <w:rsid w:val="595FCE6E"/>
    <w:rsid w:val="5A61B064"/>
    <w:rsid w:val="5B4137B9"/>
    <w:rsid w:val="5C2E801C"/>
    <w:rsid w:val="5D1631A7"/>
    <w:rsid w:val="5DC5B595"/>
    <w:rsid w:val="61187632"/>
    <w:rsid w:val="6CCC45C6"/>
    <w:rsid w:val="6EA00B8A"/>
    <w:rsid w:val="6F2B5800"/>
    <w:rsid w:val="6F8048FF"/>
    <w:rsid w:val="6F9005FC"/>
    <w:rsid w:val="71085E5A"/>
    <w:rsid w:val="71414F15"/>
    <w:rsid w:val="72499451"/>
    <w:rsid w:val="726446B4"/>
    <w:rsid w:val="728DBCC9"/>
    <w:rsid w:val="7331984B"/>
    <w:rsid w:val="7457EB84"/>
    <w:rsid w:val="745A0F75"/>
    <w:rsid w:val="74B60CF0"/>
    <w:rsid w:val="752734A6"/>
    <w:rsid w:val="773DEA55"/>
    <w:rsid w:val="781D3B24"/>
    <w:rsid w:val="7970BC4C"/>
    <w:rsid w:val="7AD583FC"/>
    <w:rsid w:val="7B976168"/>
    <w:rsid w:val="7BC0CA22"/>
    <w:rsid w:val="7C02FFD6"/>
    <w:rsid w:val="7C7462DF"/>
    <w:rsid w:val="7C8BECE2"/>
    <w:rsid w:val="7E31909D"/>
    <w:rsid w:val="7EF3CB26"/>
    <w:rsid w:val="7FAD0579"/>
    <w:rsid w:val="7FF5F3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935928B4-4F47-4B2C-A9F2-153B04A9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 w:type="character" w:customStyle="1" w:styleId="normaltextrun">
    <w:name w:val="normaltextrun"/>
    <w:basedOn w:val="a0"/>
    <w:rsid w:val="00D84E3B"/>
  </w:style>
  <w:style w:type="character" w:customStyle="1" w:styleId="eop">
    <w:name w:val="eop"/>
    <w:basedOn w:val="a0"/>
    <w:rsid w:val="00D8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21904233">
      <w:bodyDiv w:val="1"/>
      <w:marLeft w:val="0"/>
      <w:marRight w:val="0"/>
      <w:marTop w:val="0"/>
      <w:marBottom w:val="0"/>
      <w:divBdr>
        <w:top w:val="none" w:sz="0" w:space="0" w:color="auto"/>
        <w:left w:val="none" w:sz="0" w:space="0" w:color="auto"/>
        <w:bottom w:val="none" w:sz="0" w:space="0" w:color="auto"/>
        <w:right w:val="none" w:sz="0" w:space="0" w:color="auto"/>
      </w:divBdr>
      <w:divsChild>
        <w:div w:id="1974169004">
          <w:marLeft w:val="0"/>
          <w:marRight w:val="0"/>
          <w:marTop w:val="0"/>
          <w:marBottom w:val="0"/>
          <w:divBdr>
            <w:top w:val="none" w:sz="0" w:space="0" w:color="auto"/>
            <w:left w:val="none" w:sz="0" w:space="0" w:color="auto"/>
            <w:bottom w:val="none" w:sz="0" w:space="0" w:color="auto"/>
            <w:right w:val="none" w:sz="0" w:space="0" w:color="auto"/>
          </w:divBdr>
        </w:div>
      </w:divsChild>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04564678">
      <w:bodyDiv w:val="1"/>
      <w:marLeft w:val="0"/>
      <w:marRight w:val="0"/>
      <w:marTop w:val="0"/>
      <w:marBottom w:val="0"/>
      <w:divBdr>
        <w:top w:val="none" w:sz="0" w:space="0" w:color="auto"/>
        <w:left w:val="none" w:sz="0" w:space="0" w:color="auto"/>
        <w:bottom w:val="none" w:sz="0" w:space="0" w:color="auto"/>
        <w:right w:val="none" w:sz="0" w:space="0" w:color="auto"/>
      </w:divBdr>
      <w:divsChild>
        <w:div w:id="3242199">
          <w:marLeft w:val="0"/>
          <w:marRight w:val="0"/>
          <w:marTop w:val="0"/>
          <w:marBottom w:val="0"/>
          <w:divBdr>
            <w:top w:val="none" w:sz="0" w:space="0" w:color="auto"/>
            <w:left w:val="none" w:sz="0" w:space="0" w:color="auto"/>
            <w:bottom w:val="none" w:sz="0" w:space="0" w:color="auto"/>
            <w:right w:val="none" w:sz="0" w:space="0" w:color="auto"/>
          </w:divBdr>
        </w:div>
      </w:divsChild>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07785753">
      <w:bodyDiv w:val="1"/>
      <w:marLeft w:val="0"/>
      <w:marRight w:val="0"/>
      <w:marTop w:val="0"/>
      <w:marBottom w:val="0"/>
      <w:divBdr>
        <w:top w:val="none" w:sz="0" w:space="0" w:color="auto"/>
        <w:left w:val="none" w:sz="0" w:space="0" w:color="auto"/>
        <w:bottom w:val="none" w:sz="0" w:space="0" w:color="auto"/>
        <w:right w:val="none" w:sz="0" w:space="0" w:color="auto"/>
      </w:divBdr>
      <w:divsChild>
        <w:div w:id="956258507">
          <w:marLeft w:val="0"/>
          <w:marRight w:val="0"/>
          <w:marTop w:val="0"/>
          <w:marBottom w:val="0"/>
          <w:divBdr>
            <w:top w:val="none" w:sz="0" w:space="0" w:color="auto"/>
            <w:left w:val="none" w:sz="0" w:space="0" w:color="auto"/>
            <w:bottom w:val="none" w:sz="0" w:space="0" w:color="auto"/>
            <w:right w:val="none" w:sz="0" w:space="0" w:color="auto"/>
          </w:divBdr>
        </w:div>
      </w:divsChild>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04727994">
      <w:bodyDiv w:val="1"/>
      <w:marLeft w:val="0"/>
      <w:marRight w:val="0"/>
      <w:marTop w:val="0"/>
      <w:marBottom w:val="0"/>
      <w:divBdr>
        <w:top w:val="none" w:sz="0" w:space="0" w:color="auto"/>
        <w:left w:val="none" w:sz="0" w:space="0" w:color="auto"/>
        <w:bottom w:val="none" w:sz="0" w:space="0" w:color="auto"/>
        <w:right w:val="none" w:sz="0" w:space="0" w:color="auto"/>
      </w:divBdr>
      <w:divsChild>
        <w:div w:id="438062570">
          <w:marLeft w:val="0"/>
          <w:marRight w:val="0"/>
          <w:marTop w:val="0"/>
          <w:marBottom w:val="0"/>
          <w:divBdr>
            <w:top w:val="none" w:sz="0" w:space="0" w:color="auto"/>
            <w:left w:val="none" w:sz="0" w:space="0" w:color="auto"/>
            <w:bottom w:val="none" w:sz="0" w:space="0" w:color="auto"/>
            <w:right w:val="none" w:sz="0" w:space="0" w:color="auto"/>
          </w:divBdr>
        </w:div>
      </w:divsChild>
    </w:div>
    <w:div w:id="614562961">
      <w:bodyDiv w:val="1"/>
      <w:marLeft w:val="0"/>
      <w:marRight w:val="0"/>
      <w:marTop w:val="0"/>
      <w:marBottom w:val="0"/>
      <w:divBdr>
        <w:top w:val="none" w:sz="0" w:space="0" w:color="auto"/>
        <w:left w:val="none" w:sz="0" w:space="0" w:color="auto"/>
        <w:bottom w:val="none" w:sz="0" w:space="0" w:color="auto"/>
        <w:right w:val="none" w:sz="0" w:space="0" w:color="auto"/>
      </w:divBdr>
      <w:divsChild>
        <w:div w:id="433285809">
          <w:marLeft w:val="0"/>
          <w:marRight w:val="0"/>
          <w:marTop w:val="0"/>
          <w:marBottom w:val="0"/>
          <w:divBdr>
            <w:top w:val="none" w:sz="0" w:space="0" w:color="auto"/>
            <w:left w:val="none" w:sz="0" w:space="0" w:color="auto"/>
            <w:bottom w:val="none" w:sz="0" w:space="0" w:color="auto"/>
            <w:right w:val="none" w:sz="0" w:space="0" w:color="auto"/>
          </w:divBdr>
        </w:div>
      </w:divsChild>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75855027">
      <w:bodyDiv w:val="1"/>
      <w:marLeft w:val="0"/>
      <w:marRight w:val="0"/>
      <w:marTop w:val="0"/>
      <w:marBottom w:val="0"/>
      <w:divBdr>
        <w:top w:val="none" w:sz="0" w:space="0" w:color="auto"/>
        <w:left w:val="none" w:sz="0" w:space="0" w:color="auto"/>
        <w:bottom w:val="none" w:sz="0" w:space="0" w:color="auto"/>
        <w:right w:val="none" w:sz="0" w:space="0" w:color="auto"/>
      </w:divBdr>
      <w:divsChild>
        <w:div w:id="1557622820">
          <w:marLeft w:val="0"/>
          <w:marRight w:val="0"/>
          <w:marTop w:val="0"/>
          <w:marBottom w:val="0"/>
          <w:divBdr>
            <w:top w:val="none" w:sz="0" w:space="0" w:color="auto"/>
            <w:left w:val="none" w:sz="0" w:space="0" w:color="auto"/>
            <w:bottom w:val="none" w:sz="0" w:space="0" w:color="auto"/>
            <w:right w:val="none" w:sz="0" w:space="0" w:color="auto"/>
          </w:divBdr>
        </w:div>
      </w:divsChild>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44725305">
      <w:bodyDiv w:val="1"/>
      <w:marLeft w:val="0"/>
      <w:marRight w:val="0"/>
      <w:marTop w:val="0"/>
      <w:marBottom w:val="0"/>
      <w:divBdr>
        <w:top w:val="none" w:sz="0" w:space="0" w:color="auto"/>
        <w:left w:val="none" w:sz="0" w:space="0" w:color="auto"/>
        <w:bottom w:val="none" w:sz="0" w:space="0" w:color="auto"/>
        <w:right w:val="none" w:sz="0" w:space="0" w:color="auto"/>
      </w:divBdr>
      <w:divsChild>
        <w:div w:id="1516073096">
          <w:marLeft w:val="0"/>
          <w:marRight w:val="0"/>
          <w:marTop w:val="0"/>
          <w:marBottom w:val="0"/>
          <w:divBdr>
            <w:top w:val="none" w:sz="0" w:space="0" w:color="auto"/>
            <w:left w:val="none" w:sz="0" w:space="0" w:color="auto"/>
            <w:bottom w:val="none" w:sz="0" w:space="0" w:color="auto"/>
            <w:right w:val="none" w:sz="0" w:space="0" w:color="auto"/>
          </w:divBdr>
        </w:div>
      </w:divsChild>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164973778">
      <w:bodyDiv w:val="1"/>
      <w:marLeft w:val="0"/>
      <w:marRight w:val="0"/>
      <w:marTop w:val="0"/>
      <w:marBottom w:val="0"/>
      <w:divBdr>
        <w:top w:val="none" w:sz="0" w:space="0" w:color="auto"/>
        <w:left w:val="none" w:sz="0" w:space="0" w:color="auto"/>
        <w:bottom w:val="none" w:sz="0" w:space="0" w:color="auto"/>
        <w:right w:val="none" w:sz="0" w:space="0" w:color="auto"/>
      </w:divBdr>
      <w:divsChild>
        <w:div w:id="1702978976">
          <w:marLeft w:val="0"/>
          <w:marRight w:val="0"/>
          <w:marTop w:val="0"/>
          <w:marBottom w:val="0"/>
          <w:divBdr>
            <w:top w:val="none" w:sz="0" w:space="0" w:color="auto"/>
            <w:left w:val="none" w:sz="0" w:space="0" w:color="auto"/>
            <w:bottom w:val="none" w:sz="0" w:space="0" w:color="auto"/>
            <w:right w:val="none" w:sz="0" w:space="0" w:color="auto"/>
          </w:divBdr>
        </w:div>
      </w:divsChild>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285892339">
      <w:bodyDiv w:val="1"/>
      <w:marLeft w:val="0"/>
      <w:marRight w:val="0"/>
      <w:marTop w:val="0"/>
      <w:marBottom w:val="0"/>
      <w:divBdr>
        <w:top w:val="none" w:sz="0" w:space="0" w:color="auto"/>
        <w:left w:val="none" w:sz="0" w:space="0" w:color="auto"/>
        <w:bottom w:val="none" w:sz="0" w:space="0" w:color="auto"/>
        <w:right w:val="none" w:sz="0" w:space="0" w:color="auto"/>
      </w:divBdr>
      <w:divsChild>
        <w:div w:id="1728721038">
          <w:marLeft w:val="0"/>
          <w:marRight w:val="0"/>
          <w:marTop w:val="0"/>
          <w:marBottom w:val="0"/>
          <w:divBdr>
            <w:top w:val="none" w:sz="0" w:space="0" w:color="auto"/>
            <w:left w:val="none" w:sz="0" w:space="0" w:color="auto"/>
            <w:bottom w:val="none" w:sz="0" w:space="0" w:color="auto"/>
            <w:right w:val="none" w:sz="0" w:space="0" w:color="auto"/>
          </w:divBdr>
        </w:div>
      </w:divsChild>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448965557">
      <w:bodyDiv w:val="1"/>
      <w:marLeft w:val="0"/>
      <w:marRight w:val="0"/>
      <w:marTop w:val="0"/>
      <w:marBottom w:val="0"/>
      <w:divBdr>
        <w:top w:val="none" w:sz="0" w:space="0" w:color="auto"/>
        <w:left w:val="none" w:sz="0" w:space="0" w:color="auto"/>
        <w:bottom w:val="none" w:sz="0" w:space="0" w:color="auto"/>
        <w:right w:val="none" w:sz="0" w:space="0" w:color="auto"/>
      </w:divBdr>
      <w:divsChild>
        <w:div w:id="388455119">
          <w:marLeft w:val="0"/>
          <w:marRight w:val="0"/>
          <w:marTop w:val="0"/>
          <w:marBottom w:val="0"/>
          <w:divBdr>
            <w:top w:val="none" w:sz="0" w:space="0" w:color="auto"/>
            <w:left w:val="none" w:sz="0" w:space="0" w:color="auto"/>
            <w:bottom w:val="none" w:sz="0" w:space="0" w:color="auto"/>
            <w:right w:val="none" w:sz="0" w:space="0" w:color="auto"/>
          </w:divBdr>
        </w:div>
      </w:divsChild>
    </w:div>
    <w:div w:id="1513715978">
      <w:bodyDiv w:val="1"/>
      <w:marLeft w:val="0"/>
      <w:marRight w:val="0"/>
      <w:marTop w:val="0"/>
      <w:marBottom w:val="0"/>
      <w:divBdr>
        <w:top w:val="none" w:sz="0" w:space="0" w:color="auto"/>
        <w:left w:val="none" w:sz="0" w:space="0" w:color="auto"/>
        <w:bottom w:val="none" w:sz="0" w:space="0" w:color="auto"/>
        <w:right w:val="none" w:sz="0" w:space="0" w:color="auto"/>
      </w:divBdr>
      <w:divsChild>
        <w:div w:id="1309164508">
          <w:marLeft w:val="0"/>
          <w:marRight w:val="0"/>
          <w:marTop w:val="0"/>
          <w:marBottom w:val="0"/>
          <w:divBdr>
            <w:top w:val="none" w:sz="0" w:space="0" w:color="auto"/>
            <w:left w:val="none" w:sz="0" w:space="0" w:color="auto"/>
            <w:bottom w:val="none" w:sz="0" w:space="0" w:color="auto"/>
            <w:right w:val="none" w:sz="0" w:space="0" w:color="auto"/>
          </w:divBdr>
        </w:div>
      </w:divsChild>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7499686">
      <w:bodyDiv w:val="1"/>
      <w:marLeft w:val="0"/>
      <w:marRight w:val="0"/>
      <w:marTop w:val="0"/>
      <w:marBottom w:val="0"/>
      <w:divBdr>
        <w:top w:val="none" w:sz="0" w:space="0" w:color="auto"/>
        <w:left w:val="none" w:sz="0" w:space="0" w:color="auto"/>
        <w:bottom w:val="none" w:sz="0" w:space="0" w:color="auto"/>
        <w:right w:val="none" w:sz="0" w:space="0" w:color="auto"/>
      </w:divBdr>
      <w:divsChild>
        <w:div w:id="1313412066">
          <w:marLeft w:val="0"/>
          <w:marRight w:val="0"/>
          <w:marTop w:val="0"/>
          <w:marBottom w:val="0"/>
          <w:divBdr>
            <w:top w:val="none" w:sz="0" w:space="0" w:color="auto"/>
            <w:left w:val="none" w:sz="0" w:space="0" w:color="auto"/>
            <w:bottom w:val="none" w:sz="0" w:space="0" w:color="auto"/>
            <w:right w:val="none" w:sz="0" w:space="0" w:color="auto"/>
          </w:divBdr>
        </w:div>
      </w:divsChild>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58696321">
      <w:bodyDiv w:val="1"/>
      <w:marLeft w:val="0"/>
      <w:marRight w:val="0"/>
      <w:marTop w:val="0"/>
      <w:marBottom w:val="0"/>
      <w:divBdr>
        <w:top w:val="none" w:sz="0" w:space="0" w:color="auto"/>
        <w:left w:val="none" w:sz="0" w:space="0" w:color="auto"/>
        <w:bottom w:val="none" w:sz="0" w:space="0" w:color="auto"/>
        <w:right w:val="none" w:sz="0" w:space="0" w:color="auto"/>
      </w:divBdr>
      <w:divsChild>
        <w:div w:id="922760278">
          <w:marLeft w:val="0"/>
          <w:marRight w:val="0"/>
          <w:marTop w:val="0"/>
          <w:marBottom w:val="0"/>
          <w:divBdr>
            <w:top w:val="none" w:sz="0" w:space="0" w:color="auto"/>
            <w:left w:val="none" w:sz="0" w:space="0" w:color="auto"/>
            <w:bottom w:val="none" w:sz="0" w:space="0" w:color="auto"/>
            <w:right w:val="none" w:sz="0" w:space="0" w:color="auto"/>
          </w:divBdr>
        </w:div>
      </w:divsChild>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28953540">
      <w:bodyDiv w:val="1"/>
      <w:marLeft w:val="0"/>
      <w:marRight w:val="0"/>
      <w:marTop w:val="0"/>
      <w:marBottom w:val="0"/>
      <w:divBdr>
        <w:top w:val="none" w:sz="0" w:space="0" w:color="auto"/>
        <w:left w:val="none" w:sz="0" w:space="0" w:color="auto"/>
        <w:bottom w:val="none" w:sz="0" w:space="0" w:color="auto"/>
        <w:right w:val="none" w:sz="0" w:space="0" w:color="auto"/>
      </w:divBdr>
      <w:divsChild>
        <w:div w:id="1100101959">
          <w:marLeft w:val="0"/>
          <w:marRight w:val="0"/>
          <w:marTop w:val="0"/>
          <w:marBottom w:val="0"/>
          <w:divBdr>
            <w:top w:val="none" w:sz="0" w:space="0" w:color="auto"/>
            <w:left w:val="none" w:sz="0" w:space="0" w:color="auto"/>
            <w:bottom w:val="none" w:sz="0" w:space="0" w:color="auto"/>
            <w:right w:val="none" w:sz="0" w:space="0" w:color="auto"/>
          </w:divBdr>
        </w:div>
      </w:divsChild>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3731302">
      <w:bodyDiv w:val="1"/>
      <w:marLeft w:val="0"/>
      <w:marRight w:val="0"/>
      <w:marTop w:val="0"/>
      <w:marBottom w:val="0"/>
      <w:divBdr>
        <w:top w:val="none" w:sz="0" w:space="0" w:color="auto"/>
        <w:left w:val="none" w:sz="0" w:space="0" w:color="auto"/>
        <w:bottom w:val="none" w:sz="0" w:space="0" w:color="auto"/>
        <w:right w:val="none" w:sz="0" w:space="0" w:color="auto"/>
      </w:divBdr>
      <w:divsChild>
        <w:div w:id="1072779583">
          <w:marLeft w:val="0"/>
          <w:marRight w:val="0"/>
          <w:marTop w:val="0"/>
          <w:marBottom w:val="0"/>
          <w:divBdr>
            <w:top w:val="none" w:sz="0" w:space="0" w:color="auto"/>
            <w:left w:val="none" w:sz="0" w:space="0" w:color="auto"/>
            <w:bottom w:val="none" w:sz="0" w:space="0" w:color="auto"/>
            <w:right w:val="none" w:sz="0" w:space="0" w:color="auto"/>
          </w:divBdr>
        </w:div>
      </w:divsChild>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1971012253">
      <w:bodyDiv w:val="1"/>
      <w:marLeft w:val="0"/>
      <w:marRight w:val="0"/>
      <w:marTop w:val="0"/>
      <w:marBottom w:val="0"/>
      <w:divBdr>
        <w:top w:val="none" w:sz="0" w:space="0" w:color="auto"/>
        <w:left w:val="none" w:sz="0" w:space="0" w:color="auto"/>
        <w:bottom w:val="none" w:sz="0" w:space="0" w:color="auto"/>
        <w:right w:val="none" w:sz="0" w:space="0" w:color="auto"/>
      </w:divBdr>
      <w:divsChild>
        <w:div w:id="199589710">
          <w:marLeft w:val="0"/>
          <w:marRight w:val="0"/>
          <w:marTop w:val="0"/>
          <w:marBottom w:val="0"/>
          <w:divBdr>
            <w:top w:val="none" w:sz="0" w:space="0" w:color="auto"/>
            <w:left w:val="none" w:sz="0" w:space="0" w:color="auto"/>
            <w:bottom w:val="none" w:sz="0" w:space="0" w:color="auto"/>
            <w:right w:val="none" w:sz="0" w:space="0" w:color="auto"/>
          </w:divBdr>
        </w:div>
      </w:divsChild>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39354444">
      <w:bodyDiv w:val="1"/>
      <w:marLeft w:val="0"/>
      <w:marRight w:val="0"/>
      <w:marTop w:val="0"/>
      <w:marBottom w:val="0"/>
      <w:divBdr>
        <w:top w:val="none" w:sz="0" w:space="0" w:color="auto"/>
        <w:left w:val="none" w:sz="0" w:space="0" w:color="auto"/>
        <w:bottom w:val="none" w:sz="0" w:space="0" w:color="auto"/>
        <w:right w:val="none" w:sz="0" w:space="0" w:color="auto"/>
      </w:divBdr>
      <w:divsChild>
        <w:div w:id="1572961735">
          <w:marLeft w:val="0"/>
          <w:marRight w:val="0"/>
          <w:marTop w:val="0"/>
          <w:marBottom w:val="0"/>
          <w:divBdr>
            <w:top w:val="none" w:sz="0" w:space="0" w:color="auto"/>
            <w:left w:val="none" w:sz="0" w:space="0" w:color="auto"/>
            <w:bottom w:val="none" w:sz="0" w:space="0" w:color="auto"/>
            <w:right w:val="none" w:sz="0" w:space="0" w:color="auto"/>
          </w:divBdr>
        </w:div>
      </w:divsChild>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05572036">
      <w:bodyDiv w:val="1"/>
      <w:marLeft w:val="0"/>
      <w:marRight w:val="0"/>
      <w:marTop w:val="0"/>
      <w:marBottom w:val="0"/>
      <w:divBdr>
        <w:top w:val="none" w:sz="0" w:space="0" w:color="auto"/>
        <w:left w:val="none" w:sz="0" w:space="0" w:color="auto"/>
        <w:bottom w:val="none" w:sz="0" w:space="0" w:color="auto"/>
        <w:right w:val="none" w:sz="0" w:space="0" w:color="auto"/>
      </w:divBdr>
      <w:divsChild>
        <w:div w:id="1913352643">
          <w:marLeft w:val="0"/>
          <w:marRight w:val="0"/>
          <w:marTop w:val="0"/>
          <w:marBottom w:val="0"/>
          <w:divBdr>
            <w:top w:val="none" w:sz="0" w:space="0" w:color="auto"/>
            <w:left w:val="none" w:sz="0" w:space="0" w:color="auto"/>
            <w:bottom w:val="none" w:sz="0" w:space="0" w:color="auto"/>
            <w:right w:val="none" w:sz="0" w:space="0" w:color="auto"/>
          </w:divBdr>
        </w:div>
      </w:divsChild>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5" ma:contentTypeDescription="Create a new document." ma:contentTypeScope="" ma:versionID="b5f9970531d35ab477cc93a2edb2f52f">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e669f335a9c7686c8d5c4f5cc90137c0"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15258-2538-4ED6-ACAF-B207967AAD35}">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customXml/itemProps2.xml><?xml version="1.0" encoding="utf-8"?>
<ds:datastoreItem xmlns:ds="http://schemas.openxmlformats.org/officeDocument/2006/customXml" ds:itemID="{8A6C2BC6-0B75-4E7E-9862-7328DB0C1912}">
  <ds:schemaRefs>
    <ds:schemaRef ds:uri="http://schemas.microsoft.com/sharepoint/v3/contenttype/forms"/>
  </ds:schemaRefs>
</ds:datastoreItem>
</file>

<file path=customXml/itemProps3.xml><?xml version="1.0" encoding="utf-8"?>
<ds:datastoreItem xmlns:ds="http://schemas.openxmlformats.org/officeDocument/2006/customXml" ds:itemID="{3613DA47-4C2F-418A-8646-3E14A91FE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145</cp:revision>
  <dcterms:created xsi:type="dcterms:W3CDTF">2025-03-10T22:35:00Z</dcterms:created>
  <dcterms:modified xsi:type="dcterms:W3CDTF">2025-05-14T03:51:00Z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