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7F93">
      <w:pPr>
        <w:keepNext/>
        <w:keepLines/>
        <w:spacing w:before="260" w:after="260" w:line="360" w:lineRule="auto"/>
        <w:outlineLvl w:val="1"/>
        <w:rPr>
          <w:rFonts w:hint="eastAsia" w:ascii="宋体" w:hAnsi="宋体"/>
          <w:b/>
          <w:bCs/>
          <w:iCs/>
          <w:sz w:val="24"/>
          <w:szCs w:val="24"/>
        </w:rPr>
      </w:pPr>
      <w:r>
        <w:rPr>
          <w:rFonts w:hint="eastAsia" w:ascii="宋体" w:hAnsi="宋体"/>
          <w:b/>
          <w:bCs/>
          <w:iCs/>
          <w:sz w:val="24"/>
          <w:szCs w:val="24"/>
        </w:rPr>
        <w:t>证券代码：688621                                证券简称：阳光诺和</w:t>
      </w:r>
    </w:p>
    <w:p w14:paraId="193C9A26">
      <w:pPr>
        <w:keepNext/>
        <w:keepLines/>
        <w:spacing w:before="20" w:after="20"/>
        <w:jc w:val="center"/>
        <w:outlineLvl w:val="1"/>
        <w:rPr>
          <w:rFonts w:hint="eastAsia" w:ascii="宋体" w:hAnsi="宋体"/>
          <w:b/>
          <w:bCs/>
          <w:sz w:val="36"/>
          <w:szCs w:val="36"/>
        </w:rPr>
      </w:pPr>
      <w:r>
        <w:rPr>
          <w:rFonts w:hint="eastAsia" w:ascii="宋体" w:hAnsi="宋体"/>
          <w:b/>
          <w:sz w:val="36"/>
          <w:szCs w:val="36"/>
        </w:rPr>
        <w:t>北京阳光诺和药物研究</w:t>
      </w:r>
      <w:r>
        <w:rPr>
          <w:rFonts w:hint="eastAsia" w:ascii="宋体" w:hAnsi="宋体"/>
          <w:b/>
          <w:bCs/>
          <w:sz w:val="36"/>
          <w:szCs w:val="36"/>
        </w:rPr>
        <w:t>股份有限公司</w:t>
      </w:r>
    </w:p>
    <w:p w14:paraId="1DE76FD4">
      <w:pPr>
        <w:keepNext/>
        <w:keepLines/>
        <w:spacing w:before="20" w:after="20"/>
        <w:jc w:val="center"/>
        <w:outlineLvl w:val="1"/>
        <w:rPr>
          <w:rFonts w:hint="eastAsia" w:ascii="宋体" w:hAnsi="宋体"/>
          <w:b/>
          <w:bCs/>
          <w:sz w:val="36"/>
          <w:szCs w:val="36"/>
        </w:rPr>
      </w:pPr>
      <w:r>
        <w:rPr>
          <w:rFonts w:hint="eastAsia" w:ascii="宋体" w:hAnsi="宋体"/>
          <w:b/>
          <w:bCs/>
          <w:sz w:val="36"/>
          <w:szCs w:val="36"/>
        </w:rPr>
        <w:t>投资者关系活动记录表</w:t>
      </w:r>
    </w:p>
    <w:p w14:paraId="1D3EAABF">
      <w:pPr>
        <w:spacing w:line="360" w:lineRule="auto"/>
        <w:jc w:val="center"/>
        <w:rPr>
          <w:rFonts w:hint="eastAsia" w:ascii="宋体" w:hAnsi="宋体"/>
          <w:b/>
          <w:iCs/>
          <w:sz w:val="24"/>
          <w:szCs w:val="24"/>
        </w:rPr>
      </w:pPr>
      <w:r>
        <w:rPr>
          <w:rFonts w:hint="eastAsia" w:ascii="宋体" w:hAnsi="宋体"/>
          <w:b/>
          <w:iCs/>
          <w:sz w:val="24"/>
          <w:szCs w:val="24"/>
        </w:rPr>
        <w:t>（20</w:t>
      </w:r>
      <w:r>
        <w:rPr>
          <w:rFonts w:ascii="宋体" w:hAnsi="宋体"/>
          <w:b/>
          <w:iCs/>
          <w:sz w:val="24"/>
          <w:szCs w:val="24"/>
        </w:rPr>
        <w:t>2</w:t>
      </w:r>
      <w:r>
        <w:rPr>
          <w:rFonts w:hint="eastAsia" w:ascii="宋体" w:hAnsi="宋体"/>
          <w:b/>
          <w:iCs/>
          <w:sz w:val="24"/>
          <w:szCs w:val="24"/>
          <w:lang w:val="en-US" w:eastAsia="zh-CN"/>
        </w:rPr>
        <w:t>5</w:t>
      </w:r>
      <w:r>
        <w:rPr>
          <w:rFonts w:hint="eastAsia" w:ascii="宋体" w:hAnsi="宋体"/>
          <w:b/>
          <w:iCs/>
          <w:sz w:val="24"/>
          <w:szCs w:val="24"/>
        </w:rPr>
        <w:t>年</w:t>
      </w:r>
      <w:r>
        <w:rPr>
          <w:rFonts w:hint="eastAsia" w:ascii="宋体" w:hAnsi="宋体"/>
          <w:b/>
          <w:iCs/>
          <w:sz w:val="24"/>
          <w:szCs w:val="24"/>
          <w:lang w:val="en-US" w:eastAsia="zh-CN"/>
        </w:rPr>
        <w:t>5</w:t>
      </w:r>
      <w:r>
        <w:rPr>
          <w:rFonts w:hint="eastAsia" w:ascii="宋体" w:hAnsi="宋体"/>
          <w:b/>
          <w:iCs/>
          <w:sz w:val="24"/>
          <w:szCs w:val="24"/>
        </w:rPr>
        <w:t>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203"/>
      </w:tblGrid>
      <w:tr w14:paraId="2F97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99D38DD">
            <w:pPr>
              <w:spacing w:line="360" w:lineRule="auto"/>
              <w:jc w:val="center"/>
              <w:rPr>
                <w:rFonts w:hint="eastAsia" w:ascii="宋体" w:hAnsi="宋体"/>
                <w:b/>
                <w:bCs/>
                <w:iCs/>
                <w:sz w:val="24"/>
                <w:szCs w:val="24"/>
              </w:rPr>
            </w:pPr>
            <w:r>
              <w:rPr>
                <w:rFonts w:hint="eastAsia" w:ascii="宋体" w:hAnsi="宋体"/>
                <w:b/>
                <w:bCs/>
                <w:iCs/>
                <w:sz w:val="24"/>
                <w:szCs w:val="24"/>
              </w:rPr>
              <w:t>投资者关系活动类别</w:t>
            </w:r>
          </w:p>
        </w:tc>
        <w:tc>
          <w:tcPr>
            <w:tcW w:w="6203" w:type="dxa"/>
            <w:vAlign w:val="center"/>
          </w:tcPr>
          <w:p w14:paraId="4936C92A">
            <w:pPr>
              <w:spacing w:line="360" w:lineRule="auto"/>
              <w:rPr>
                <w:rFonts w:hint="eastAsia" w:ascii="宋体" w:hAnsi="宋体"/>
                <w:bCs/>
                <w:iCs/>
                <w:sz w:val="24"/>
                <w:szCs w:val="24"/>
              </w:rPr>
            </w:pPr>
            <w:r>
              <w:rPr>
                <w:rFonts w:hint="eastAsia" w:ascii="宋体" w:hAnsi="宋体"/>
                <w:bCs/>
                <w:iCs/>
                <w:sz w:val="24"/>
                <w:szCs w:val="24"/>
              </w:rPr>
              <w:sym w:font="Wingdings 2" w:char="00A3"/>
            </w:r>
            <w:r>
              <w:rPr>
                <w:rFonts w:hint="eastAsia" w:ascii="宋体" w:hAnsi="宋体"/>
                <w:sz w:val="24"/>
                <w:szCs w:val="24"/>
              </w:rPr>
              <w:t xml:space="preserve">特定对象调研        </w:t>
            </w:r>
            <w:r>
              <w:rPr>
                <w:rFonts w:hint="eastAsia" w:ascii="宋体" w:hAnsi="宋体"/>
                <w:bCs/>
                <w:iCs/>
                <w:sz w:val="24"/>
                <w:szCs w:val="24"/>
              </w:rPr>
              <w:sym w:font="Wingdings 2" w:char="00A3"/>
            </w:r>
            <w:r>
              <w:rPr>
                <w:rFonts w:hint="eastAsia" w:ascii="宋体" w:hAnsi="宋体"/>
                <w:sz w:val="24"/>
                <w:szCs w:val="24"/>
              </w:rPr>
              <w:t>分析师会议</w:t>
            </w:r>
          </w:p>
          <w:p w14:paraId="39B80EF3">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sym w:font="Wingdings 2" w:char="00A3"/>
            </w:r>
            <w:r>
              <w:rPr>
                <w:rFonts w:hint="eastAsia" w:ascii="宋体" w:hAnsi="宋体"/>
                <w:sz w:val="24"/>
                <w:szCs w:val="24"/>
              </w:rPr>
              <w:t>业绩说明会</w:t>
            </w:r>
          </w:p>
          <w:p w14:paraId="7EBD013F">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lang w:eastAsia="zh-CN"/>
              </w:rPr>
              <w:t>☑</w:t>
            </w:r>
            <w:r>
              <w:rPr>
                <w:rFonts w:hint="eastAsia" w:ascii="宋体" w:hAnsi="宋体"/>
                <w:sz w:val="24"/>
                <w:szCs w:val="24"/>
              </w:rPr>
              <w:t>路演活动</w:t>
            </w:r>
            <w:bookmarkStart w:id="0" w:name="_GoBack"/>
            <w:bookmarkEnd w:id="0"/>
          </w:p>
          <w:p w14:paraId="51719483">
            <w:pPr>
              <w:tabs>
                <w:tab w:val="left" w:pos="3045"/>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F0A3"/>
            </w:r>
            <w:r>
              <w:rPr>
                <w:rFonts w:hint="eastAsia" w:ascii="宋体" w:hAnsi="宋体"/>
                <w:sz w:val="24"/>
                <w:szCs w:val="24"/>
              </w:rPr>
              <w:t>现场参观</w:t>
            </w:r>
            <w:r>
              <w:rPr>
                <w:rFonts w:ascii="宋体" w:hAnsi="宋体"/>
                <w:bCs/>
                <w:iCs/>
                <w:sz w:val="24"/>
                <w:szCs w:val="24"/>
              </w:rPr>
              <w:tab/>
            </w:r>
          </w:p>
          <w:p w14:paraId="232496E4">
            <w:pPr>
              <w:tabs>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00A3"/>
            </w:r>
            <w:r>
              <w:rPr>
                <w:rFonts w:hint="eastAsia" w:ascii="宋体" w:hAnsi="宋体"/>
                <w:sz w:val="24"/>
                <w:szCs w:val="24"/>
              </w:rPr>
              <w:t>其他（电话会议）</w:t>
            </w:r>
          </w:p>
        </w:tc>
      </w:tr>
      <w:tr w14:paraId="622A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2B2D1EE">
            <w:pPr>
              <w:spacing w:line="360" w:lineRule="auto"/>
              <w:jc w:val="center"/>
              <w:rPr>
                <w:rFonts w:hint="eastAsia" w:ascii="宋体" w:hAnsi="宋体"/>
                <w:b/>
                <w:bCs/>
                <w:iCs/>
                <w:sz w:val="24"/>
                <w:szCs w:val="24"/>
              </w:rPr>
            </w:pPr>
            <w:r>
              <w:rPr>
                <w:rFonts w:hint="eastAsia" w:ascii="宋体" w:hAnsi="宋体"/>
                <w:b/>
                <w:bCs/>
                <w:iCs/>
                <w:sz w:val="24"/>
                <w:szCs w:val="24"/>
              </w:rPr>
              <w:t>参与单位名称</w:t>
            </w:r>
          </w:p>
        </w:tc>
        <w:tc>
          <w:tcPr>
            <w:tcW w:w="6203" w:type="dxa"/>
          </w:tcPr>
          <w:p w14:paraId="646C0D5A">
            <w:pPr>
              <w:spacing w:line="240" w:lineRule="auto"/>
              <w:rPr>
                <w:rFonts w:hint="default" w:ascii="宋体" w:hAnsi="宋体" w:eastAsia="宋体" w:cs="宋体"/>
                <w:sz w:val="24"/>
                <w:szCs w:val="24"/>
                <w:lang w:val="en-US" w:eastAsia="zh-CN"/>
              </w:rPr>
            </w:pPr>
            <w:r>
              <w:rPr>
                <w:rFonts w:hint="eastAsia"/>
              </w:rPr>
              <w:t>中银证券、光大证券、东方证券、华福证券、长江证券、兴业证券、中金公司、浙商证券、中泰证券、信达证券、华安证券、国海证券、招商证券、方正证券、国泰海通证券、太平洋证券、开源证券、国盛证券、东吴人寿资管、jpmamc、上海汇利资产、博儒资本、太平资产、滦海资本、安信基金、融通基金、弘毅远方、光证资管、万家基金、永赢基金、财通资管、申万菱信基金、浦银安盛基金、海富通、沣谊投资、长信基金、昌科金、弥远投资、国信资管、银河基金、西部利得基金、华泰柏瑞、易正朗、惠理基金、诺德基金、华宝基金、平安资管、光大保德信基金、鑫元基金、惠升基金、广发证券、国信证券、银华基金、睿扬基金、国联民生证券、巨能资本、重阳投资、高盛资产、中邮证券</w:t>
            </w:r>
          </w:p>
        </w:tc>
      </w:tr>
      <w:tr w14:paraId="63BC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A8094E6">
            <w:pPr>
              <w:spacing w:line="360" w:lineRule="auto"/>
              <w:jc w:val="center"/>
              <w:rPr>
                <w:rFonts w:hint="eastAsia" w:ascii="宋体" w:hAnsi="宋体"/>
                <w:b/>
                <w:bCs/>
                <w:iCs/>
                <w:sz w:val="24"/>
                <w:szCs w:val="24"/>
              </w:rPr>
            </w:pPr>
            <w:r>
              <w:rPr>
                <w:rFonts w:hint="eastAsia" w:ascii="宋体" w:hAnsi="宋体"/>
                <w:b/>
                <w:bCs/>
                <w:iCs/>
                <w:sz w:val="24"/>
                <w:szCs w:val="24"/>
              </w:rPr>
              <w:t>时间</w:t>
            </w:r>
          </w:p>
        </w:tc>
        <w:tc>
          <w:tcPr>
            <w:tcW w:w="6203" w:type="dxa"/>
          </w:tcPr>
          <w:p w14:paraId="326BC5A2">
            <w:pPr>
              <w:spacing w:line="360" w:lineRule="auto"/>
              <w:rPr>
                <w:rFonts w:hint="eastAsia" w:ascii="宋体" w:hAnsi="宋体"/>
                <w:bCs/>
                <w:iCs/>
                <w:sz w:val="24"/>
                <w:szCs w:val="24"/>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lang w:val="en-US" w:eastAsia="zh-CN"/>
              </w:rPr>
              <w:t>5</w:t>
            </w:r>
            <w:r>
              <w:rPr>
                <w:rFonts w:hint="eastAsia" w:ascii="宋体" w:hAnsi="宋体"/>
                <w:bCs/>
                <w:iCs/>
                <w:sz w:val="24"/>
                <w:szCs w:val="24"/>
              </w:rPr>
              <w:t>年</w:t>
            </w:r>
            <w:r>
              <w:rPr>
                <w:rFonts w:hint="eastAsia" w:ascii="宋体" w:hAnsi="宋体"/>
                <w:bCs/>
                <w:iCs/>
                <w:sz w:val="24"/>
                <w:szCs w:val="24"/>
                <w:lang w:val="en-US" w:eastAsia="zh-CN"/>
              </w:rPr>
              <w:t>5</w:t>
            </w:r>
            <w:r>
              <w:rPr>
                <w:rFonts w:hint="eastAsia" w:ascii="宋体" w:hAnsi="宋体"/>
                <w:bCs/>
                <w:iCs/>
                <w:sz w:val="24"/>
                <w:szCs w:val="24"/>
              </w:rPr>
              <w:t>月</w:t>
            </w:r>
            <w:r>
              <w:rPr>
                <w:rFonts w:hint="eastAsia" w:ascii="宋体" w:hAnsi="宋体"/>
                <w:bCs/>
                <w:iCs/>
                <w:sz w:val="24"/>
                <w:szCs w:val="24"/>
                <w:lang w:val="en-US" w:eastAsia="zh-CN"/>
              </w:rPr>
              <w:t>13</w:t>
            </w:r>
            <w:r>
              <w:rPr>
                <w:rFonts w:hint="eastAsia" w:ascii="宋体" w:hAnsi="宋体"/>
                <w:bCs/>
                <w:iCs/>
                <w:sz w:val="24"/>
                <w:szCs w:val="24"/>
              </w:rPr>
              <w:t>日</w:t>
            </w:r>
          </w:p>
        </w:tc>
      </w:tr>
      <w:tr w14:paraId="2448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FEB7A8D">
            <w:pPr>
              <w:spacing w:line="360" w:lineRule="auto"/>
              <w:jc w:val="center"/>
              <w:rPr>
                <w:rFonts w:hint="eastAsia" w:ascii="宋体" w:hAnsi="宋体"/>
                <w:b/>
                <w:bCs/>
                <w:iCs/>
                <w:sz w:val="24"/>
                <w:szCs w:val="24"/>
              </w:rPr>
            </w:pPr>
            <w:r>
              <w:rPr>
                <w:rFonts w:hint="eastAsia" w:ascii="宋体" w:hAnsi="宋体"/>
                <w:b/>
                <w:bCs/>
                <w:iCs/>
                <w:sz w:val="24"/>
                <w:szCs w:val="24"/>
              </w:rPr>
              <w:t>参会方式</w:t>
            </w:r>
          </w:p>
        </w:tc>
        <w:tc>
          <w:tcPr>
            <w:tcW w:w="6203" w:type="dxa"/>
          </w:tcPr>
          <w:p w14:paraId="4C5F5090">
            <w:pPr>
              <w:spacing w:line="360" w:lineRule="auto"/>
              <w:rPr>
                <w:rFonts w:hint="eastAsia" w:ascii="宋体" w:hAnsi="宋体"/>
                <w:bCs/>
                <w:iCs/>
                <w:sz w:val="24"/>
                <w:szCs w:val="24"/>
              </w:rPr>
            </w:pPr>
            <w:r>
              <w:rPr>
                <w:rFonts w:hint="eastAsia" w:ascii="宋体" w:hAnsi="宋体"/>
                <w:bCs/>
                <w:iCs/>
                <w:sz w:val="24"/>
                <w:szCs w:val="24"/>
              </w:rPr>
              <w:t>线</w:t>
            </w:r>
            <w:r>
              <w:rPr>
                <w:rFonts w:hint="eastAsia" w:ascii="宋体" w:hAnsi="宋体"/>
                <w:bCs/>
                <w:iCs/>
                <w:sz w:val="24"/>
                <w:szCs w:val="24"/>
                <w:lang w:val="en-US" w:eastAsia="zh-CN"/>
              </w:rPr>
              <w:t>下</w:t>
            </w:r>
            <w:r>
              <w:rPr>
                <w:rFonts w:hint="eastAsia" w:ascii="宋体" w:hAnsi="宋体"/>
                <w:bCs/>
                <w:iCs/>
                <w:sz w:val="24"/>
                <w:szCs w:val="24"/>
              </w:rPr>
              <w:t>会议</w:t>
            </w:r>
          </w:p>
        </w:tc>
      </w:tr>
      <w:tr w14:paraId="2200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5249036">
            <w:pPr>
              <w:spacing w:line="360" w:lineRule="auto"/>
              <w:jc w:val="center"/>
              <w:rPr>
                <w:rFonts w:hint="eastAsia" w:ascii="宋体" w:hAnsi="宋体"/>
                <w:b/>
                <w:bCs/>
                <w:iCs/>
                <w:sz w:val="24"/>
                <w:szCs w:val="24"/>
              </w:rPr>
            </w:pPr>
            <w:r>
              <w:rPr>
                <w:rFonts w:hint="eastAsia" w:ascii="宋体" w:hAnsi="宋体"/>
                <w:b/>
                <w:bCs/>
                <w:iCs/>
                <w:sz w:val="24"/>
                <w:szCs w:val="24"/>
              </w:rPr>
              <w:t>上市公司接待人员姓名</w:t>
            </w:r>
          </w:p>
        </w:tc>
        <w:tc>
          <w:tcPr>
            <w:tcW w:w="6203" w:type="dxa"/>
            <w:vAlign w:val="center"/>
          </w:tcPr>
          <w:p w14:paraId="69F116A3">
            <w:pPr>
              <w:spacing w:line="360" w:lineRule="auto"/>
            </w:pPr>
            <w:r>
              <w:rPr>
                <w:rFonts w:hint="eastAsia" w:ascii="宋体" w:hAnsi="宋体"/>
                <w:bCs/>
                <w:iCs/>
                <w:sz w:val="24"/>
                <w:szCs w:val="24"/>
                <w:lang w:val="en-US" w:eastAsia="zh-CN"/>
              </w:rPr>
              <w:t>阳光诺和董事长 利虔先生</w:t>
            </w:r>
          </w:p>
          <w:p w14:paraId="4ECFFF0B">
            <w:pPr>
              <w:spacing w:line="360" w:lineRule="auto"/>
              <w:rPr>
                <w:rFonts w:hint="eastAsia" w:ascii="宋体" w:hAnsi="宋体" w:eastAsia="宋体"/>
                <w:bCs/>
                <w:iCs/>
                <w:sz w:val="24"/>
                <w:szCs w:val="24"/>
                <w:lang w:val="en-US" w:eastAsia="zh-CN"/>
              </w:rPr>
            </w:pPr>
            <w:r>
              <w:rPr>
                <w:rFonts w:hint="eastAsia" w:ascii="宋体" w:hAnsi="宋体"/>
                <w:bCs/>
                <w:iCs/>
                <w:sz w:val="24"/>
                <w:szCs w:val="24"/>
                <w:lang w:val="en-US" w:eastAsia="zh-CN"/>
              </w:rPr>
              <w:t>阳光诺和总经理 刘宇晶先生</w:t>
            </w:r>
          </w:p>
          <w:p w14:paraId="104E609A">
            <w:pPr>
              <w:spacing w:line="360" w:lineRule="auto"/>
              <w:rPr>
                <w:rFonts w:hint="eastAsia" w:ascii="宋体" w:hAnsi="宋体"/>
                <w:bCs/>
                <w:iCs/>
                <w:sz w:val="24"/>
                <w:szCs w:val="24"/>
                <w:lang w:val="en-US" w:eastAsia="zh-CN"/>
              </w:rPr>
            </w:pPr>
            <w:r>
              <w:rPr>
                <w:rFonts w:hint="eastAsia" w:ascii="宋体" w:hAnsi="宋体"/>
                <w:bCs/>
                <w:iCs/>
                <w:sz w:val="24"/>
                <w:szCs w:val="24"/>
                <w:lang w:val="en-US" w:eastAsia="zh-CN"/>
              </w:rPr>
              <w:t>董事、副总经理 罗桓先生</w:t>
            </w:r>
          </w:p>
          <w:p w14:paraId="2AB955EC">
            <w:pPr>
              <w:spacing w:line="360" w:lineRule="auto"/>
              <w:rPr>
                <w:rFonts w:hint="eastAsia" w:ascii="宋体" w:hAnsi="宋体"/>
                <w:bCs/>
                <w:iCs/>
                <w:sz w:val="24"/>
                <w:szCs w:val="24"/>
                <w:lang w:val="en-US" w:eastAsia="zh-CN"/>
              </w:rPr>
            </w:pPr>
            <w:r>
              <w:rPr>
                <w:rFonts w:hint="eastAsia" w:ascii="宋体" w:hAnsi="宋体"/>
                <w:bCs/>
                <w:iCs/>
                <w:sz w:val="24"/>
                <w:szCs w:val="24"/>
                <w:lang w:val="en-US" w:eastAsia="zh-CN"/>
              </w:rPr>
              <w:t>副总经理 李元波先生</w:t>
            </w:r>
          </w:p>
          <w:p w14:paraId="72C1F929">
            <w:pPr>
              <w:spacing w:line="360" w:lineRule="auto"/>
              <w:rPr>
                <w:rFonts w:hint="eastAsia" w:ascii="宋体" w:hAnsi="宋体"/>
                <w:bCs/>
                <w:iCs/>
                <w:sz w:val="24"/>
                <w:szCs w:val="24"/>
                <w:lang w:val="en-US" w:eastAsia="zh-CN"/>
              </w:rPr>
            </w:pPr>
            <w:r>
              <w:rPr>
                <w:rFonts w:hint="eastAsia" w:ascii="宋体" w:hAnsi="宋体"/>
                <w:bCs/>
                <w:iCs/>
                <w:sz w:val="24"/>
                <w:szCs w:val="24"/>
                <w:lang w:val="en-US" w:eastAsia="zh-CN"/>
              </w:rPr>
              <w:t>诺和恒光总经理 吴越先生</w:t>
            </w:r>
          </w:p>
          <w:p w14:paraId="11150B5E">
            <w:pPr>
              <w:spacing w:line="360" w:lineRule="auto"/>
              <w:rPr>
                <w:rFonts w:hint="default" w:ascii="宋体" w:hAnsi="宋体"/>
                <w:bCs/>
                <w:iCs/>
                <w:sz w:val="24"/>
                <w:szCs w:val="24"/>
                <w:lang w:val="en-US" w:eastAsia="zh-CN"/>
              </w:rPr>
            </w:pPr>
            <w:r>
              <w:rPr>
                <w:rFonts w:hint="eastAsia" w:ascii="宋体" w:hAnsi="宋体"/>
                <w:bCs/>
                <w:iCs/>
                <w:sz w:val="24"/>
                <w:szCs w:val="24"/>
                <w:lang w:val="en-US" w:eastAsia="zh-CN"/>
              </w:rPr>
              <w:t>朗研集团总裁 康彦龙先生</w:t>
            </w:r>
          </w:p>
          <w:p w14:paraId="5D8E8365">
            <w:pPr>
              <w:spacing w:line="360" w:lineRule="auto"/>
              <w:rPr>
                <w:rFonts w:hint="default" w:ascii="宋体" w:hAnsi="宋体"/>
                <w:bCs/>
                <w:iCs/>
                <w:sz w:val="24"/>
                <w:szCs w:val="24"/>
                <w:lang w:val="en-US" w:eastAsia="zh-CN"/>
              </w:rPr>
            </w:pPr>
            <w:r>
              <w:rPr>
                <w:rFonts w:hint="eastAsia" w:ascii="宋体" w:hAnsi="宋体"/>
                <w:bCs/>
                <w:iCs/>
                <w:sz w:val="24"/>
                <w:szCs w:val="24"/>
                <w:lang w:val="en-US" w:eastAsia="zh-CN"/>
              </w:rPr>
              <w:t>董事、财务总监 张执交先生</w:t>
            </w:r>
          </w:p>
          <w:p w14:paraId="0F59253F">
            <w:pPr>
              <w:spacing w:line="360" w:lineRule="auto"/>
              <w:rPr>
                <w:rFonts w:hint="default" w:ascii="宋体" w:hAnsi="宋体"/>
                <w:bCs/>
                <w:iCs/>
                <w:sz w:val="24"/>
                <w:szCs w:val="24"/>
                <w:lang w:val="en-US" w:eastAsia="zh-CN"/>
              </w:rPr>
            </w:pPr>
            <w:r>
              <w:rPr>
                <w:rFonts w:hint="eastAsia" w:ascii="宋体" w:hAnsi="宋体"/>
                <w:bCs/>
                <w:iCs/>
                <w:sz w:val="24"/>
                <w:szCs w:val="24"/>
                <w:lang w:val="en-US" w:eastAsia="zh-CN"/>
              </w:rPr>
              <w:t>董事会秘书 魏丽萍女士</w:t>
            </w:r>
          </w:p>
          <w:p w14:paraId="5422822E">
            <w:pPr>
              <w:spacing w:line="360" w:lineRule="auto"/>
              <w:rPr>
                <w:rFonts w:hint="default" w:ascii="宋体" w:hAnsi="宋体"/>
                <w:bCs/>
                <w:iCs/>
                <w:sz w:val="24"/>
                <w:szCs w:val="24"/>
                <w:lang w:val="en-US"/>
              </w:rPr>
            </w:pPr>
            <w:r>
              <w:rPr>
                <w:rFonts w:hint="eastAsia" w:ascii="宋体" w:hAnsi="宋体"/>
                <w:bCs/>
                <w:iCs/>
                <w:sz w:val="24"/>
                <w:szCs w:val="24"/>
                <w:lang w:val="en-US" w:eastAsia="zh-CN"/>
              </w:rPr>
              <w:t>投资者关系总监 郭心驰女士</w:t>
            </w:r>
          </w:p>
        </w:tc>
      </w:tr>
      <w:tr w14:paraId="276D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394FAC4">
            <w:pPr>
              <w:spacing w:line="360" w:lineRule="auto"/>
              <w:jc w:val="center"/>
              <w:rPr>
                <w:rFonts w:hint="eastAsia" w:ascii="宋体" w:hAnsi="宋体"/>
                <w:b/>
                <w:bCs/>
                <w:iCs/>
                <w:sz w:val="24"/>
                <w:szCs w:val="24"/>
              </w:rPr>
            </w:pPr>
            <w:r>
              <w:rPr>
                <w:rFonts w:hint="eastAsia" w:ascii="宋体" w:hAnsi="宋体"/>
                <w:b/>
                <w:bCs/>
                <w:iCs/>
                <w:sz w:val="24"/>
                <w:szCs w:val="24"/>
              </w:rPr>
              <w:t>投资者关系活动主要内容介绍</w:t>
            </w:r>
          </w:p>
        </w:tc>
        <w:tc>
          <w:tcPr>
            <w:tcW w:w="6203" w:type="dxa"/>
          </w:tcPr>
          <w:p w14:paraId="4D36C545">
            <w:pPr>
              <w:numPr>
                <w:ilvl w:val="255"/>
                <w:numId w:val="0"/>
              </w:numPr>
              <w:spacing w:before="156" w:beforeLines="50" w:line="360" w:lineRule="auto"/>
              <w:ind w:firstLine="480" w:firstLineChars="200"/>
              <w:rPr>
                <w:rFonts w:hint="eastAsia" w:eastAsia="宋体"/>
                <w:sz w:val="24"/>
                <w:lang w:val="en-US" w:eastAsia="zh-CN"/>
              </w:rPr>
            </w:pPr>
            <w:r>
              <w:rPr>
                <w:rFonts w:hint="eastAsia"/>
                <w:sz w:val="24"/>
              </w:rPr>
              <w:t>一、2025年投资者开放日活动</w:t>
            </w:r>
            <w:r>
              <w:rPr>
                <w:rFonts w:hint="eastAsia"/>
                <w:sz w:val="24"/>
                <w:lang w:val="en-US" w:eastAsia="zh-CN"/>
              </w:rPr>
              <w:t>情况</w:t>
            </w:r>
          </w:p>
          <w:p w14:paraId="7C6E4A9B">
            <w:pPr>
              <w:numPr>
                <w:ilvl w:val="255"/>
                <w:numId w:val="0"/>
              </w:numPr>
              <w:spacing w:before="156" w:beforeLines="50" w:line="360" w:lineRule="auto"/>
              <w:ind w:firstLine="480" w:firstLineChars="200"/>
              <w:rPr>
                <w:rFonts w:hint="eastAsia" w:ascii="宋体" w:hAnsi="宋体"/>
                <w:b w:val="0"/>
                <w:bCs/>
                <w:iCs/>
                <w:sz w:val="24"/>
                <w:szCs w:val="24"/>
              </w:rPr>
            </w:pPr>
            <w:r>
              <w:rPr>
                <w:rFonts w:hint="eastAsia" w:ascii="宋体" w:hAnsi="宋体"/>
                <w:b w:val="0"/>
                <w:bCs/>
                <w:iCs/>
                <w:sz w:val="24"/>
                <w:szCs w:val="24"/>
                <w:lang w:val="en-US" w:eastAsia="zh-CN"/>
              </w:rPr>
              <w:t>公司是一家</w:t>
            </w:r>
            <w:r>
              <w:rPr>
                <w:rFonts w:hint="eastAsia" w:ascii="宋体" w:hAnsi="宋体"/>
                <w:b w:val="0"/>
                <w:bCs/>
                <w:iCs/>
                <w:sz w:val="24"/>
                <w:szCs w:val="24"/>
              </w:rPr>
              <w:t>专注于药物创新研发综合型企业，阳光诺和通过长期创新探索，构建了“研发服务+管线培育+新质产业链”的一体化业务生态。在研发服务领域，公司打造了全面且专业的</w:t>
            </w:r>
            <w:r>
              <w:rPr>
                <w:rFonts w:hint="eastAsia" w:ascii="宋体" w:hAnsi="宋体"/>
                <w:b w:val="0"/>
                <w:bCs/>
                <w:iCs/>
                <w:sz w:val="24"/>
                <w:szCs w:val="24"/>
                <w:lang w:val="en-US" w:eastAsia="zh-CN"/>
              </w:rPr>
              <w:t>研发</w:t>
            </w:r>
            <w:r>
              <w:rPr>
                <w:rFonts w:hint="eastAsia" w:ascii="宋体" w:hAnsi="宋体"/>
                <w:b w:val="0"/>
                <w:bCs/>
                <w:iCs/>
                <w:sz w:val="24"/>
                <w:szCs w:val="24"/>
              </w:rPr>
              <w:t>平台。从药物发现阶段的靶点研究，到药学研究中的各类剂型开发，再到临床研究的各个环节，都具备成熟的技术和丰富的经验。例如，在多肽药物研发方面，iCVETide多肽创新分子发现平台与BiMTtide多肽偶联药物开发平台相互配合，能够实现从分子筛选到药物设计的高效创新。在改良药研发中，针对不同剂型和疾病领域，开发出多种先进技术，如复杂缓释注射剂技术平台、口服缓控释制剂技术平台等，有效提升药物性能。</w:t>
            </w:r>
          </w:p>
          <w:p w14:paraId="157EDB68">
            <w:pPr>
              <w:numPr>
                <w:ilvl w:val="255"/>
                <w:numId w:val="0"/>
              </w:numPr>
              <w:spacing w:before="156" w:beforeLines="50" w:line="360" w:lineRule="auto"/>
              <w:ind w:firstLine="480" w:firstLineChars="200"/>
              <w:rPr>
                <w:rFonts w:hint="eastAsia" w:ascii="宋体" w:hAnsi="宋体"/>
                <w:b w:val="0"/>
                <w:bCs/>
                <w:iCs/>
                <w:sz w:val="24"/>
                <w:szCs w:val="24"/>
              </w:rPr>
            </w:pPr>
            <w:r>
              <w:rPr>
                <w:rFonts w:hint="eastAsia" w:ascii="宋体" w:hAnsi="宋体"/>
                <w:b w:val="0"/>
                <w:bCs/>
                <w:iCs/>
                <w:sz w:val="24"/>
                <w:szCs w:val="24"/>
              </w:rPr>
              <w:t>管线培育方面，公司布局了丰富的产品线，涵盖创新药、改良药和特殊剂型仿制药。创新药如STC007、STC008等项目，分别针对术后镇痛、癌症恶病质等重大疾病领域，展现出良好的临床潜力；改良药项目如NHKC-1、BTP0611等，致力于优化现有药物的疗效和安全性，满足临床未被充分满足的需求；特殊剂型仿制药则聚焦于凝胶贴膏剂、热熔贴膏剂等领域，提升药品的质量和患者的用药体验。</w:t>
            </w:r>
          </w:p>
          <w:p w14:paraId="36C41834">
            <w:pPr>
              <w:numPr>
                <w:ilvl w:val="255"/>
                <w:numId w:val="0"/>
              </w:numPr>
              <w:spacing w:before="156" w:beforeLines="50" w:line="360" w:lineRule="auto"/>
              <w:ind w:firstLine="480" w:firstLineChars="200"/>
              <w:rPr>
                <w:rFonts w:hint="eastAsia" w:ascii="宋体" w:hAnsi="宋体"/>
                <w:b w:val="0"/>
                <w:bCs/>
                <w:iCs/>
                <w:sz w:val="24"/>
                <w:szCs w:val="24"/>
              </w:rPr>
            </w:pPr>
            <w:r>
              <w:rPr>
                <w:rFonts w:hint="eastAsia" w:ascii="宋体" w:hAnsi="宋体"/>
                <w:b w:val="0"/>
                <w:bCs/>
                <w:iCs/>
                <w:sz w:val="24"/>
                <w:szCs w:val="24"/>
              </w:rPr>
              <w:t>新质产业链方面，公司</w:t>
            </w:r>
            <w:r>
              <w:rPr>
                <w:rFonts w:hint="eastAsia" w:ascii="宋体" w:hAnsi="宋体"/>
                <w:b w:val="0"/>
                <w:bCs/>
                <w:iCs/>
                <w:sz w:val="24"/>
                <w:szCs w:val="24"/>
                <w:lang w:val="en-US" w:eastAsia="zh-CN"/>
              </w:rPr>
              <w:t>拟收购的朗研生命</w:t>
            </w:r>
            <w:r>
              <w:rPr>
                <w:rFonts w:hint="eastAsia" w:ascii="宋体" w:hAnsi="宋体"/>
                <w:b w:val="0"/>
                <w:bCs/>
                <w:iCs/>
                <w:sz w:val="24"/>
                <w:szCs w:val="24"/>
              </w:rPr>
              <w:t>整合了原料药和制剂的生产能力，在多地拥有生产基地，具备多种剂型的生产能力，实现了从原料到制剂的全产业链覆盖，确保产品的质量和供应稳定性。</w:t>
            </w:r>
          </w:p>
          <w:p w14:paraId="4528513A">
            <w:pPr>
              <w:numPr>
                <w:ilvl w:val="255"/>
                <w:numId w:val="0"/>
              </w:numPr>
              <w:spacing w:before="156" w:beforeLines="50" w:line="360" w:lineRule="auto"/>
              <w:ind w:firstLine="480" w:firstLineChars="200"/>
              <w:rPr>
                <w:rFonts w:hint="eastAsia" w:ascii="宋体" w:hAnsi="宋体"/>
                <w:b w:val="0"/>
                <w:bCs/>
                <w:iCs/>
                <w:sz w:val="24"/>
                <w:szCs w:val="24"/>
              </w:rPr>
            </w:pPr>
            <w:r>
              <w:rPr>
                <w:rFonts w:hint="eastAsia" w:ascii="宋体" w:hAnsi="宋体"/>
                <w:b w:val="0"/>
                <w:bCs/>
                <w:iCs/>
                <w:sz w:val="24"/>
                <w:szCs w:val="24"/>
              </w:rPr>
              <w:t>阳光诺和未来将继续坚持“自主创新+技术转化”的双轮驱动战略。在创新药研发上，加大投入，借助AI技术和先进的研发平台，加速新靶点的发现和药物分子的设计优化；在改良药和特殊剂型仿制药领域，持续提升产品质量和性能，满足临床多样化需求。</w:t>
            </w:r>
          </w:p>
          <w:p w14:paraId="5242BECC">
            <w:pPr>
              <w:numPr>
                <w:ilvl w:val="255"/>
                <w:numId w:val="0"/>
              </w:numPr>
              <w:spacing w:before="156" w:beforeLines="50" w:line="360" w:lineRule="auto"/>
              <w:ind w:firstLine="482" w:firstLineChars="200"/>
              <w:rPr>
                <w:rFonts w:hint="eastAsia" w:ascii="宋体" w:hAnsi="宋体"/>
                <w:b/>
                <w:iCs/>
                <w:sz w:val="24"/>
                <w:szCs w:val="24"/>
              </w:rPr>
            </w:pPr>
            <w:r>
              <w:rPr>
                <w:rFonts w:hint="eastAsia" w:ascii="宋体" w:hAnsi="宋体"/>
                <w:b/>
                <w:iCs/>
                <w:sz w:val="24"/>
                <w:szCs w:val="24"/>
              </w:rPr>
              <w:t>二、问答环节</w:t>
            </w:r>
          </w:p>
          <w:p w14:paraId="26B8C90D">
            <w:pPr>
              <w:numPr>
                <w:ilvl w:val="0"/>
                <w:numId w:val="1"/>
              </w:numPr>
              <w:spacing w:before="156" w:beforeLines="50" w:line="360" w:lineRule="auto"/>
              <w:ind w:left="425" w:leftChars="0" w:firstLine="1" w:firstLineChars="0"/>
              <w:rPr>
                <w:rFonts w:hint="eastAsia"/>
                <w:b/>
                <w:iCs/>
                <w:sz w:val="24"/>
                <w:szCs w:val="24"/>
                <w:lang w:val="en-US" w:eastAsia="zh-CN"/>
              </w:rPr>
            </w:pPr>
            <w:r>
              <w:rPr>
                <w:rFonts w:hint="eastAsia"/>
                <w:b/>
                <w:iCs/>
                <w:sz w:val="24"/>
                <w:szCs w:val="24"/>
                <w:lang w:val="en-US" w:eastAsia="zh-CN"/>
              </w:rPr>
              <w:t xml:space="preserve">请问阳光诺和收购朗研的业务协同性体现在哪里？ </w:t>
            </w:r>
          </w:p>
          <w:p w14:paraId="45BF0B3A">
            <w:pPr>
              <w:numPr>
                <w:ilvl w:val="255"/>
                <w:numId w:val="0"/>
              </w:numPr>
              <w:spacing w:before="156" w:beforeLines="50" w:line="360" w:lineRule="auto"/>
              <w:ind w:firstLine="480" w:firstLineChars="200"/>
              <w:rPr>
                <w:rFonts w:hint="default"/>
                <w:sz w:val="24"/>
                <w:lang w:val="en-US" w:eastAsia="zh-CN"/>
              </w:rPr>
            </w:pPr>
            <w:r>
              <w:rPr>
                <w:rFonts w:hint="default"/>
                <w:sz w:val="24"/>
                <w:lang w:val="en-US" w:eastAsia="zh-CN"/>
              </w:rPr>
              <w:t>阳光诺和收购朗研</w:t>
            </w:r>
            <w:r>
              <w:rPr>
                <w:rFonts w:hint="eastAsia"/>
                <w:sz w:val="24"/>
                <w:lang w:val="en-US" w:eastAsia="zh-CN"/>
              </w:rPr>
              <w:t>具备高度的</w:t>
            </w:r>
            <w:r>
              <w:rPr>
                <w:rFonts w:hint="default"/>
                <w:sz w:val="24"/>
                <w:lang w:val="en-US" w:eastAsia="zh-CN"/>
              </w:rPr>
              <w:t>业务协同性</w:t>
            </w:r>
            <w:r>
              <w:rPr>
                <w:rFonts w:hint="eastAsia"/>
                <w:sz w:val="24"/>
                <w:lang w:val="en-US" w:eastAsia="zh-CN"/>
              </w:rPr>
              <w:t>，</w:t>
            </w:r>
            <w:r>
              <w:rPr>
                <w:rFonts w:hint="default"/>
                <w:sz w:val="24"/>
                <w:lang w:val="en-US" w:eastAsia="zh-CN"/>
              </w:rPr>
              <w:t>一方面，公司能够实现自主研发产品的孵化和实施，充分发挥阳光诺和的研发优势和朗研生命的生产销售优势，促进阳光诺和研发品种落地以及朗研生命产能释放，形成公司新的盈利增长点。另一方面，公司将拓展其医药工业板块的业务范围，以实现“CRO+医药工业”的战略布局。未来，医药工业板块预期将贡献稳定的收入流，进一步增强上市公司的盈利能力和风险抵御能力。此外，它还将为新品种的研发提供充裕的资金支持，从而推动上市公司的持续发展。</w:t>
            </w:r>
          </w:p>
          <w:p w14:paraId="1579521E">
            <w:pPr>
              <w:numPr>
                <w:ilvl w:val="0"/>
                <w:numId w:val="1"/>
              </w:numPr>
              <w:spacing w:before="156" w:beforeLines="50" w:line="360" w:lineRule="auto"/>
              <w:ind w:left="425" w:leftChars="0" w:firstLine="1" w:firstLineChars="0"/>
              <w:rPr>
                <w:rFonts w:hint="eastAsia"/>
                <w:b/>
                <w:iCs/>
                <w:sz w:val="24"/>
                <w:szCs w:val="24"/>
              </w:rPr>
            </w:pPr>
            <w:r>
              <w:rPr>
                <w:rFonts w:hint="eastAsia"/>
                <w:b/>
                <w:iCs/>
                <w:sz w:val="24"/>
                <w:szCs w:val="24"/>
                <w:lang w:val="en-US" w:eastAsia="zh-CN"/>
              </w:rPr>
              <w:t>公司收购朗研对助力创新研发有何意义？</w:t>
            </w:r>
          </w:p>
          <w:p w14:paraId="6BB250E2">
            <w:pPr>
              <w:keepNext w:val="0"/>
              <w:keepLines w:val="0"/>
              <w:pageBreakBefore w:val="0"/>
              <w:widowControl w:val="0"/>
              <w:numPr>
                <w:ilvl w:val="255"/>
                <w:numId w:val="0"/>
              </w:numPr>
              <w:kinsoku/>
              <w:wordWrap/>
              <w:overflowPunct/>
              <w:topLinePunct w:val="0"/>
              <w:autoSpaceDE/>
              <w:autoSpaceDN/>
              <w:bidi w:val="0"/>
              <w:adjustRightInd/>
              <w:snapToGrid/>
              <w:spacing w:before="156" w:beforeLines="50" w:line="360" w:lineRule="auto"/>
              <w:ind w:firstLine="480" w:firstLineChars="200"/>
              <w:textAlignment w:val="auto"/>
              <w:rPr>
                <w:rFonts w:hint="default" w:ascii="宋体" w:hAnsi="宋体"/>
                <w:b w:val="0"/>
                <w:bCs/>
                <w:iCs/>
                <w:sz w:val="24"/>
                <w:szCs w:val="24"/>
                <w:lang w:val="en-US" w:eastAsia="zh-CN"/>
              </w:rPr>
            </w:pPr>
            <w:r>
              <w:rPr>
                <w:rFonts w:hint="default" w:ascii="宋体" w:hAnsi="宋体"/>
                <w:b w:val="0"/>
                <w:bCs/>
                <w:iCs/>
                <w:sz w:val="24"/>
                <w:szCs w:val="24"/>
                <w:lang w:val="en-US" w:eastAsia="zh-CN"/>
              </w:rPr>
              <w:t>公司对朗研的收购将显著加速阳光诺和向创新药物领域的转型进程。这一转型并非是零星的、随机的项目尝试，而是以多肽药物研发为核心，进行系统化、持续性的拓展。这预示着阳光诺和每年有望推出多个基于该平台的新产品或新项目。为了达成这一目标，前期将需要巨额的研发投入。收购朗研一旦成功，将为阳光诺和带来稳定的经营性现金流和利润，减轻收入的波动性。度过初期的适应期后，随着阳光诺和产品线的逐步完善，无论是通过内部孵化还是通过授权合作等多元化方式，都将实现现金流的良性循环。这将使公司能够投入更多资金于早期研发，为打造世界级药物奠定坚实的基础。</w:t>
            </w:r>
          </w:p>
          <w:p w14:paraId="13EF8075">
            <w:pPr>
              <w:numPr>
                <w:ilvl w:val="0"/>
                <w:numId w:val="2"/>
              </w:numPr>
              <w:spacing w:before="156" w:beforeLines="50" w:line="360" w:lineRule="auto"/>
              <w:ind w:firstLine="482" w:firstLineChars="200"/>
              <w:rPr>
                <w:rFonts w:hint="eastAsia"/>
                <w:b/>
                <w:sz w:val="24"/>
              </w:rPr>
            </w:pPr>
            <w:r>
              <w:rPr>
                <w:rFonts w:hint="eastAsia"/>
                <w:b/>
                <w:sz w:val="24"/>
                <w:lang w:val="en-US" w:eastAsia="zh-CN"/>
              </w:rPr>
              <w:t>如何理解公司致力于构建的“创新研发综合体” 模式</w:t>
            </w:r>
            <w:r>
              <w:rPr>
                <w:rFonts w:hint="eastAsia"/>
                <w:b/>
                <w:sz w:val="24"/>
              </w:rPr>
              <w:t xml:space="preserve">？ </w:t>
            </w:r>
          </w:p>
          <w:p w14:paraId="187A35EF">
            <w:pPr>
              <w:numPr>
                <w:ilvl w:val="-1"/>
                <w:numId w:val="0"/>
              </w:numPr>
              <w:spacing w:before="156" w:beforeLines="50" w:line="360" w:lineRule="auto"/>
              <w:ind w:firstLine="480" w:firstLineChars="200"/>
              <w:rPr>
                <w:rFonts w:hint="eastAsia"/>
                <w:b w:val="0"/>
                <w:bCs/>
                <w:sz w:val="24"/>
                <w:lang w:eastAsia="zh-CN"/>
              </w:rPr>
            </w:pPr>
            <w:r>
              <w:rPr>
                <w:rFonts w:hint="default"/>
                <w:b w:val="0"/>
                <w:bCs/>
                <w:sz w:val="24"/>
                <w:lang w:eastAsia="zh-CN"/>
              </w:rPr>
              <w:t>公司正在打造的“创新研发综合体”不仅包括了药物发现、药学研究、临床研究等传统研发服务，还扩展到了管线培育和新质产业链，构建了一个从实验室到市场的完整生态闭环。在当前医药行业创新药出海项目数量与金额快速增长的背景下，通过这种模式，阳光诺和不仅能够为医药企业提供一站式解决方案，还能加速创新药的产业化进程，提升药品的市场竞争力。此外，阳光诺和的业务生态也有助于优化资源配置，提高研发效率，降低研发成本，为医药创新提供了可持续发展的范例。</w:t>
            </w:r>
          </w:p>
          <w:p w14:paraId="5C9B02BB">
            <w:pPr>
              <w:numPr>
                <w:ilvl w:val="-1"/>
                <w:numId w:val="0"/>
              </w:numPr>
              <w:spacing w:before="156" w:beforeLines="50" w:line="360" w:lineRule="auto"/>
              <w:ind w:firstLine="480" w:firstLineChars="200"/>
              <w:rPr>
                <w:rFonts w:hint="eastAsia"/>
                <w:b w:val="0"/>
                <w:bCs/>
                <w:sz w:val="24"/>
              </w:rPr>
            </w:pPr>
            <w:r>
              <w:rPr>
                <w:rFonts w:hint="eastAsia"/>
                <w:b w:val="0"/>
                <w:bCs/>
                <w:sz w:val="24"/>
              </w:rPr>
              <w:t>阳光诺和的创新研发综合体模式实现了从药物发现到产业化的全链条覆盖，当前在研产品涵盖自免、疼痛管理、心内、中枢神经、肿瘤、代谢、呼吸等众多领域，综合展现出强大的研发实力与市场潜力。这种模式在为公司发展奠定坚实基础的同时，也有望为整个医药行业的创新升级提供有力支撑，从而进一步助力推动中国医药研发向更高水平迈进。</w:t>
            </w:r>
          </w:p>
          <w:p w14:paraId="1630CA43">
            <w:pPr>
              <w:numPr>
                <w:ilvl w:val="0"/>
                <w:numId w:val="3"/>
              </w:numPr>
              <w:spacing w:before="156" w:beforeLines="50" w:line="360" w:lineRule="auto"/>
              <w:ind w:firstLine="482" w:firstLineChars="200"/>
              <w:rPr>
                <w:rFonts w:hint="eastAsia"/>
                <w:b/>
                <w:sz w:val="24"/>
                <w:highlight w:val="none"/>
              </w:rPr>
            </w:pPr>
            <w:r>
              <w:rPr>
                <w:rFonts w:hint="eastAsia"/>
                <w:b/>
                <w:sz w:val="24"/>
                <w:highlight w:val="none"/>
                <w:lang w:val="en-US" w:eastAsia="zh-CN"/>
              </w:rPr>
              <w:t>介绍一下公司与华为的合作情况？</w:t>
            </w:r>
          </w:p>
          <w:p w14:paraId="78802852">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eastAsia"/>
                <w:bCs/>
                <w:sz w:val="24"/>
              </w:rPr>
            </w:pPr>
            <w:r>
              <w:rPr>
                <w:rFonts w:hint="eastAsia"/>
                <w:bCs/>
                <w:sz w:val="24"/>
              </w:rPr>
              <w:t>公司前期已建立了基于计算机辅助药物分子设计（CADD）技术的iCVETide</w:t>
            </w:r>
            <w:r>
              <w:rPr>
                <w:rFonts w:hint="eastAsia"/>
                <w:bCs/>
                <w:sz w:val="24"/>
                <w:vertAlign w:val="superscript"/>
              </w:rPr>
              <w:t>TM</w:t>
            </w:r>
            <w:r>
              <w:rPr>
                <w:rFonts w:hint="eastAsia"/>
                <w:bCs/>
                <w:sz w:val="24"/>
              </w:rPr>
              <w:t>多肽新药发现平台，专注深入挖掘多肽及类肽创新药，掌握了多肽偶联药物（PDC）的靶向多肽序列、连接子类别以及连接位点等关键技术，实现较高难度的多肽类分子与靶蛋白模拟对接和虚拟筛选的大规模化合物库，并开展多肽分子与靶蛋白的精确动力学模拟，成功推进了数条创新药管线进入临床研究。</w:t>
            </w:r>
          </w:p>
          <w:p w14:paraId="6D1B7D7A">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default" w:eastAsia="宋体"/>
                <w:bCs/>
                <w:sz w:val="24"/>
                <w:lang w:val="en-US" w:eastAsia="zh-CN"/>
              </w:rPr>
            </w:pPr>
            <w:r>
              <w:rPr>
                <w:rFonts w:hint="eastAsia"/>
                <w:bCs/>
                <w:sz w:val="24"/>
              </w:rPr>
              <w:t>公司通过此次战略合作，进一步整合iCVETide</w:t>
            </w:r>
            <w:r>
              <w:rPr>
                <w:rFonts w:hint="eastAsia"/>
                <w:bCs/>
                <w:sz w:val="24"/>
                <w:vertAlign w:val="superscript"/>
              </w:rPr>
              <w:t>TM</w:t>
            </w:r>
            <w:r>
              <w:rPr>
                <w:rFonts w:hint="eastAsia"/>
                <w:bCs/>
                <w:sz w:val="24"/>
              </w:rPr>
              <w:t>在分子发现与优化方面的能力，将AIDD与CADD药物发现及开发技术深度融合，加速公司的数字化转型进程，实现公司智能化研发体系的全面升级。双方将以华为盘古大模型为坚实的技术基石，携手探索大模型技术在多肽创新药研发领域的全新应用高度，并致力于构建多肽领域的大模型生态体系。本次合作将为公司未来业务发展注入强大动力，使公司具备全方位服务于医药行业创新药研发的能力，形成具有竞争力的新质生产力，与公司整体发展战略规划契合。</w:t>
            </w:r>
          </w:p>
          <w:p w14:paraId="5A33E457">
            <w:pPr>
              <w:numPr>
                <w:ilvl w:val="0"/>
                <w:numId w:val="3"/>
              </w:numPr>
              <w:spacing w:before="156" w:beforeLines="50" w:line="360" w:lineRule="auto"/>
              <w:ind w:firstLine="482" w:firstLineChars="200"/>
              <w:rPr>
                <w:rFonts w:hint="eastAsia"/>
                <w:b/>
                <w:sz w:val="24"/>
                <w:highlight w:val="none"/>
                <w:lang w:val="en-US" w:eastAsia="zh-CN"/>
              </w:rPr>
            </w:pPr>
            <w:r>
              <w:rPr>
                <w:rFonts w:hint="eastAsia"/>
                <w:b/>
                <w:sz w:val="24"/>
                <w:highlight w:val="none"/>
                <w:lang w:val="en-US" w:eastAsia="zh-CN"/>
              </w:rPr>
              <w:t xml:space="preserve">近几年看到公司在创新转型、业务拓展方面做了很多工作，比如多肽创新药已经有不错的成果，比如本次公告拟收购朗研生命，可以请公司从整体布局的角度总结一下公司目前的战略规划以及未来展望吗？ </w:t>
            </w:r>
          </w:p>
          <w:p w14:paraId="56D2DA80">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eastAsia"/>
                <w:b w:val="0"/>
                <w:bCs/>
                <w:sz w:val="24"/>
                <w:highlight w:val="none"/>
                <w:lang w:val="en-US" w:eastAsia="zh-CN"/>
              </w:rPr>
            </w:pPr>
            <w:r>
              <w:rPr>
                <w:rFonts w:hint="eastAsia"/>
                <w:b w:val="0"/>
                <w:bCs/>
                <w:sz w:val="24"/>
                <w:highlight w:val="none"/>
                <w:lang w:val="en-US" w:eastAsia="zh-CN"/>
              </w:rPr>
              <w:t>通过分析目前国内医药行业所处发展阶段，我们认为 “创新”能够创造更大的发展空间。无论在 CRO 服务方 面，还是在自主研发方面，公司近几年都在做创新转型和努力，目前来看已经有所成效。</w:t>
            </w:r>
          </w:p>
          <w:p w14:paraId="35573A08">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eastAsia"/>
                <w:b w:val="0"/>
                <w:bCs/>
                <w:sz w:val="24"/>
                <w:highlight w:val="none"/>
                <w:lang w:val="en-US" w:eastAsia="zh-CN"/>
              </w:rPr>
            </w:pPr>
            <w:r>
              <w:rPr>
                <w:rFonts w:hint="eastAsia"/>
                <w:b w:val="0"/>
                <w:bCs/>
                <w:sz w:val="24"/>
                <w:highlight w:val="none"/>
                <w:lang w:val="en-US" w:eastAsia="zh-CN"/>
              </w:rPr>
              <w:t>首先在 CRO 服务方面，公司专注于临床前及临床一体化研发服务，在复杂制剂等高端仿制药和改良型新药领域具备技术优势，同时在临床及生物分析板块，创新药临床服务的占比逐年提升，涵盖的分子领域也从传统小分子向新兴领域拓展，例如小分子靶向抑制剂、多肽类、ADC、PDC 等。其次在自主研发方面，公司自主立项了400多项产品储备，在创新药研发方面在研产品主要应用在镇痛、肾病与透析、肿瘤辅助、心脑血管、抗菌用药等适应症领域，并有多个创新药在研项目在国内无相同产品上市，竞争格局良好，极具市场价值。后续随着这些药品上市，将为公司拓展更多临床应用场景提供可能性。例如在多肽领域，公司目前已有3个适应症管线进入临床，其中“STC007 注射液”目前具有手术镇痛和尿毒症瘙痒两个适应症都已进入二期临床试验阶段，“STC008 注射液”也已进入一期临床试验阶段，其主要适应症为治疗晚期实体瘤相关的肿瘤恶液质，其他管线在临床前研究不同阶段，进展顺利。</w:t>
            </w:r>
          </w:p>
          <w:p w14:paraId="41B222FD">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rPr>
                <w:rFonts w:hint="default" w:eastAsia="宋体"/>
                <w:b w:val="0"/>
                <w:bCs/>
                <w:sz w:val="24"/>
                <w:lang w:val="en-US" w:eastAsia="zh-CN"/>
              </w:rPr>
            </w:pPr>
            <w:r>
              <w:rPr>
                <w:rFonts w:hint="eastAsia"/>
                <w:b w:val="0"/>
                <w:bCs/>
                <w:sz w:val="24"/>
                <w:highlight w:val="none"/>
                <w:lang w:val="en-US" w:eastAsia="zh-CN"/>
              </w:rPr>
              <w:t>此次拟收购朗研也是出于加强公司“研发服务+管线培育+新质产业链”三位一体的创新研发综合体建设，助力加速阳光诺和向创新药领域转型和创新产品生产落地。</w:t>
            </w:r>
          </w:p>
          <w:p w14:paraId="37707B2E">
            <w:pPr>
              <w:keepNext w:val="0"/>
              <w:keepLines w:val="0"/>
              <w:pageBreakBefore w:val="0"/>
              <w:widowControl w:val="0"/>
              <w:numPr>
                <w:ilvl w:val="0"/>
                <w:numId w:val="3"/>
              </w:numPr>
              <w:kinsoku/>
              <w:wordWrap/>
              <w:overflowPunct/>
              <w:topLinePunct w:val="0"/>
              <w:autoSpaceDE/>
              <w:autoSpaceDN/>
              <w:bidi w:val="0"/>
              <w:adjustRightInd/>
              <w:snapToGrid/>
              <w:spacing w:before="156" w:beforeLines="50" w:line="360" w:lineRule="auto"/>
              <w:ind w:left="0" w:leftChars="0" w:firstLine="482" w:firstLineChars="200"/>
              <w:textAlignment w:val="auto"/>
              <w:rPr>
                <w:rFonts w:hint="eastAsia"/>
                <w:b/>
                <w:sz w:val="24"/>
                <w:highlight w:val="none"/>
                <w:lang w:val="en-US" w:eastAsia="zh-CN"/>
              </w:rPr>
            </w:pPr>
            <w:r>
              <w:rPr>
                <w:rFonts w:hint="eastAsia"/>
                <w:b/>
                <w:sz w:val="24"/>
                <w:highlight w:val="none"/>
                <w:lang w:val="en-US" w:eastAsia="zh-CN"/>
              </w:rPr>
              <w:t>公司在药物研发服务领域深耕多年，立足当下，一方面行业经历了一些变化，另一方面公司也提出要创新转型以及做有自主知识产权的产品，那么未来怎么去融合传统药物研发服务业务与创新战略，对CRO业务定位会发生什么变化？</w:t>
            </w:r>
          </w:p>
          <w:p w14:paraId="142284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b w:val="0"/>
                <w:bCs/>
                <w:sz w:val="24"/>
                <w:highlight w:val="none"/>
                <w:lang w:val="en-US" w:eastAsia="zh-CN"/>
              </w:rPr>
            </w:pPr>
            <w:r>
              <w:rPr>
                <w:rFonts w:hint="default"/>
                <w:b w:val="0"/>
                <w:bCs/>
                <w:sz w:val="24"/>
                <w:highlight w:val="none"/>
                <w:lang w:val="en-US" w:eastAsia="zh-CN"/>
              </w:rPr>
              <w:t>受集采政策及市场竞争加剧等因素影响，国内生物医药行业整体研发需求出现了 一定波动。然而，公司凭借“临床前+临床”一体化服务模式，依托丰富的项目经验及完善的质量管理体系，为客户提供全方位、一站式解决方案，有效满足客户多样化需求。凭借该模式，公司成功赢得客户高度认可，推动市场订单稳定增长。</w:t>
            </w:r>
          </w:p>
          <w:p w14:paraId="7BC46C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b w:val="0"/>
                <w:bCs/>
                <w:sz w:val="24"/>
                <w:highlight w:val="none"/>
                <w:lang w:val="en-US" w:eastAsia="zh-CN"/>
              </w:rPr>
            </w:pPr>
            <w:r>
              <w:rPr>
                <w:rFonts w:hint="default"/>
                <w:b w:val="0"/>
                <w:bCs/>
                <w:sz w:val="24"/>
                <w:highlight w:val="none"/>
                <w:lang w:val="en-US" w:eastAsia="zh-CN"/>
              </w:rPr>
              <w:t>同时，我们关注到国内药企客户的开发服务需求也在发生变化：我们会基于客户的特点做客户画像的分析，随着集采和行业变化的影响，各类客户也会根据本身的营收和利润情况，由单纯的仿制药布局转型到布局更多2类、3类产品甚至1类创新药上，2 类、3 类产品相对来说成药性更高、整个临床的投入也相对可控、周期比创新药来说相对短一些，客户在研发投入上更加积极。另一方面，公司积极主动开展与各类型药企的合作，共同进行产品研发。</w:t>
            </w:r>
          </w:p>
          <w:p w14:paraId="303910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b w:val="0"/>
                <w:bCs/>
                <w:sz w:val="24"/>
                <w:highlight w:val="none"/>
                <w:lang w:val="en-US" w:eastAsia="zh-CN"/>
              </w:rPr>
            </w:pPr>
            <w:r>
              <w:rPr>
                <w:rFonts w:hint="default"/>
                <w:b w:val="0"/>
                <w:bCs/>
                <w:sz w:val="24"/>
                <w:highlight w:val="none"/>
                <w:lang w:val="en-US" w:eastAsia="zh-CN"/>
              </w:rPr>
              <w:t>因此，未来公司在推进自主研发产品的同时，仍将继续深耕传统药物研发领域，但在服务和合作的选择上，将更加积极地探索多元化的发展模式，在品种和领域的选择上，也将更加侧重于新兴的、创新的方向。所以公司的CRO业务和创新战略是不矛盾的，而是相辅相成的。</w:t>
            </w:r>
          </w:p>
          <w:p w14:paraId="395F86E2">
            <w:pPr>
              <w:keepNext w:val="0"/>
              <w:keepLines w:val="0"/>
              <w:pageBreakBefore w:val="0"/>
              <w:widowControl w:val="0"/>
              <w:numPr>
                <w:ilvl w:val="0"/>
                <w:numId w:val="3"/>
              </w:numPr>
              <w:kinsoku/>
              <w:wordWrap/>
              <w:overflowPunct/>
              <w:topLinePunct w:val="0"/>
              <w:autoSpaceDE/>
              <w:autoSpaceDN/>
              <w:bidi w:val="0"/>
              <w:adjustRightInd/>
              <w:snapToGrid/>
              <w:spacing w:before="156" w:beforeLines="50" w:line="360" w:lineRule="auto"/>
              <w:ind w:left="0" w:leftChars="0" w:firstLine="482" w:firstLineChars="200"/>
              <w:textAlignment w:val="auto"/>
              <w:rPr>
                <w:rFonts w:hint="default"/>
                <w:b w:val="0"/>
                <w:bCs/>
                <w:sz w:val="24"/>
                <w:highlight w:val="none"/>
                <w:lang w:val="en-US" w:eastAsia="zh-CN"/>
              </w:rPr>
            </w:pPr>
            <w:r>
              <w:rPr>
                <w:rFonts w:hint="default"/>
                <w:b/>
                <w:sz w:val="24"/>
                <w:highlight w:val="none"/>
                <w:lang w:val="en-US" w:eastAsia="zh-CN"/>
              </w:rPr>
              <w:t>在多肽创新药方面，STC007目前的研发进度如何？STC008的研发进度如何？</w:t>
            </w:r>
          </w:p>
          <w:p w14:paraId="4990CC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在多肽创新药领域，公司自主研发的 STC007 项目以 kappa 阿片受体（KOR）为靶点，主要用于治疗术后疼痛及成人慢性肾脏疾病相关的中至重度瘙痒。该项目针对术后疼痛以及成人慢性肾脏疾病引起的中度至重度瘙痒的2期临床试验正在开展；此外，公司自主研发的STC008项目为生长激素促分泌素受体（GHSR）激动剂，通过激活GHSR受体介导胃肠动力，实现增加体重的效果，主要用于治疗晚期实体瘤患者的肿瘤恶液质，该项目处于1期临床试验阶段。</w:t>
            </w:r>
          </w:p>
          <w:p w14:paraId="034BCAD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b/>
                <w:sz w:val="24"/>
                <w:highlight w:val="none"/>
                <w:lang w:val="en-US" w:eastAsia="zh-CN"/>
              </w:rPr>
            </w:pPr>
            <w:r>
              <w:rPr>
                <w:rFonts w:hint="default"/>
                <w:b/>
                <w:sz w:val="24"/>
                <w:highlight w:val="none"/>
                <w:lang w:val="en-US" w:eastAsia="zh-CN"/>
              </w:rPr>
              <w:t>AI 技术创新</w:t>
            </w:r>
            <w:r>
              <w:rPr>
                <w:rFonts w:hint="eastAsia"/>
                <w:b/>
                <w:sz w:val="24"/>
                <w:highlight w:val="none"/>
                <w:lang w:val="en-US" w:eastAsia="zh-CN"/>
              </w:rPr>
              <w:t>对公司多肽药物研发的助益主要会体现在什么方面</w:t>
            </w:r>
            <w:r>
              <w:rPr>
                <w:rFonts w:hint="default"/>
                <w:b/>
                <w:sz w:val="24"/>
                <w:highlight w:val="none"/>
                <w:lang w:val="en-US" w:eastAsia="zh-CN"/>
              </w:rPr>
              <w:t>？</w:t>
            </w:r>
          </w:p>
          <w:p w14:paraId="25F39C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b w:val="0"/>
                <w:bCs/>
                <w:sz w:val="24"/>
                <w:highlight w:val="none"/>
                <w:lang w:val="en-US" w:eastAsia="zh-CN"/>
              </w:rPr>
            </w:pPr>
            <w:r>
              <w:rPr>
                <w:rFonts w:hint="default"/>
                <w:b w:val="0"/>
                <w:bCs/>
                <w:sz w:val="24"/>
                <w:highlight w:val="none"/>
                <w:lang w:val="en-US" w:eastAsia="zh-CN"/>
              </w:rPr>
              <w:t>公司建立了 iCVETide多肽新药发现技术平台，专注深入挖掘类肽创新药，掌握多肽偶联 PDC 药物的靶向多肽 序列、连接子类别以及连接位点等关键技术，实现较高难度的多肽类分子与靶蛋白模拟对接的计算机辅助药物分子设计 CADD 与大规模化合物库的计算机虚拟筛选，并开展多肽分子与靶蛋白的精确动力学模拟和分子对接实验。</w:t>
            </w:r>
          </w:p>
          <w:p w14:paraId="7E0019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b w:val="0"/>
                <w:bCs/>
                <w:sz w:val="24"/>
                <w:highlight w:val="none"/>
                <w:lang w:val="en-US" w:eastAsia="zh-CN"/>
              </w:rPr>
            </w:pPr>
            <w:r>
              <w:rPr>
                <w:rFonts w:hint="default"/>
                <w:b w:val="0"/>
                <w:bCs/>
                <w:sz w:val="24"/>
                <w:highlight w:val="none"/>
                <w:lang w:val="en-US" w:eastAsia="zh-CN"/>
              </w:rPr>
              <w:t>在推进创新药物研发进程中，公司积极寻求技术突破，与华为云达成深度战略合作，联合打造基于盘古大模型的 AI 多肽分子发现平台,这一举措标志着公司智能化研发体系迎来全面革新。通过深度融合人工智能辅助药物发现（AIDD）技术，充分发挥 iCVETide</w:t>
            </w:r>
            <w:r>
              <w:rPr>
                <w:rFonts w:hint="default"/>
                <w:b w:val="0"/>
                <w:bCs/>
                <w:sz w:val="24"/>
                <w:highlight w:val="none"/>
                <w:vertAlign w:val="superscript"/>
                <w:lang w:val="en-US" w:eastAsia="zh-CN"/>
              </w:rPr>
              <w:t>TM</w:t>
            </w:r>
            <w:r>
              <w:rPr>
                <w:rFonts w:hint="default"/>
                <w:b w:val="0"/>
                <w:bCs/>
                <w:sz w:val="24"/>
                <w:highlight w:val="none"/>
                <w:lang w:val="en-US" w:eastAsia="zh-CN"/>
              </w:rPr>
              <w:t>在分子发现及优化领域的核心优势，搭建起涵盖亲和力模型、条件生成模型、力场模型等在内的智能模型体系，该体系依托庞大的多肽类肽数据库，能够显著增强分子发现与优化效能，为多肽药物设计筑牢精准理论根基，有效推动创新药物研发进程，加快多肽创新药物的研发应用步伐。</w:t>
            </w:r>
          </w:p>
          <w:p w14:paraId="0DAC9A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b w:val="0"/>
                <w:bCs/>
                <w:sz w:val="24"/>
                <w:highlight w:val="none"/>
                <w:lang w:val="en-US" w:eastAsia="zh-CN"/>
              </w:rPr>
            </w:pPr>
            <w:r>
              <w:rPr>
                <w:rFonts w:hint="default"/>
                <w:b w:val="0"/>
                <w:bCs/>
                <w:sz w:val="24"/>
                <w:highlight w:val="none"/>
                <w:lang w:val="en-US" w:eastAsia="zh-CN"/>
              </w:rPr>
              <w:t>具体而言，公司通过整合内部丰富的管线数据资源与外部公开科研数据，搭建起大规模药物管线数据库。同时，携手专业 AI 技术企业，运用深度学习算法开发 AI 药物研发平台。该平台具备强大的全流程药物研发支持能力：在靶点筛选环节，可深度剖析海量生物数据，精准定位潜在药物靶点结合位点；在分子设计阶段，能够快速生成并优化药物分子结构；分子筛选过程中，借助多种 AI 模型预测分子成药性关键指标，以虚拟筛选方式大幅缩短先导分子发现周期；在临床试验模拟方面，利用大数据技术模拟不同人群的药物反应，从而实现研发周期的显著缩短与研发成本的有效降低。</w:t>
            </w:r>
          </w:p>
          <w:p w14:paraId="5B2929F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b/>
                <w:sz w:val="24"/>
                <w:highlight w:val="none"/>
                <w:lang w:val="en-US" w:eastAsia="zh-CN"/>
              </w:rPr>
            </w:pPr>
            <w:r>
              <w:rPr>
                <w:rFonts w:hint="eastAsia"/>
                <w:b/>
                <w:sz w:val="24"/>
                <w:highlight w:val="none"/>
                <w:lang w:val="en-US" w:eastAsia="zh-CN"/>
              </w:rPr>
              <w:t>本次拟收购朗研生命是基于什么样的战略布局和考虑，若收购完成后，朗研生命在公司整体中的定位如何？</w:t>
            </w:r>
          </w:p>
          <w:p w14:paraId="5F27B1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b w:val="0"/>
                <w:bCs/>
                <w:sz w:val="24"/>
                <w:highlight w:val="none"/>
                <w:lang w:val="en-US" w:eastAsia="zh-CN"/>
              </w:rPr>
            </w:pPr>
            <w:r>
              <w:rPr>
                <w:rFonts w:hint="default"/>
                <w:b w:val="0"/>
                <w:bCs/>
                <w:sz w:val="24"/>
                <w:highlight w:val="none"/>
                <w:lang w:val="en-US" w:eastAsia="zh-CN"/>
              </w:rPr>
              <w:t>本次拟收购朗研生命是完全基于公司整体战略布局需要的考虑。一方面，公司能够实现自主研发产品的孵化和实施，充分发挥阳光诺和的研发优势和朗研生命的生产销售优势，促进阳光诺和研发品种落地以及朗研生命高端产能释放，形成公司新的盈利增长点。另一方面，公司将增加医药工业板块业务，未来，医药工业板块将成为公司主营业务的重要组成部分，进一步提高上市公司盈利能力及抗风险能力，促进上市公司的可持续发展。</w:t>
            </w:r>
          </w:p>
          <w:p w14:paraId="64EDC7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b w:val="0"/>
                <w:bCs/>
                <w:sz w:val="24"/>
                <w:highlight w:val="none"/>
                <w:lang w:val="en-US" w:eastAsia="zh-CN"/>
              </w:rPr>
            </w:pPr>
            <w:r>
              <w:rPr>
                <w:rFonts w:hint="default"/>
                <w:b w:val="0"/>
                <w:bCs/>
                <w:sz w:val="24"/>
                <w:highlight w:val="none"/>
                <w:lang w:val="en-US" w:eastAsia="zh-CN"/>
              </w:rPr>
              <w:t>若朗研生命加入阳光诺和后，将融入阳光诺和的创新范式，作为促进整体自主研发产品加快落地的助力。阳光诺和将作为“创新研发综合体”来整合创新资源(创新发现、CMC、检测、临床等)，朗研生命作为生产以及价值兑现平台可以与这一综合体形成完整的产业链。</w:t>
            </w:r>
          </w:p>
        </w:tc>
      </w:tr>
      <w:tr w14:paraId="4A63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93" w:type="dxa"/>
            <w:vAlign w:val="center"/>
          </w:tcPr>
          <w:p w14:paraId="49E359F1">
            <w:pPr>
              <w:spacing w:line="360" w:lineRule="auto"/>
              <w:jc w:val="left"/>
              <w:rPr>
                <w:rFonts w:hint="eastAsia" w:ascii="宋体" w:hAnsi="宋体"/>
                <w:b/>
                <w:bCs/>
                <w:iCs/>
                <w:sz w:val="24"/>
                <w:szCs w:val="24"/>
              </w:rPr>
            </w:pPr>
            <w:r>
              <w:rPr>
                <w:rFonts w:hint="eastAsia" w:ascii="宋体" w:hAnsi="宋体"/>
                <w:b/>
                <w:bCs/>
                <w:iCs/>
                <w:sz w:val="24"/>
                <w:szCs w:val="24"/>
              </w:rPr>
              <w:t>附件清单（如有）</w:t>
            </w:r>
          </w:p>
        </w:tc>
        <w:tc>
          <w:tcPr>
            <w:tcW w:w="6203" w:type="dxa"/>
          </w:tcPr>
          <w:p w14:paraId="41A52917">
            <w:pPr>
              <w:spacing w:line="360" w:lineRule="auto"/>
              <w:rPr>
                <w:rFonts w:hint="eastAsia" w:ascii="宋体" w:hAnsi="宋体" w:cs="宋体"/>
                <w:sz w:val="24"/>
                <w:szCs w:val="24"/>
              </w:rPr>
            </w:pPr>
            <w:r>
              <w:rPr>
                <w:rFonts w:hint="eastAsia" w:ascii="宋体" w:hAnsi="宋体"/>
                <w:bCs/>
                <w:iCs/>
                <w:sz w:val="24"/>
                <w:szCs w:val="24"/>
              </w:rPr>
              <w:t>无</w:t>
            </w:r>
          </w:p>
        </w:tc>
      </w:tr>
      <w:tr w14:paraId="5D6C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17A6FD2">
            <w:pPr>
              <w:spacing w:line="360" w:lineRule="auto"/>
              <w:jc w:val="left"/>
              <w:rPr>
                <w:rFonts w:hint="eastAsia" w:ascii="宋体" w:hAnsi="宋体"/>
                <w:b/>
                <w:bCs/>
                <w:iCs/>
                <w:sz w:val="24"/>
                <w:szCs w:val="24"/>
              </w:rPr>
            </w:pPr>
            <w:r>
              <w:rPr>
                <w:rFonts w:hint="eastAsia" w:ascii="宋体" w:hAnsi="宋体"/>
                <w:b/>
                <w:bCs/>
                <w:iCs/>
                <w:sz w:val="24"/>
                <w:szCs w:val="24"/>
              </w:rPr>
              <w:t>日期</w:t>
            </w:r>
          </w:p>
        </w:tc>
        <w:tc>
          <w:tcPr>
            <w:tcW w:w="6203" w:type="dxa"/>
          </w:tcPr>
          <w:p w14:paraId="1087953D">
            <w:pPr>
              <w:spacing w:line="360" w:lineRule="auto"/>
              <w:rPr>
                <w:rFonts w:hint="eastAsia" w:ascii="宋体" w:hAnsi="宋体"/>
                <w:bCs/>
                <w:iCs/>
                <w:sz w:val="24"/>
                <w:szCs w:val="24"/>
              </w:rPr>
            </w:pPr>
            <w:r>
              <w:rPr>
                <w:rFonts w:hint="default" w:ascii="Times New Roman" w:hAnsi="Times New Roman"/>
                <w:bCs/>
                <w:iCs/>
                <w:sz w:val="24"/>
                <w:szCs w:val="24"/>
              </w:rPr>
              <w:t>20</w:t>
            </w:r>
            <w:r>
              <w:rPr>
                <w:rFonts w:ascii="Times New Roman" w:hAnsi="Times New Roman"/>
                <w:bCs/>
                <w:iCs/>
                <w:sz w:val="24"/>
                <w:szCs w:val="24"/>
              </w:rPr>
              <w:t>2</w:t>
            </w:r>
            <w:r>
              <w:rPr>
                <w:rFonts w:hint="eastAsia"/>
                <w:bCs/>
                <w:iCs/>
                <w:sz w:val="24"/>
                <w:szCs w:val="24"/>
                <w:lang w:val="en-US" w:eastAsia="zh-CN"/>
              </w:rPr>
              <w:t>5</w:t>
            </w:r>
            <w:r>
              <w:rPr>
                <w:rFonts w:hint="default" w:ascii="Times New Roman" w:hAnsi="Times New Roman"/>
                <w:bCs/>
                <w:iCs/>
                <w:sz w:val="24"/>
                <w:szCs w:val="24"/>
              </w:rPr>
              <w:t>年</w:t>
            </w:r>
            <w:r>
              <w:rPr>
                <w:rFonts w:hint="eastAsia"/>
                <w:bCs/>
                <w:iCs/>
                <w:sz w:val="24"/>
                <w:szCs w:val="24"/>
                <w:lang w:val="en-US" w:eastAsia="zh-CN"/>
              </w:rPr>
              <w:t>5</w:t>
            </w:r>
            <w:r>
              <w:rPr>
                <w:rFonts w:hint="default" w:ascii="Times New Roman" w:hAnsi="Times New Roman"/>
                <w:bCs/>
                <w:iCs/>
                <w:sz w:val="24"/>
                <w:szCs w:val="24"/>
              </w:rPr>
              <w:t>月</w:t>
            </w:r>
            <w:r>
              <w:rPr>
                <w:rFonts w:hint="eastAsia"/>
                <w:bCs/>
                <w:iCs/>
                <w:sz w:val="24"/>
                <w:szCs w:val="24"/>
                <w:lang w:val="en-US" w:eastAsia="zh-CN"/>
              </w:rPr>
              <w:t>13</w:t>
            </w:r>
            <w:r>
              <w:rPr>
                <w:rFonts w:hint="default" w:ascii="Times New Roman" w:hAnsi="Times New Roman"/>
                <w:bCs/>
                <w:iCs/>
                <w:sz w:val="24"/>
                <w:szCs w:val="24"/>
              </w:rPr>
              <w:t>日</w:t>
            </w:r>
          </w:p>
        </w:tc>
      </w:tr>
    </w:tbl>
    <w:p w14:paraId="3B62B9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6A866"/>
    <w:multiLevelType w:val="singleLevel"/>
    <w:tmpl w:val="B956A866"/>
    <w:lvl w:ilvl="0" w:tentative="0">
      <w:start w:val="4"/>
      <w:numFmt w:val="decimal"/>
      <w:lvlText w:val="%1."/>
      <w:lvlJc w:val="left"/>
      <w:pPr>
        <w:tabs>
          <w:tab w:val="left" w:pos="312"/>
        </w:tabs>
      </w:pPr>
      <w:rPr>
        <w:rFonts w:hint="default"/>
        <w:b/>
        <w:bCs/>
      </w:rPr>
    </w:lvl>
  </w:abstractNum>
  <w:abstractNum w:abstractNumId="1">
    <w:nsid w:val="DC9D47E6"/>
    <w:multiLevelType w:val="singleLevel"/>
    <w:tmpl w:val="DC9D47E6"/>
    <w:lvl w:ilvl="0" w:tentative="0">
      <w:start w:val="3"/>
      <w:numFmt w:val="decimal"/>
      <w:lvlText w:val="%1."/>
      <w:lvlJc w:val="left"/>
      <w:pPr>
        <w:tabs>
          <w:tab w:val="left" w:pos="312"/>
        </w:tabs>
      </w:pPr>
    </w:lvl>
  </w:abstractNum>
  <w:abstractNum w:abstractNumId="2">
    <w:nsid w:val="FFFD3353"/>
    <w:multiLevelType w:val="singleLevel"/>
    <w:tmpl w:val="FFFD3353"/>
    <w:lvl w:ilvl="0" w:tentative="0">
      <w:start w:val="1"/>
      <w:numFmt w:val="decimal"/>
      <w:lvlText w:val="%1."/>
      <w:lvlJc w:val="left"/>
      <w:pPr>
        <w:tabs>
          <w:tab w:val="left" w:pos="425"/>
        </w:tabs>
        <w:ind w:left="425" w:leftChars="0" w:firstLine="1" w:firstLineChars="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2MTRlOTE5NzU3Y2FhZmJjMTA4ODAwNjMyZWVhZDcifQ=="/>
  </w:docVars>
  <w:rsids>
    <w:rsidRoot w:val="52FF551A"/>
    <w:rsid w:val="007C7638"/>
    <w:rsid w:val="00A06CDD"/>
    <w:rsid w:val="00BB2E0E"/>
    <w:rsid w:val="00BF064F"/>
    <w:rsid w:val="00E31C19"/>
    <w:rsid w:val="01AC06BF"/>
    <w:rsid w:val="01CC4519"/>
    <w:rsid w:val="02290130"/>
    <w:rsid w:val="0244511A"/>
    <w:rsid w:val="025F5A5E"/>
    <w:rsid w:val="026811C2"/>
    <w:rsid w:val="029D08DD"/>
    <w:rsid w:val="02BD318C"/>
    <w:rsid w:val="02DB7D7F"/>
    <w:rsid w:val="039A53E7"/>
    <w:rsid w:val="03D87218"/>
    <w:rsid w:val="042E4E66"/>
    <w:rsid w:val="051E3483"/>
    <w:rsid w:val="05537D54"/>
    <w:rsid w:val="05A32FB5"/>
    <w:rsid w:val="05BF4B6E"/>
    <w:rsid w:val="05F444DC"/>
    <w:rsid w:val="077953F5"/>
    <w:rsid w:val="07A52A97"/>
    <w:rsid w:val="08446DEB"/>
    <w:rsid w:val="09FE6266"/>
    <w:rsid w:val="0A414CDC"/>
    <w:rsid w:val="0A6D3DFC"/>
    <w:rsid w:val="0B5E16A9"/>
    <w:rsid w:val="0C1F7BAB"/>
    <w:rsid w:val="0C612D69"/>
    <w:rsid w:val="0CC92960"/>
    <w:rsid w:val="0D174ABA"/>
    <w:rsid w:val="0DBE3551"/>
    <w:rsid w:val="0DCC4700"/>
    <w:rsid w:val="0E086001"/>
    <w:rsid w:val="0EB77202"/>
    <w:rsid w:val="0F824FAF"/>
    <w:rsid w:val="0FE77118"/>
    <w:rsid w:val="11866453"/>
    <w:rsid w:val="11FF5668"/>
    <w:rsid w:val="122E5DAC"/>
    <w:rsid w:val="12527029"/>
    <w:rsid w:val="12B62932"/>
    <w:rsid w:val="12DB5893"/>
    <w:rsid w:val="134A000D"/>
    <w:rsid w:val="13CF5910"/>
    <w:rsid w:val="144F54F1"/>
    <w:rsid w:val="14EC5248"/>
    <w:rsid w:val="14ED4281"/>
    <w:rsid w:val="15930D03"/>
    <w:rsid w:val="15AA2CEE"/>
    <w:rsid w:val="15B14D16"/>
    <w:rsid w:val="16761466"/>
    <w:rsid w:val="16DA51E9"/>
    <w:rsid w:val="17345A11"/>
    <w:rsid w:val="17FB3086"/>
    <w:rsid w:val="1839393F"/>
    <w:rsid w:val="190E77ED"/>
    <w:rsid w:val="1A0F1E47"/>
    <w:rsid w:val="1A2C70A7"/>
    <w:rsid w:val="1A547590"/>
    <w:rsid w:val="1B2D550F"/>
    <w:rsid w:val="1B805E6A"/>
    <w:rsid w:val="1C51DC73"/>
    <w:rsid w:val="1C524E00"/>
    <w:rsid w:val="1D0C17E5"/>
    <w:rsid w:val="1D74016F"/>
    <w:rsid w:val="1E121C15"/>
    <w:rsid w:val="1EBC241A"/>
    <w:rsid w:val="1F792F8D"/>
    <w:rsid w:val="1F983F69"/>
    <w:rsid w:val="1FAE3E0B"/>
    <w:rsid w:val="20BE1BE1"/>
    <w:rsid w:val="210274BB"/>
    <w:rsid w:val="216347EC"/>
    <w:rsid w:val="22A01C5E"/>
    <w:rsid w:val="22F83CD2"/>
    <w:rsid w:val="2362320E"/>
    <w:rsid w:val="23910C76"/>
    <w:rsid w:val="23D01B44"/>
    <w:rsid w:val="23D06D2E"/>
    <w:rsid w:val="23EB5621"/>
    <w:rsid w:val="241427AF"/>
    <w:rsid w:val="249D14E3"/>
    <w:rsid w:val="24BB0950"/>
    <w:rsid w:val="256D51A0"/>
    <w:rsid w:val="25821C24"/>
    <w:rsid w:val="26A5400D"/>
    <w:rsid w:val="26D51ECB"/>
    <w:rsid w:val="271625E5"/>
    <w:rsid w:val="273725B6"/>
    <w:rsid w:val="27452AA5"/>
    <w:rsid w:val="29093405"/>
    <w:rsid w:val="29706363"/>
    <w:rsid w:val="29DE4401"/>
    <w:rsid w:val="2AC65169"/>
    <w:rsid w:val="2AD401BA"/>
    <w:rsid w:val="2B061EFA"/>
    <w:rsid w:val="2B9F7FE4"/>
    <w:rsid w:val="2C535356"/>
    <w:rsid w:val="2CA85D23"/>
    <w:rsid w:val="2CB67043"/>
    <w:rsid w:val="2CE05AC2"/>
    <w:rsid w:val="2D631540"/>
    <w:rsid w:val="2DCD4D3B"/>
    <w:rsid w:val="2E6F33D5"/>
    <w:rsid w:val="2EA00B62"/>
    <w:rsid w:val="2EA9018A"/>
    <w:rsid w:val="2EDE674F"/>
    <w:rsid w:val="2F4F0EF9"/>
    <w:rsid w:val="2FA368BA"/>
    <w:rsid w:val="2FFA9855"/>
    <w:rsid w:val="303D276E"/>
    <w:rsid w:val="308E0410"/>
    <w:rsid w:val="30A2064A"/>
    <w:rsid w:val="31060FA7"/>
    <w:rsid w:val="31093612"/>
    <w:rsid w:val="31BF300D"/>
    <w:rsid w:val="32A42B73"/>
    <w:rsid w:val="32D27F68"/>
    <w:rsid w:val="33231F8D"/>
    <w:rsid w:val="33260499"/>
    <w:rsid w:val="332F655B"/>
    <w:rsid w:val="33687BF4"/>
    <w:rsid w:val="337942D4"/>
    <w:rsid w:val="34E872B4"/>
    <w:rsid w:val="350D634B"/>
    <w:rsid w:val="36952F4E"/>
    <w:rsid w:val="36B70E22"/>
    <w:rsid w:val="36D92FB2"/>
    <w:rsid w:val="37467413"/>
    <w:rsid w:val="37787510"/>
    <w:rsid w:val="381776BB"/>
    <w:rsid w:val="387520F0"/>
    <w:rsid w:val="39D2147A"/>
    <w:rsid w:val="3A8D04C3"/>
    <w:rsid w:val="3A9F5F2A"/>
    <w:rsid w:val="3B237CC2"/>
    <w:rsid w:val="3B3C7B22"/>
    <w:rsid w:val="3B7403CD"/>
    <w:rsid w:val="3B91445B"/>
    <w:rsid w:val="3C1E2FE5"/>
    <w:rsid w:val="3D3C6638"/>
    <w:rsid w:val="3D437946"/>
    <w:rsid w:val="3D81311B"/>
    <w:rsid w:val="3DFE4CB6"/>
    <w:rsid w:val="3E0B24F7"/>
    <w:rsid w:val="3E5C41A0"/>
    <w:rsid w:val="3EA2315F"/>
    <w:rsid w:val="3F135AFA"/>
    <w:rsid w:val="4224131E"/>
    <w:rsid w:val="422D34A0"/>
    <w:rsid w:val="441B0C05"/>
    <w:rsid w:val="459C63BF"/>
    <w:rsid w:val="45A55001"/>
    <w:rsid w:val="45E072A7"/>
    <w:rsid w:val="462A01A0"/>
    <w:rsid w:val="46333934"/>
    <w:rsid w:val="46A169FF"/>
    <w:rsid w:val="46F34D6A"/>
    <w:rsid w:val="480B4BB5"/>
    <w:rsid w:val="487D4171"/>
    <w:rsid w:val="488851C9"/>
    <w:rsid w:val="489D1235"/>
    <w:rsid w:val="48E21AEF"/>
    <w:rsid w:val="4A717AA0"/>
    <w:rsid w:val="4A830B91"/>
    <w:rsid w:val="4AAF5236"/>
    <w:rsid w:val="4AB212D8"/>
    <w:rsid w:val="4B1A52D2"/>
    <w:rsid w:val="4B265D22"/>
    <w:rsid w:val="4B35552C"/>
    <w:rsid w:val="4BB85758"/>
    <w:rsid w:val="4C014C57"/>
    <w:rsid w:val="4C020555"/>
    <w:rsid w:val="4C1E0FC8"/>
    <w:rsid w:val="4C556F25"/>
    <w:rsid w:val="4C84793E"/>
    <w:rsid w:val="4D0E2637"/>
    <w:rsid w:val="4D6024B5"/>
    <w:rsid w:val="4D6378A0"/>
    <w:rsid w:val="4D9C101F"/>
    <w:rsid w:val="4DF658A7"/>
    <w:rsid w:val="4EDF2A9B"/>
    <w:rsid w:val="4EF8205F"/>
    <w:rsid w:val="4F444544"/>
    <w:rsid w:val="4FE37D9E"/>
    <w:rsid w:val="50410483"/>
    <w:rsid w:val="509818E5"/>
    <w:rsid w:val="51547108"/>
    <w:rsid w:val="51EF5E19"/>
    <w:rsid w:val="527A22D9"/>
    <w:rsid w:val="5289164F"/>
    <w:rsid w:val="52FF551A"/>
    <w:rsid w:val="53672784"/>
    <w:rsid w:val="539E26C0"/>
    <w:rsid w:val="53A91257"/>
    <w:rsid w:val="53F3326E"/>
    <w:rsid w:val="549878D9"/>
    <w:rsid w:val="54A06C67"/>
    <w:rsid w:val="54CC1D57"/>
    <w:rsid w:val="54EB364E"/>
    <w:rsid w:val="55CA28F1"/>
    <w:rsid w:val="55D26B9E"/>
    <w:rsid w:val="561D32CE"/>
    <w:rsid w:val="56AC67D2"/>
    <w:rsid w:val="5718013A"/>
    <w:rsid w:val="573622C3"/>
    <w:rsid w:val="576D5BCE"/>
    <w:rsid w:val="57A634A8"/>
    <w:rsid w:val="58836DC8"/>
    <w:rsid w:val="58BA5B76"/>
    <w:rsid w:val="58DE70DF"/>
    <w:rsid w:val="599C16F8"/>
    <w:rsid w:val="5A2A67F5"/>
    <w:rsid w:val="5A4F27F0"/>
    <w:rsid w:val="5A880128"/>
    <w:rsid w:val="5AAE4583"/>
    <w:rsid w:val="5B1D47FA"/>
    <w:rsid w:val="5D012421"/>
    <w:rsid w:val="5D674700"/>
    <w:rsid w:val="5DD427BF"/>
    <w:rsid w:val="5DDC2CA3"/>
    <w:rsid w:val="5DEC4365"/>
    <w:rsid w:val="5E7435BA"/>
    <w:rsid w:val="5E932ED8"/>
    <w:rsid w:val="60760873"/>
    <w:rsid w:val="60C214BD"/>
    <w:rsid w:val="60C265CF"/>
    <w:rsid w:val="611B583E"/>
    <w:rsid w:val="617862AC"/>
    <w:rsid w:val="62A30EA1"/>
    <w:rsid w:val="62F60387"/>
    <w:rsid w:val="63181F99"/>
    <w:rsid w:val="6320789A"/>
    <w:rsid w:val="63D1618C"/>
    <w:rsid w:val="64661261"/>
    <w:rsid w:val="64932BAD"/>
    <w:rsid w:val="649B4982"/>
    <w:rsid w:val="64BC0286"/>
    <w:rsid w:val="650C2A2C"/>
    <w:rsid w:val="65B7D2A7"/>
    <w:rsid w:val="65CA54AC"/>
    <w:rsid w:val="6680326B"/>
    <w:rsid w:val="669A3582"/>
    <w:rsid w:val="66F23252"/>
    <w:rsid w:val="67920D68"/>
    <w:rsid w:val="67E47875"/>
    <w:rsid w:val="681F4C63"/>
    <w:rsid w:val="68E055B0"/>
    <w:rsid w:val="69961E22"/>
    <w:rsid w:val="6A23123C"/>
    <w:rsid w:val="6A2842F5"/>
    <w:rsid w:val="6A6547A8"/>
    <w:rsid w:val="6A6B5660"/>
    <w:rsid w:val="6B685571"/>
    <w:rsid w:val="6C3309C1"/>
    <w:rsid w:val="6D1E32A1"/>
    <w:rsid w:val="6D322B1C"/>
    <w:rsid w:val="6D9B2F52"/>
    <w:rsid w:val="6E2576AE"/>
    <w:rsid w:val="6E290AB7"/>
    <w:rsid w:val="6E4B77F4"/>
    <w:rsid w:val="6EA45979"/>
    <w:rsid w:val="6EEB2130"/>
    <w:rsid w:val="6FAD1A1F"/>
    <w:rsid w:val="700B2EC6"/>
    <w:rsid w:val="70754AA5"/>
    <w:rsid w:val="70B8083E"/>
    <w:rsid w:val="714D6AE5"/>
    <w:rsid w:val="7171086E"/>
    <w:rsid w:val="719510A4"/>
    <w:rsid w:val="71A66548"/>
    <w:rsid w:val="71C53B96"/>
    <w:rsid w:val="71FA4772"/>
    <w:rsid w:val="71FC4DEA"/>
    <w:rsid w:val="728671BF"/>
    <w:rsid w:val="72C2568A"/>
    <w:rsid w:val="72C94CD5"/>
    <w:rsid w:val="73300DA4"/>
    <w:rsid w:val="744616E9"/>
    <w:rsid w:val="745A380B"/>
    <w:rsid w:val="74A02866"/>
    <w:rsid w:val="75580D0F"/>
    <w:rsid w:val="76440F92"/>
    <w:rsid w:val="767A7C68"/>
    <w:rsid w:val="772F3652"/>
    <w:rsid w:val="779F15A2"/>
    <w:rsid w:val="77AE1328"/>
    <w:rsid w:val="77B6383C"/>
    <w:rsid w:val="77B751AF"/>
    <w:rsid w:val="77FE6C2A"/>
    <w:rsid w:val="78423920"/>
    <w:rsid w:val="78A45D63"/>
    <w:rsid w:val="794D08AD"/>
    <w:rsid w:val="79661C63"/>
    <w:rsid w:val="79D25FC2"/>
    <w:rsid w:val="79EA2C4D"/>
    <w:rsid w:val="79F90BEF"/>
    <w:rsid w:val="7A4A14CB"/>
    <w:rsid w:val="7A774554"/>
    <w:rsid w:val="7A7F1400"/>
    <w:rsid w:val="7AD051DC"/>
    <w:rsid w:val="7ADB0A5E"/>
    <w:rsid w:val="7AE62B2D"/>
    <w:rsid w:val="7B28387D"/>
    <w:rsid w:val="7BA223D0"/>
    <w:rsid w:val="7C064AE8"/>
    <w:rsid w:val="7C29373A"/>
    <w:rsid w:val="7C6A3054"/>
    <w:rsid w:val="7CD54AA1"/>
    <w:rsid w:val="7CE44ECC"/>
    <w:rsid w:val="7CE571C4"/>
    <w:rsid w:val="7D0375F5"/>
    <w:rsid w:val="7D546905"/>
    <w:rsid w:val="7D6D7ABB"/>
    <w:rsid w:val="7D7234FB"/>
    <w:rsid w:val="7E4F6774"/>
    <w:rsid w:val="7F173DB2"/>
    <w:rsid w:val="7F2266A0"/>
    <w:rsid w:val="7F2E17A9"/>
    <w:rsid w:val="7FAD2049"/>
    <w:rsid w:val="7FD25F3F"/>
    <w:rsid w:val="7FEE7A90"/>
    <w:rsid w:val="7FEF3D0E"/>
    <w:rsid w:val="7FF23572"/>
    <w:rsid w:val="8DFE854D"/>
    <w:rsid w:val="C1FC5DE2"/>
    <w:rsid w:val="CEEA26A7"/>
    <w:rsid w:val="FFEFD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annotation subject"/>
    <w:basedOn w:val="2"/>
    <w:next w:val="2"/>
    <w:link w:val="10"/>
    <w:qFormat/>
    <w:uiPriority w:val="0"/>
    <w:rPr>
      <w:b/>
      <w:bCs/>
    </w:rPr>
  </w:style>
  <w:style w:type="character" w:styleId="7">
    <w:name w:val="annotation reference"/>
    <w:basedOn w:val="6"/>
    <w:qFormat/>
    <w:uiPriority w:val="0"/>
    <w:rPr>
      <w:sz w:val="21"/>
      <w:szCs w:val="21"/>
    </w:rPr>
  </w:style>
  <w:style w:type="paragraph" w:customStyle="1" w:styleId="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9">
    <w:name w:val="批注文字 字符"/>
    <w:basedOn w:val="6"/>
    <w:link w:val="2"/>
    <w:qFormat/>
    <w:uiPriority w:val="0"/>
    <w:rPr>
      <w:kern w:val="2"/>
      <w:sz w:val="21"/>
    </w:rPr>
  </w:style>
  <w:style w:type="character" w:customStyle="1" w:styleId="10">
    <w:name w:val="批注主题 字符"/>
    <w:basedOn w:val="9"/>
    <w:link w:val="4"/>
    <w:qFormat/>
    <w:uiPriority w:val="0"/>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4992</Words>
  <Characters>5174</Characters>
  <Lines>18</Lines>
  <Paragraphs>5</Paragraphs>
  <TotalTime>55</TotalTime>
  <ScaleCrop>false</ScaleCrop>
  <LinksUpToDate>false</LinksUpToDate>
  <CharactersWithSpaces>5282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2024-09-26T22:32:00Z</dcterms:created>
  <dc:creator>杨贵娇</dc:creator>
  <cp:lastModifiedBy>杨贵娇</cp:lastModifiedBy>
  <dcterms:modified xsi:type="dcterms:W3CDTF">2025-05-14T08:32:26Z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A98F57146B9B4D21B53E6734ACFBB092_13</vt:lpwstr>
  </property>
  <property fmtid="{D5CDD505-2E9C-101B-9397-08002B2CF9AE}" pid="4" name="KSOTemplateDocerSaveRecord">
    <vt:lpwstr>eyJoZGlkIjoiZTM2MTRlOTE5NzU3Y2FhZmJjMTA4ODAwNjMyZWVhZDciLCJ1c2VySWQiOiIzOTQyNDEyNzQifQ==</vt:lpwstr>
  </property>
</Properties>
</file>