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Ansi="宋体"/>
          <w:bCs/>
          <w:iCs/>
          <w:color w:val="000000"/>
          <w:sz w:val="24"/>
        </w:rPr>
      </w:pPr>
    </w:p>
    <w:p>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600203                                  </w:t>
      </w:r>
      <w:r>
        <w:rPr>
          <w:rFonts w:hAnsi="宋体"/>
          <w:bCs/>
          <w:iCs/>
          <w:color w:val="000000"/>
          <w:sz w:val="24"/>
        </w:rPr>
        <w:t>证券简称：</w:t>
      </w:r>
      <w:r>
        <w:rPr>
          <w:color w:val="000000"/>
          <w:sz w:val="24"/>
        </w:rPr>
        <w:t>福日电子</w:t>
      </w:r>
    </w:p>
    <w:p>
      <w:pPr>
        <w:spacing w:before="156" w:beforeLines="50" w:after="156" w:afterLines="50" w:line="400" w:lineRule="exact"/>
        <w:jc w:val="center"/>
        <w:rPr>
          <w:rFonts w:ascii="宋体" w:hAnsi="宋体"/>
          <w:b/>
          <w:bCs/>
          <w:iCs/>
          <w:color w:val="000000"/>
          <w:sz w:val="32"/>
          <w:szCs w:val="32"/>
        </w:rPr>
      </w:pPr>
    </w:p>
    <w:p>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福建福日电子股份有限公司</w:t>
      </w:r>
    </w:p>
    <w:p>
      <w:pPr>
        <w:spacing w:before="156" w:beforeLines="50" w:after="156" w:afterLines="50" w:line="400" w:lineRule="exact"/>
        <w:jc w:val="center"/>
        <w:rPr>
          <w:rFonts w:ascii="宋体" w:hAnsi="宋体"/>
          <w:b/>
          <w:bCs/>
          <w:iCs/>
          <w:color w:val="000000"/>
          <w:sz w:val="32"/>
          <w:szCs w:val="32"/>
        </w:rPr>
      </w:pPr>
      <w:bookmarkStart w:id="0" w:name="_GoBack"/>
      <w:bookmarkEnd w:id="0"/>
      <w:r>
        <w:rPr>
          <w:rFonts w:hint="eastAsia" w:ascii="宋体" w:hAnsi="宋体"/>
          <w:b/>
          <w:bCs/>
          <w:iCs/>
          <w:color w:val="000000"/>
          <w:sz w:val="32"/>
          <w:szCs w:val="32"/>
        </w:rPr>
        <w:t>投资者关系活动记录表</w:t>
      </w:r>
    </w:p>
    <w:p>
      <w:pPr>
        <w:spacing w:line="400" w:lineRule="exact"/>
        <w:rPr>
          <w:rFonts w:hint="eastAsia" w:ascii="宋体" w:hAnsi="宋体"/>
          <w:bCs/>
          <w:iCs/>
          <w:color w:val="000000"/>
          <w:sz w:val="24"/>
        </w:rPr>
      </w:pPr>
      <w:r>
        <w:rPr>
          <w:rFonts w:hint="eastAsia" w:ascii="宋体" w:hAnsi="宋体"/>
          <w:bCs/>
          <w:iCs/>
          <w:color w:val="000000"/>
          <w:sz w:val="24"/>
        </w:rPr>
        <w:t xml:space="preserve">                                                   </w:t>
      </w:r>
    </w:p>
    <w:p>
      <w:pPr>
        <w:spacing w:line="400" w:lineRule="exact"/>
        <w:jc w:val="right"/>
        <w:rPr>
          <w:bCs/>
          <w:iCs/>
          <w:color w:val="000000"/>
          <w:sz w:val="24"/>
        </w:rPr>
      </w:pPr>
      <w:r>
        <w:rPr>
          <w:rFonts w:hint="eastAsia" w:ascii="宋体" w:hAnsi="宋体"/>
          <w:bCs/>
          <w:iCs/>
          <w:color w:val="000000"/>
          <w:sz w:val="24"/>
        </w:rPr>
        <w:t xml:space="preserve">  编号：2025-</w:t>
      </w:r>
      <w:r>
        <w:rPr>
          <w:rFonts w:ascii="宋体" w:hAnsi="宋体"/>
          <w:bCs/>
          <w:iCs/>
          <w:color w:val="000000"/>
          <w:sz w:val="24"/>
        </w:rPr>
        <w:t>01</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bCs/>
                <w:iCs/>
                <w:color w:val="000000"/>
                <w:kern w:val="0"/>
                <w:sz w:val="24"/>
              </w:rPr>
              <w:sym w:font="Wingdings 2" w:char="00A3"/>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sym w:font="Wingdings 2" w:char="00A3"/>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sym w:font="Wingdings 2" w:char="00A3"/>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sym w:font="Wingdings 2" w:char="00A3"/>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sym w:font="Wingdings 2" w:char="00A3"/>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sym w:font="Wingdings 2" w:char="00A3"/>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sym w:font="Wingdings 2" w:char="00A3"/>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rFonts w:hint="eastAsia" w:eastAsia="宋体"/>
                <w:bCs/>
                <w:iCs/>
                <w:color w:val="000000"/>
                <w:sz w:val="24"/>
                <w:lang w:eastAsia="zh-CN"/>
              </w:rPr>
            </w:pPr>
            <w:r>
              <w:rPr>
                <w:bCs/>
                <w:iCs/>
                <w:color w:val="000000"/>
                <w:kern w:val="0"/>
                <w:sz w:val="24"/>
              </w:rPr>
              <w:sym w:font="Wingdings 2" w:char="0052"/>
            </w:r>
            <w:r>
              <w:rPr>
                <w:rFonts w:hint="eastAsia"/>
                <w:bCs/>
                <w:iCs/>
                <w:color w:val="000000"/>
                <w:kern w:val="0"/>
                <w:sz w:val="24"/>
              </w:rPr>
              <w:t xml:space="preserve"> </w:t>
            </w:r>
            <w:r>
              <w:rPr>
                <w:rFonts w:hAnsi="宋体"/>
                <w:kern w:val="0"/>
                <w:sz w:val="24"/>
              </w:rPr>
              <w:t>其他</w:t>
            </w:r>
            <w:r>
              <w:rPr>
                <w:kern w:val="0"/>
                <w:sz w:val="24"/>
              </w:rPr>
              <w:t xml:space="preserve"> </w:t>
            </w:r>
            <w:r>
              <w:rPr>
                <w:rFonts w:hint="eastAsia"/>
                <w:kern w:val="0"/>
                <w:sz w:val="24"/>
                <w:lang w:eastAsia="zh-CN"/>
              </w:rPr>
              <w:t>（2025年福建辖区上市公司投资者网上集体接待日暨公司2024年度业绩说明会）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bCs/>
                <w:iCs/>
                <w:color w:val="000000"/>
                <w:sz w:val="24"/>
              </w:rPr>
              <w:t>2025年5月14日 (周三) 下午 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cs="宋体"/>
                <w:sz w:val="24"/>
              </w:rPr>
              <w:t>投资者关系互动平台</w:t>
            </w:r>
            <w:r>
              <w:rPr>
                <w:rFonts w:hint="eastAsia" w:ascii="宋体" w:hAnsi="宋体"/>
                <w:bCs/>
                <w:sz w:val="24"/>
              </w:rPr>
              <w:t>”（http</w:t>
            </w:r>
            <w:r>
              <w:rPr>
                <w:rFonts w:ascii="宋体" w:hAnsi="宋体"/>
                <w:bCs/>
                <w:sz w:val="24"/>
              </w:rPr>
              <w:t>s</w:t>
            </w:r>
            <w:r>
              <w:rPr>
                <w:rFonts w:hint="eastAsia" w:ascii="宋体" w:hAnsi="宋体"/>
                <w:bCs/>
                <w:sz w:val="24"/>
              </w:rPr>
              <w:t>://ir.p5w.net）采用网络远程的方式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sz w:val="24"/>
              </w:rPr>
            </w:pPr>
            <w:r>
              <w:rPr>
                <w:rFonts w:hint="eastAsia" w:ascii="宋体" w:hAnsi="宋体"/>
                <w:bCs/>
                <w:sz w:val="24"/>
              </w:rPr>
              <w:t>董事长杨韬先生；</w:t>
            </w:r>
          </w:p>
          <w:p>
            <w:pPr>
              <w:spacing w:line="420" w:lineRule="exact"/>
              <w:rPr>
                <w:rFonts w:ascii="宋体" w:hAnsi="宋体"/>
                <w:bCs/>
                <w:sz w:val="24"/>
              </w:rPr>
            </w:pPr>
            <w:r>
              <w:rPr>
                <w:rFonts w:hint="eastAsia" w:ascii="宋体" w:hAnsi="宋体"/>
                <w:bCs/>
                <w:sz w:val="24"/>
              </w:rPr>
              <w:t>副总裁、董事会秘书吴智飞先生；</w:t>
            </w:r>
          </w:p>
          <w:p>
            <w:pPr>
              <w:spacing w:line="420" w:lineRule="exact"/>
              <w:rPr>
                <w:rFonts w:ascii="宋体" w:hAnsi="宋体"/>
                <w:bCs/>
                <w:sz w:val="24"/>
              </w:rPr>
            </w:pPr>
            <w:r>
              <w:rPr>
                <w:rFonts w:hint="eastAsia" w:ascii="宋体" w:hAnsi="宋体"/>
                <w:bCs/>
                <w:sz w:val="24"/>
              </w:rPr>
              <w:t>副总裁、财务总监陈富贵先生；</w:t>
            </w:r>
          </w:p>
          <w:p>
            <w:pPr>
              <w:spacing w:line="420" w:lineRule="exact"/>
              <w:rPr>
                <w:rFonts w:ascii="宋体" w:hAnsi="宋体"/>
                <w:bCs/>
                <w:sz w:val="24"/>
              </w:rPr>
            </w:pPr>
            <w:r>
              <w:rPr>
                <w:rFonts w:hint="eastAsia" w:ascii="宋体" w:hAnsi="宋体"/>
                <w:bCs/>
                <w:sz w:val="24"/>
              </w:rPr>
              <w:t>独立董事林丰先生。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pPr>
              <w:pStyle w:val="7"/>
              <w:spacing w:line="460" w:lineRule="exact"/>
              <w:ind w:left="413" w:firstLine="0" w:firstLineChars="0"/>
              <w:rPr>
                <w:rFonts w:ascii="宋体" w:hAnsi="宋体"/>
                <w:b/>
                <w:sz w:val="24"/>
                <w:szCs w:val="24"/>
              </w:rPr>
            </w:pPr>
            <w:r>
              <w:rPr>
                <w:rFonts w:ascii="宋体" w:hAnsi="宋体"/>
                <w:b/>
                <w:sz w:val="24"/>
                <w:szCs w:val="24"/>
              </w:rPr>
              <w:t>1、福日电子在智能终端业务领域的长期战略规划是什么？</w:t>
            </w:r>
          </w:p>
          <w:p>
            <w:pPr>
              <w:pStyle w:val="7"/>
              <w:spacing w:line="460" w:lineRule="exact"/>
              <w:ind w:left="-2" w:leftChars="-1" w:firstLine="480"/>
              <w:rPr>
                <w:rFonts w:ascii="宋体" w:hAnsi="宋体"/>
                <w:sz w:val="24"/>
                <w:szCs w:val="24"/>
              </w:rPr>
            </w:pPr>
            <w:r>
              <w:rPr>
                <w:rFonts w:ascii="宋体" w:hAnsi="宋体"/>
                <w:sz w:val="24"/>
                <w:szCs w:val="24"/>
              </w:rPr>
              <w:t>感谢您对公司的关注。中诺通讯推进“1+N”产品战略升级，构建以手机为主的智能终端产品矩阵，重点突破AI消费电子创新应用，扩展飞控产品业务边界，深挖穿戴产品现有客户资源，力争在教育、工业领域平板产品实现突破，密切关注智能座舱、智能域控的市场机遇。</w:t>
            </w:r>
          </w:p>
          <w:p>
            <w:pPr>
              <w:pStyle w:val="7"/>
              <w:spacing w:line="460" w:lineRule="exact"/>
              <w:ind w:left="413" w:firstLine="0" w:firstLineChars="0"/>
              <w:rPr>
                <w:rFonts w:ascii="宋体" w:hAnsi="宋体"/>
                <w:b/>
                <w:sz w:val="24"/>
                <w:szCs w:val="24"/>
              </w:rPr>
            </w:pPr>
            <w:r>
              <w:rPr>
                <w:rFonts w:ascii="宋体" w:hAnsi="宋体"/>
                <w:b/>
                <w:sz w:val="24"/>
                <w:szCs w:val="24"/>
              </w:rPr>
              <w:t>2、如何应对当前激烈的市场竞争，特别是在智能终端ODM领域？</w:t>
            </w:r>
          </w:p>
          <w:p>
            <w:pPr>
              <w:pStyle w:val="7"/>
              <w:spacing w:line="460" w:lineRule="exact"/>
              <w:ind w:left="-2" w:leftChars="-1" w:firstLine="480"/>
              <w:rPr>
                <w:rFonts w:ascii="宋体" w:hAnsi="宋体"/>
                <w:sz w:val="24"/>
                <w:szCs w:val="24"/>
              </w:rPr>
            </w:pPr>
            <w:r>
              <w:rPr>
                <w:rFonts w:ascii="宋体" w:hAnsi="宋体"/>
                <w:sz w:val="24"/>
                <w:szCs w:val="24"/>
              </w:rPr>
              <w:t>感谢您对公司的关注，为应对当前激烈的市场竞争，公司重点推进从研发与供应链两个方面协同降本；研发方面，基于自身技术专长提出电子物料优化方案，如材料替代、工艺简化或功能集成，从源头降低冗余成本；供应链方面，推进电子物料的国产替代，拓宽本土供应渠道，提高议价能力，优化高端物料资源池。</w:t>
            </w:r>
          </w:p>
          <w:p>
            <w:pPr>
              <w:pStyle w:val="7"/>
              <w:spacing w:line="460" w:lineRule="exact"/>
              <w:ind w:left="-2" w:leftChars="-1" w:firstLine="480"/>
              <w:rPr>
                <w:rFonts w:ascii="宋体" w:hAnsi="宋体"/>
                <w:b/>
                <w:sz w:val="24"/>
                <w:szCs w:val="24"/>
              </w:rPr>
            </w:pPr>
            <w:r>
              <w:rPr>
                <w:rFonts w:ascii="宋体" w:hAnsi="宋体"/>
                <w:b/>
                <w:sz w:val="24"/>
                <w:szCs w:val="24"/>
              </w:rPr>
              <w:t>3、2025年一季度的毛利率和净利率情况如何？</w:t>
            </w:r>
          </w:p>
          <w:p>
            <w:pPr>
              <w:pStyle w:val="7"/>
              <w:spacing w:line="460" w:lineRule="exact"/>
              <w:ind w:left="-2" w:leftChars="-1" w:firstLine="480"/>
              <w:rPr>
                <w:rFonts w:ascii="宋体" w:hAnsi="宋体"/>
                <w:sz w:val="24"/>
                <w:szCs w:val="24"/>
              </w:rPr>
            </w:pPr>
            <w:r>
              <w:rPr>
                <w:rFonts w:ascii="宋体" w:hAnsi="宋体"/>
                <w:sz w:val="24"/>
                <w:szCs w:val="24"/>
              </w:rPr>
              <w:t>感谢您对公司的关注，公司2025年</w:t>
            </w:r>
            <w:r>
              <w:rPr>
                <w:rFonts w:hint="eastAsia" w:ascii="宋体" w:hAnsi="宋体"/>
                <w:sz w:val="24"/>
                <w:szCs w:val="24"/>
              </w:rPr>
              <w:t>第</w:t>
            </w:r>
            <w:r>
              <w:rPr>
                <w:rFonts w:ascii="宋体" w:hAnsi="宋体"/>
                <w:sz w:val="24"/>
                <w:szCs w:val="24"/>
              </w:rPr>
              <w:t>一季度的毛利率为7.11%，净利率为-2.01%。</w:t>
            </w:r>
          </w:p>
          <w:p>
            <w:pPr>
              <w:pStyle w:val="7"/>
              <w:spacing w:line="460" w:lineRule="exact"/>
              <w:ind w:left="413" w:firstLine="0" w:firstLineChars="0"/>
              <w:rPr>
                <w:rFonts w:ascii="宋体" w:hAnsi="宋体"/>
                <w:b/>
                <w:sz w:val="24"/>
                <w:szCs w:val="24"/>
              </w:rPr>
            </w:pPr>
            <w:r>
              <w:rPr>
                <w:rFonts w:ascii="宋体" w:hAnsi="宋体"/>
                <w:b/>
                <w:sz w:val="24"/>
                <w:szCs w:val="24"/>
              </w:rPr>
              <w:t>4、2024年亏损的主要原因是什么？</w:t>
            </w:r>
          </w:p>
          <w:p>
            <w:pPr>
              <w:pStyle w:val="7"/>
              <w:spacing w:line="460" w:lineRule="exact"/>
              <w:ind w:left="-2" w:leftChars="-1" w:firstLine="480"/>
              <w:rPr>
                <w:rFonts w:ascii="宋体" w:hAnsi="宋体"/>
                <w:sz w:val="24"/>
                <w:szCs w:val="24"/>
              </w:rPr>
            </w:pPr>
            <w:r>
              <w:rPr>
                <w:rFonts w:ascii="宋体" w:hAnsi="宋体"/>
                <w:sz w:val="24"/>
                <w:szCs w:val="24"/>
              </w:rPr>
              <w:t>感谢您对公司的关注。公司2024年度亏损的主要原因为：第一，智能终端业务竞争激烈，利润承压，成本管控难度加大。受益于与核心客户的深度协同发展，该板块订单规模同比增长，营业收入同比上升。但受制于行业竞争白热化，自产产能利用率不足，固定成本分摊增加等因素，终端产品毛利率承压下行。第二，LED显示业务面临技术迭代冲击。传统SMD小间距产品受COB技术路线冲击，市场份额及盈利能力双重受压，导致该业务线收入规模与毛利率水平同步回落。第三，审慎财务处理影响当期损益。根据《企业会计准则》、公司会计政策的相关规定及谨慎性原则，本年度公司针对商誉、应收账款及存货等资产项目计提减值准备，客观反映资产的实际价值。</w:t>
            </w:r>
          </w:p>
          <w:p>
            <w:pPr>
              <w:pStyle w:val="7"/>
              <w:spacing w:line="460" w:lineRule="exact"/>
              <w:ind w:left="413" w:firstLine="0" w:firstLineChars="0"/>
              <w:rPr>
                <w:rFonts w:ascii="宋体" w:hAnsi="宋体"/>
                <w:b/>
                <w:sz w:val="24"/>
                <w:szCs w:val="24"/>
              </w:rPr>
            </w:pPr>
            <w:r>
              <w:rPr>
                <w:rFonts w:ascii="宋体" w:hAnsi="宋体"/>
                <w:b/>
                <w:sz w:val="24"/>
                <w:szCs w:val="24"/>
              </w:rPr>
              <w:t>5、董秘你好，请问贵公司及子公司机器人业务有什么进展？</w:t>
            </w:r>
          </w:p>
          <w:p>
            <w:pPr>
              <w:pStyle w:val="7"/>
              <w:spacing w:line="460" w:lineRule="exact"/>
              <w:ind w:left="-2" w:leftChars="-1" w:firstLine="480"/>
              <w:rPr>
                <w:rFonts w:ascii="宋体" w:hAnsi="宋体"/>
                <w:sz w:val="24"/>
                <w:szCs w:val="24"/>
              </w:rPr>
            </w:pPr>
            <w:r>
              <w:rPr>
                <w:rFonts w:ascii="宋体" w:hAnsi="宋体"/>
                <w:sz w:val="24"/>
                <w:szCs w:val="24"/>
              </w:rPr>
              <w:t>感谢您对公司的关注，公司全资子公司深圳市中诺通讯有限公司可根据客户需求提供酒店机器人、工业机器人的JDM/OEM服务，目前酒店服务机器人已少量出货，工业机器人处于试产阶段，暂未出货。</w:t>
            </w:r>
          </w:p>
          <w:p>
            <w:pPr>
              <w:pStyle w:val="7"/>
              <w:spacing w:line="460" w:lineRule="exact"/>
              <w:ind w:left="413" w:firstLine="0" w:firstLineChars="0"/>
              <w:rPr>
                <w:rFonts w:hint="eastAsia" w:ascii="宋体" w:hAnsi="宋体"/>
                <w:b/>
                <w:sz w:val="24"/>
                <w:szCs w:val="24"/>
              </w:rPr>
            </w:pPr>
            <w:r>
              <w:rPr>
                <w:rFonts w:ascii="宋体" w:hAnsi="宋体"/>
                <w:b/>
                <w:sz w:val="24"/>
                <w:szCs w:val="24"/>
              </w:rPr>
              <w:t>6、</w:t>
            </w:r>
            <w:r>
              <w:rPr>
                <w:rFonts w:hint="eastAsia" w:ascii="宋体" w:hAnsi="宋体"/>
                <w:b/>
                <w:sz w:val="24"/>
                <w:szCs w:val="24"/>
              </w:rPr>
              <w:t>福日电子近几年的业务结构调整情况如何？</w:t>
            </w:r>
          </w:p>
          <w:p>
            <w:pPr>
              <w:pStyle w:val="7"/>
              <w:spacing w:line="460" w:lineRule="exact"/>
              <w:ind w:left="-2" w:leftChars="-1" w:firstLine="480"/>
              <w:rPr>
                <w:rFonts w:hint="eastAsia" w:ascii="宋体" w:hAnsi="宋体"/>
                <w:sz w:val="24"/>
                <w:szCs w:val="24"/>
              </w:rPr>
            </w:pPr>
            <w:r>
              <w:rPr>
                <w:rFonts w:hint="eastAsia" w:ascii="宋体" w:hAnsi="宋体"/>
                <w:sz w:val="24"/>
                <w:szCs w:val="24"/>
              </w:rPr>
              <w:t>感谢您对公司的关注。公司主要从事智能终端产品业务、LED光电业务、贸易类业务。报告期内，公司营业收入保持平稳，业务结构调整初见成效，智能终端产品业务同比实现增长，LED光电业务保持稳定，贸易类业务规模缩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bCs/>
                <w:iCs/>
                <w:color w:val="000000"/>
                <w:sz w:val="24"/>
              </w:rPr>
              <w:t>2025-05-14 17:00:01</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4FDF"/>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21DD"/>
    <w:rsid w:val="00CA443A"/>
    <w:rsid w:val="00CB2461"/>
    <w:rsid w:val="00CB37FD"/>
    <w:rsid w:val="00CC4D65"/>
    <w:rsid w:val="00CC61E7"/>
    <w:rsid w:val="00CD25AD"/>
    <w:rsid w:val="00CD3FFC"/>
    <w:rsid w:val="00CF565C"/>
    <w:rsid w:val="00D016A3"/>
    <w:rsid w:val="00D10CBE"/>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7D3514A7"/>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627</Words>
  <Characters>841</Characters>
  <Lines>105</Lines>
  <Paragraphs>91</Paragraphs>
  <TotalTime>2</TotalTime>
  <ScaleCrop>false</ScaleCrop>
  <LinksUpToDate>false</LinksUpToDate>
  <CharactersWithSpaces>1377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2025-05-14T08:59:00Z</dcterms:created>
  <dc:creator>微软用户</dc:creator>
  <cp:lastModifiedBy>水峰大哥的小弟</cp:lastModifiedBy>
  <cp:lastPrinted>2014-02-21T05:34:00Z</cp:lastPrinted>
  <dcterms:modified xsi:type="dcterms:W3CDTF">2025-05-14T09:05:42Z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3378DF92D5494EA79182626F58817F75</vt:lpwstr>
  </property>
</Properties>
</file>