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469" w:afterLines="150" w:line="400" w:lineRule="exact"/>
        <w:textAlignment w:val="auto"/>
        <w:rPr>
          <w:rFonts w:hint="eastAsia" w:ascii="宋体" w:hAnsi="宋体" w:eastAsia="宋体" w:cs="宋体"/>
          <w:bCs/>
          <w:iCs/>
          <w:color w:val="000000"/>
          <w:sz w:val="24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</w:rPr>
        <w:t>证券代码：</w:t>
      </w:r>
      <w:r>
        <w:rPr>
          <w:rFonts w:hint="eastAsia" w:ascii="宋体" w:hAnsi="宋体" w:eastAsia="宋体" w:cs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605006                             </w:t>
      </w:r>
      <w:r>
        <w:rPr>
          <w:rFonts w:hint="eastAsia" w:ascii="宋体" w:hAnsi="宋体" w:eastAsia="宋体" w:cs="宋体"/>
          <w:bCs/>
          <w:iCs/>
          <w:color w:val="000000"/>
          <w:sz w:val="24"/>
        </w:rPr>
        <w:t>证券简称：</w:t>
      </w:r>
      <w:r>
        <w:rPr>
          <w:rFonts w:hint="eastAsia" w:ascii="宋体" w:hAnsi="宋体" w:eastAsia="宋体" w:cs="宋体"/>
          <w:color w:val="000000"/>
          <w:sz w:val="24"/>
        </w:rPr>
        <w:t>山东玻纤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山东玻纤集团股份有限公司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特定对象调研         </w:t>
            </w:r>
            <w:bookmarkStart w:id="0" w:name="OLE_LINK1"/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其他 </w:t>
            </w:r>
            <w:bookmarkStart w:id="1" w:name="OLE_LINK2"/>
            <w:r>
              <w:rPr>
                <w:rFonts w:hint="eastAsia" w:ascii="宋体" w:hAnsi="宋体" w:cs="宋体"/>
                <w:kern w:val="0"/>
                <w:sz w:val="24"/>
                <w:u w:val="single"/>
                <w:lang w:eastAsia="zh-CN"/>
              </w:rPr>
              <w:t>山东辖区上市公司投资者网上集体接待日活动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2025年5月15日 (周四) 下午 15:00~16:30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公司通过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全景网“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”（https://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.p5w.net）采用网络远程的方式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参加山东辖区上市公司投资者网上集体接待日活动。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副总经理、财务总监邱元国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副总经理、董事会秘书王传秋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公司就投资者在本次说明会中提出的问题进行了回复：</w:t>
            </w:r>
          </w:p>
          <w:p>
            <w:pPr>
              <w:spacing w:line="460" w:lineRule="exact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请问山东玻纤今年的产能如何规划，Q2的销售情况如何，产品有没有涨价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计划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，您好。公司当前玻纤纱设计产能63.4万吨。截至目前，暂时不会有新产能的投放。进入二季度以来，公司销量与去年同期相比基本持平。玻璃纤维纱从去年开始已经多次复价，玻纤纱市场需求逐步回升，预计未来继续有望稳中向好。实际的价格走势将最终取决于宏观经济形势、行业供给及需求等多方面影响。感谢您的关注。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我们公司节本增效有哪些工作，毛利率看外销是内销一倍，公司上市时的传统外销大客户今年订单如何，受关税闹剧波动大吗，玻纤是我国成本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规模都有优势的行业，议价能力提升如何？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答：尊敬的投资者，您好。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公司精益组织生产，坚持“低成本战略”不动摇，严格落实“八项降本增效硬措施”，抓源头、控中间、降三费，开展产品质量竞赛、经营质量竞赛，采取成本模块化管理。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对美国的直接出口规模较小，前期美国加征关税，公司下游客户出口压力上涨，间接导致公司出口成本上升，产品竞争力下降。美国此次推出的新关税政策，公司从美国进口化工原料的成本下降，但公司下游客户出口压力缓解还需一定的传导时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玻纤行业产能规模优势能够摊薄固定资产费用，降低生产成本。感谢您的关注。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2025-05-15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DUxMDI1MTg2MDY2NWY1YTlkYmE4OTEwYzg4MmU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28A605BD"/>
    <w:rsid w:val="31770151"/>
    <w:rsid w:val="36FB9E1F"/>
    <w:rsid w:val="39FC5C00"/>
    <w:rsid w:val="3BFA3B96"/>
    <w:rsid w:val="3CEF3472"/>
    <w:rsid w:val="3EFF16E9"/>
    <w:rsid w:val="77CF73AC"/>
    <w:rsid w:val="78FF0116"/>
    <w:rsid w:val="7F5C3EEC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3</TotalTime>
  <ScaleCrop>false</ScaleCrop>
  <LinksUpToDate>false</LinksUpToDate>
  <CharactersWithSpaces>513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王祥宁</cp:lastModifiedBy>
  <cp:lastPrinted>2014-02-21T05:34:00Z</cp:lastPrinted>
  <dcterms:modified xsi:type="dcterms:W3CDTF">2025-05-15T09:00:01Z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BAE58D446BBB40D7B8788E05E660C3F4_13</vt:lpwstr>
  </property>
</Properties>
</file>