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8EF97">
      <w:pPr>
        <w:jc w:val="center"/>
        <w:rPr>
          <w:rFonts w:ascii="Times New Roman" w:hAnsi="Times New Roman" w:eastAsia="宋体" w:cs="Times New Roman"/>
          <w:b/>
          <w:bCs/>
          <w:sz w:val="36"/>
          <w:szCs w:val="36"/>
        </w:rPr>
      </w:pPr>
      <w:r>
        <w:rPr>
          <w:rFonts w:ascii="Times New Roman" w:hAnsi="Times New Roman" w:eastAsia="宋体" w:cs="Times New Roman"/>
          <w:sz w:val="24"/>
          <w:szCs w:val="20"/>
        </w:rPr>
        <w:t>证券代码：688511                                   证券简称：</w:t>
      </w:r>
      <w:r>
        <w:rPr>
          <w:rFonts w:hint="eastAsia" w:ascii="Times New Roman" w:hAnsi="Times New Roman" w:eastAsia="宋体" w:cs="Times New Roman"/>
          <w:sz w:val="24"/>
          <w:szCs w:val="20"/>
          <w:lang w:val="en-US" w:eastAsia="zh-CN"/>
        </w:rPr>
        <w:t>*ST</w:t>
      </w:r>
      <w:r>
        <w:rPr>
          <w:rFonts w:ascii="Times New Roman" w:hAnsi="Times New Roman" w:eastAsia="宋体" w:cs="Times New Roman"/>
          <w:sz w:val="24"/>
          <w:szCs w:val="20"/>
        </w:rPr>
        <w:t>天微</w:t>
      </w:r>
      <w:bookmarkStart w:id="0" w:name="_GoBack"/>
      <w:bookmarkEnd w:id="0"/>
    </w:p>
    <w:p w14:paraId="1A923082">
      <w:pPr>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四川天微电子股份有限公司</w:t>
      </w:r>
    </w:p>
    <w:p w14:paraId="01A6F20E">
      <w:pPr>
        <w:jc w:val="center"/>
        <w:rPr>
          <w:rFonts w:ascii="Times New Roman" w:hAnsi="Times New Roman" w:eastAsia="宋体" w:cs="Times New Roman"/>
          <w:sz w:val="24"/>
          <w:szCs w:val="20"/>
        </w:rPr>
      </w:pPr>
      <w:r>
        <w:rPr>
          <w:rFonts w:ascii="Times New Roman" w:hAnsi="Times New Roman" w:eastAsia="宋体" w:cs="Times New Roman"/>
          <w:b/>
          <w:bCs/>
          <w:sz w:val="36"/>
          <w:szCs w:val="36"/>
        </w:rPr>
        <w:t>投资者关系活动记录表</w:t>
      </w:r>
    </w:p>
    <w:p w14:paraId="2F6359D1">
      <w:pPr>
        <w:ind w:firstLine="480" w:firstLineChars="200"/>
        <w:jc w:val="right"/>
        <w:rPr>
          <w:rFonts w:hint="eastAsia" w:ascii="Times New Roman" w:hAnsi="Times New Roman" w:eastAsia="宋体" w:cs="Times New Roman"/>
          <w:sz w:val="24"/>
          <w:szCs w:val="20"/>
          <w:lang w:val="en-US" w:eastAsia="zh-CN"/>
        </w:rPr>
      </w:pPr>
      <w:r>
        <w:rPr>
          <w:rFonts w:ascii="Times New Roman" w:hAnsi="Times New Roman" w:eastAsia="宋体" w:cs="Times New Roman"/>
          <w:sz w:val="24"/>
          <w:szCs w:val="20"/>
        </w:rPr>
        <w:t>编号：202</w:t>
      </w:r>
      <w:r>
        <w:rPr>
          <w:rFonts w:hint="eastAsia" w:ascii="Times New Roman" w:hAnsi="Times New Roman" w:eastAsia="宋体" w:cs="Times New Roman"/>
          <w:sz w:val="24"/>
          <w:szCs w:val="20"/>
          <w:lang w:val="en-US" w:eastAsia="zh-CN"/>
        </w:rPr>
        <w:t>5</w:t>
      </w:r>
      <w:r>
        <w:rPr>
          <w:rFonts w:ascii="Times New Roman" w:hAnsi="Times New Roman" w:eastAsia="宋体" w:cs="Times New Roman"/>
          <w:sz w:val="24"/>
          <w:szCs w:val="20"/>
        </w:rPr>
        <w:t>-00</w:t>
      </w:r>
      <w:r>
        <w:rPr>
          <w:rFonts w:hint="eastAsia" w:ascii="Times New Roman" w:hAnsi="Times New Roman" w:eastAsia="宋体" w:cs="Times New Roman"/>
          <w:sz w:val="24"/>
          <w:szCs w:val="20"/>
          <w:lang w:val="en-US" w:eastAsia="zh-CN"/>
        </w:rPr>
        <w:t>2</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6796"/>
      </w:tblGrid>
      <w:tr w14:paraId="21EF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726" w:type="dxa"/>
            <w:vAlign w:val="center"/>
          </w:tcPr>
          <w:p w14:paraId="105B8AC9">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投资者关系活动类别</w:t>
            </w:r>
          </w:p>
        </w:tc>
        <w:tc>
          <w:tcPr>
            <w:tcW w:w="6796" w:type="dxa"/>
          </w:tcPr>
          <w:p w14:paraId="0EC09DBC">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sym w:font="Wingdings 2" w:char="0052"/>
            </w:r>
            <w:r>
              <w:rPr>
                <w:rFonts w:ascii="Times New Roman" w:hAnsi="Times New Roman" w:eastAsia="宋体" w:cs="Times New Roman"/>
                <w:sz w:val="24"/>
                <w:szCs w:val="20"/>
              </w:rPr>
              <w:t>特定对象调研 □分析师会议 □媒体采访</w:t>
            </w:r>
          </w:p>
          <w:p w14:paraId="04E8EE3E">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□业绩说明会 □新闻发布会 □路演活动 □现场参观</w:t>
            </w:r>
          </w:p>
          <w:p w14:paraId="324AFF94">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□其他（请文字说明其他活动内容）</w:t>
            </w:r>
          </w:p>
        </w:tc>
      </w:tr>
      <w:tr w14:paraId="7B71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26" w:type="dxa"/>
            <w:vAlign w:val="center"/>
          </w:tcPr>
          <w:p w14:paraId="41D2A352">
            <w:pPr>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参与单位名称及人员姓名</w:t>
            </w:r>
          </w:p>
        </w:tc>
        <w:tc>
          <w:tcPr>
            <w:tcW w:w="6796" w:type="dxa"/>
            <w:vAlign w:val="center"/>
          </w:tcPr>
          <w:p w14:paraId="2D5170F9">
            <w:pPr>
              <w:spacing w:line="360" w:lineRule="auto"/>
              <w:ind w:firstLine="480" w:firstLineChars="200"/>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rPr>
              <w:t>国金证券</w:t>
            </w:r>
            <w:r>
              <w:rPr>
                <w:rFonts w:hint="eastAsia" w:ascii="Times New Roman" w:hAnsi="Times New Roman" w:eastAsia="宋体" w:cs="Times New Roman"/>
                <w:sz w:val="24"/>
                <w:szCs w:val="20"/>
                <w:lang w:val="en-US" w:eastAsia="zh-CN"/>
              </w:rPr>
              <w:t xml:space="preserve">      </w:t>
            </w:r>
            <w:r>
              <w:rPr>
                <w:rFonts w:hint="eastAsia" w:ascii="Times New Roman" w:hAnsi="Times New Roman" w:eastAsia="宋体" w:cs="Times New Roman"/>
                <w:sz w:val="24"/>
                <w:szCs w:val="20"/>
              </w:rPr>
              <w:t xml:space="preserve">    </w:t>
            </w:r>
            <w:r>
              <w:rPr>
                <w:rFonts w:hint="eastAsia" w:ascii="Times New Roman" w:hAnsi="Times New Roman" w:eastAsia="宋体" w:cs="Times New Roman"/>
                <w:sz w:val="24"/>
                <w:szCs w:val="20"/>
                <w:lang w:val="en-US" w:eastAsia="zh-CN"/>
              </w:rPr>
              <w:t>杨  晨</w:t>
            </w:r>
          </w:p>
          <w:p w14:paraId="2E3A09D4">
            <w:pPr>
              <w:spacing w:line="360" w:lineRule="auto"/>
              <w:ind w:firstLine="480" w:firstLineChars="200"/>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国金证券</w:t>
            </w:r>
            <w:r>
              <w:rPr>
                <w:rFonts w:hint="eastAsia" w:ascii="Times New Roman" w:hAnsi="Times New Roman" w:eastAsia="宋体" w:cs="Times New Roman"/>
                <w:sz w:val="24"/>
                <w:szCs w:val="20"/>
              </w:rPr>
              <w:t xml:space="preserve">   </w:t>
            </w:r>
            <w:r>
              <w:rPr>
                <w:rFonts w:hint="eastAsia" w:ascii="Times New Roman" w:hAnsi="Times New Roman" w:eastAsia="宋体" w:cs="Times New Roman"/>
                <w:sz w:val="24"/>
                <w:szCs w:val="20"/>
                <w:lang w:val="en-US" w:eastAsia="zh-CN"/>
              </w:rPr>
              <w:t xml:space="preserve">       胡洪波</w:t>
            </w:r>
          </w:p>
          <w:p w14:paraId="35AE16A5">
            <w:pPr>
              <w:spacing w:line="360" w:lineRule="auto"/>
              <w:ind w:firstLine="480" w:firstLineChars="200"/>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国金证券</w:t>
            </w:r>
            <w:r>
              <w:rPr>
                <w:rFonts w:hint="eastAsia" w:ascii="Times New Roman" w:hAnsi="Times New Roman" w:eastAsia="宋体" w:cs="Times New Roman"/>
                <w:sz w:val="24"/>
                <w:szCs w:val="20"/>
              </w:rPr>
              <w:t xml:space="preserve">   </w:t>
            </w:r>
            <w:r>
              <w:rPr>
                <w:rFonts w:hint="eastAsia" w:ascii="Times New Roman" w:hAnsi="Times New Roman" w:eastAsia="宋体" w:cs="Times New Roman"/>
                <w:sz w:val="24"/>
                <w:szCs w:val="20"/>
                <w:lang w:val="en-US" w:eastAsia="zh-CN"/>
              </w:rPr>
              <w:t xml:space="preserve">       孔令祺</w:t>
            </w:r>
          </w:p>
          <w:p w14:paraId="52F41CE0">
            <w:pPr>
              <w:spacing w:line="360" w:lineRule="auto"/>
              <w:ind w:firstLine="480" w:firstLineChars="200"/>
              <w:rPr>
                <w:rFonts w:hint="default" w:ascii="Times New Roman" w:hAnsi="Times New Roman" w:eastAsia="宋体" w:cs="Times New Roman"/>
                <w:sz w:val="24"/>
                <w:szCs w:val="20"/>
                <w:lang w:val="en-US"/>
              </w:rPr>
            </w:pPr>
            <w:r>
              <w:rPr>
                <w:rFonts w:hint="eastAsia" w:ascii="Times New Roman" w:hAnsi="Times New Roman" w:eastAsia="宋体" w:cs="Times New Roman"/>
                <w:sz w:val="24"/>
                <w:szCs w:val="20"/>
              </w:rPr>
              <w:t xml:space="preserve">工银瑞信   </w:t>
            </w:r>
            <w:r>
              <w:rPr>
                <w:rFonts w:hint="eastAsia" w:ascii="Times New Roman" w:hAnsi="Times New Roman" w:eastAsia="宋体" w:cs="Times New Roman"/>
                <w:sz w:val="24"/>
                <w:szCs w:val="20"/>
                <w:lang w:val="en-US" w:eastAsia="zh-CN"/>
              </w:rPr>
              <w:t xml:space="preserve">       单  文</w:t>
            </w:r>
          </w:p>
          <w:p w14:paraId="26B1BC5C">
            <w:pPr>
              <w:spacing w:line="360" w:lineRule="auto"/>
              <w:ind w:firstLine="480" w:firstLineChars="200"/>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rPr>
              <w:t>工银瑞信</w:t>
            </w:r>
            <w:r>
              <w:rPr>
                <w:rFonts w:hint="eastAsia" w:ascii="Times New Roman" w:hAnsi="Times New Roman" w:eastAsia="宋体" w:cs="Times New Roman"/>
                <w:sz w:val="24"/>
                <w:szCs w:val="20"/>
                <w:lang w:val="en-US" w:eastAsia="zh-CN"/>
              </w:rPr>
              <w:t xml:space="preserve">          母亚乾</w:t>
            </w:r>
          </w:p>
          <w:p w14:paraId="246AA53E">
            <w:pPr>
              <w:spacing w:line="360" w:lineRule="auto"/>
              <w:ind w:firstLine="480" w:firstLineChars="200"/>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rPr>
              <w:t xml:space="preserve">工银瑞信   </w:t>
            </w:r>
            <w:r>
              <w:rPr>
                <w:rFonts w:hint="eastAsia" w:ascii="Times New Roman" w:hAnsi="Times New Roman" w:eastAsia="宋体" w:cs="Times New Roman"/>
                <w:sz w:val="24"/>
                <w:szCs w:val="20"/>
                <w:lang w:val="en-US" w:eastAsia="zh-CN"/>
              </w:rPr>
              <w:t xml:space="preserve">       张力涛</w:t>
            </w:r>
          </w:p>
        </w:tc>
      </w:tr>
      <w:tr w14:paraId="17EB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26" w:type="dxa"/>
            <w:vAlign w:val="center"/>
          </w:tcPr>
          <w:p w14:paraId="361F9CBC">
            <w:pPr>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时间</w:t>
            </w:r>
          </w:p>
        </w:tc>
        <w:tc>
          <w:tcPr>
            <w:tcW w:w="6796" w:type="dxa"/>
            <w:vAlign w:val="center"/>
          </w:tcPr>
          <w:p w14:paraId="7FF7B6EE">
            <w:pPr>
              <w:spacing w:line="360" w:lineRule="auto"/>
              <w:ind w:firstLine="480" w:firstLineChars="200"/>
              <w:rPr>
                <w:rFonts w:hint="eastAsia" w:ascii="Times New Roman" w:hAnsi="Times New Roman" w:eastAsia="宋体" w:cs="Times New Roman"/>
                <w:sz w:val="24"/>
                <w:szCs w:val="20"/>
                <w:lang w:val="en-US" w:eastAsia="zh-CN"/>
              </w:rPr>
            </w:pPr>
            <w:r>
              <w:rPr>
                <w:rFonts w:ascii="Times New Roman" w:hAnsi="Times New Roman" w:eastAsia="宋体" w:cs="Times New Roman"/>
                <w:sz w:val="24"/>
                <w:szCs w:val="20"/>
              </w:rPr>
              <w:t>202</w:t>
            </w:r>
            <w:r>
              <w:rPr>
                <w:rFonts w:hint="eastAsia" w:ascii="Times New Roman" w:hAnsi="Times New Roman" w:eastAsia="宋体" w:cs="Times New Roman"/>
                <w:sz w:val="24"/>
                <w:szCs w:val="20"/>
                <w:lang w:val="en-US" w:eastAsia="zh-CN"/>
              </w:rPr>
              <w:t>5</w:t>
            </w:r>
            <w:r>
              <w:rPr>
                <w:rFonts w:ascii="Times New Roman" w:hAnsi="Times New Roman" w:eastAsia="宋体" w:cs="Times New Roman"/>
                <w:sz w:val="24"/>
                <w:szCs w:val="20"/>
              </w:rPr>
              <w:t>年</w:t>
            </w:r>
            <w:r>
              <w:rPr>
                <w:rFonts w:hint="eastAsia" w:ascii="Times New Roman" w:hAnsi="Times New Roman" w:eastAsia="宋体" w:cs="Times New Roman"/>
                <w:sz w:val="24"/>
                <w:szCs w:val="20"/>
                <w:lang w:val="en-US" w:eastAsia="zh-CN"/>
              </w:rPr>
              <w:t>5</w:t>
            </w:r>
            <w:r>
              <w:rPr>
                <w:rFonts w:ascii="Times New Roman" w:hAnsi="Times New Roman" w:eastAsia="宋体" w:cs="Times New Roman"/>
                <w:sz w:val="24"/>
                <w:szCs w:val="20"/>
              </w:rPr>
              <w:t>月</w:t>
            </w:r>
            <w:r>
              <w:rPr>
                <w:rFonts w:hint="eastAsia" w:ascii="Times New Roman" w:hAnsi="Times New Roman" w:eastAsia="宋体" w:cs="Times New Roman"/>
                <w:sz w:val="24"/>
                <w:szCs w:val="20"/>
                <w:lang w:val="en-US" w:eastAsia="zh-CN"/>
              </w:rPr>
              <w:t>15</w:t>
            </w:r>
            <w:r>
              <w:rPr>
                <w:rFonts w:ascii="Times New Roman" w:hAnsi="Times New Roman" w:eastAsia="宋体" w:cs="Times New Roman"/>
                <w:sz w:val="24"/>
                <w:szCs w:val="20"/>
              </w:rPr>
              <w:t>日  星期</w:t>
            </w:r>
            <w:r>
              <w:rPr>
                <w:rFonts w:hint="eastAsia" w:ascii="Times New Roman" w:hAnsi="Times New Roman" w:eastAsia="宋体" w:cs="Times New Roman"/>
                <w:sz w:val="24"/>
                <w:szCs w:val="20"/>
                <w:lang w:val="en-US" w:eastAsia="zh-CN"/>
              </w:rPr>
              <w:t>四</w:t>
            </w:r>
          </w:p>
        </w:tc>
      </w:tr>
      <w:tr w14:paraId="2806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26" w:type="dxa"/>
            <w:vAlign w:val="center"/>
          </w:tcPr>
          <w:p w14:paraId="08E46F17">
            <w:pPr>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地点</w:t>
            </w:r>
          </w:p>
        </w:tc>
        <w:tc>
          <w:tcPr>
            <w:tcW w:w="6796" w:type="dxa"/>
            <w:vAlign w:val="center"/>
          </w:tcPr>
          <w:p w14:paraId="37CC30FF">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公司会议室</w:t>
            </w:r>
          </w:p>
        </w:tc>
      </w:tr>
      <w:tr w14:paraId="5E89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726" w:type="dxa"/>
            <w:vAlign w:val="center"/>
          </w:tcPr>
          <w:p w14:paraId="56AD6F23">
            <w:pPr>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上市公司接待人员姓名</w:t>
            </w:r>
          </w:p>
        </w:tc>
        <w:tc>
          <w:tcPr>
            <w:tcW w:w="6796" w:type="dxa"/>
            <w:vAlign w:val="center"/>
          </w:tcPr>
          <w:p w14:paraId="2B8F4B4D">
            <w:pPr>
              <w:spacing w:line="360" w:lineRule="auto"/>
              <w:ind w:firstLine="480" w:firstLineChars="200"/>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董事兼总经理    张  超</w:t>
            </w:r>
          </w:p>
          <w:p w14:paraId="47513203">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 xml:space="preserve">董事会秘书 </w:t>
            </w:r>
            <w:r>
              <w:rPr>
                <w:rFonts w:hint="default" w:ascii="Times New Roman" w:hAnsi="Times New Roman" w:eastAsia="宋体" w:cs="Times New Roman"/>
                <w:sz w:val="24"/>
                <w:szCs w:val="20"/>
                <w:lang w:val="en-US"/>
              </w:rPr>
              <w:t xml:space="preserve">    </w:t>
            </w:r>
            <w:r>
              <w:rPr>
                <w:rFonts w:ascii="Times New Roman" w:hAnsi="Times New Roman" w:eastAsia="宋体" w:cs="Times New Roman"/>
                <w:sz w:val="24"/>
                <w:szCs w:val="20"/>
              </w:rPr>
              <w:t xml:space="preserve"> 杨芹芹</w:t>
            </w:r>
          </w:p>
          <w:p w14:paraId="24E7CED8">
            <w:pPr>
              <w:spacing w:line="360" w:lineRule="auto"/>
              <w:ind w:firstLine="480" w:firstLineChars="200"/>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证券事务代表</w:t>
            </w:r>
            <w:r>
              <w:rPr>
                <w:rFonts w:hint="eastAsia" w:ascii="Times New Roman" w:hAnsi="Times New Roman" w:eastAsia="宋体" w:cs="Times New Roman"/>
                <w:sz w:val="24"/>
                <w:szCs w:val="20"/>
              </w:rPr>
              <w:t xml:space="preserve">   </w:t>
            </w:r>
            <w:r>
              <w:rPr>
                <w:rFonts w:hint="eastAsia" w:ascii="Times New Roman" w:hAnsi="Times New Roman" w:eastAsia="宋体" w:cs="Times New Roman"/>
                <w:sz w:val="24"/>
                <w:szCs w:val="20"/>
                <w:lang w:val="en-US" w:eastAsia="zh-CN"/>
              </w:rPr>
              <w:t xml:space="preserve"> 王</w:t>
            </w:r>
            <w:r>
              <w:rPr>
                <w:rFonts w:hint="default" w:ascii="Times New Roman" w:hAnsi="Times New Roman" w:eastAsia="宋体" w:cs="Times New Roman"/>
                <w:sz w:val="24"/>
                <w:szCs w:val="20"/>
                <w:lang w:val="en-US" w:eastAsia="zh-CN"/>
              </w:rPr>
              <w:t xml:space="preserve">  </w:t>
            </w:r>
            <w:r>
              <w:rPr>
                <w:rFonts w:hint="eastAsia" w:ascii="Times New Roman" w:hAnsi="Times New Roman" w:eastAsia="宋体" w:cs="Times New Roman"/>
                <w:sz w:val="24"/>
                <w:szCs w:val="20"/>
                <w:lang w:val="en-US" w:eastAsia="zh-CN"/>
              </w:rPr>
              <w:t>涛</w:t>
            </w:r>
          </w:p>
        </w:tc>
      </w:tr>
      <w:tr w14:paraId="746D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26" w:type="dxa"/>
            <w:vAlign w:val="center"/>
          </w:tcPr>
          <w:p w14:paraId="0814E473">
            <w:pPr>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投资者关系活动主要内容介绍</w:t>
            </w:r>
          </w:p>
        </w:tc>
        <w:tc>
          <w:tcPr>
            <w:tcW w:w="6796" w:type="dxa"/>
          </w:tcPr>
          <w:p w14:paraId="16D6C959">
            <w:pPr>
              <w:spacing w:line="360" w:lineRule="auto"/>
              <w:ind w:firstLine="480" w:firstLineChars="200"/>
              <w:rPr>
                <w:rFonts w:ascii="Times New Roman" w:hAnsi="Times New Roman" w:eastAsia="宋体" w:cs="Times New Roman"/>
                <w:sz w:val="24"/>
                <w:szCs w:val="20"/>
              </w:rPr>
            </w:pPr>
            <w:r>
              <w:rPr>
                <w:rFonts w:hint="eastAsia" w:ascii="Times New Roman" w:hAnsi="Times New Roman" w:eastAsia="宋体" w:cs="Times New Roman"/>
                <w:sz w:val="24"/>
                <w:szCs w:val="20"/>
                <w:lang w:val="en-US" w:eastAsia="zh-CN"/>
              </w:rPr>
              <w:t>公司董事兼总经理张超先生作</w:t>
            </w:r>
            <w:r>
              <w:rPr>
                <w:rFonts w:ascii="Times New Roman" w:hAnsi="Times New Roman" w:eastAsia="宋体" w:cs="Times New Roman"/>
                <w:sz w:val="24"/>
                <w:szCs w:val="20"/>
              </w:rPr>
              <w:t>欢迎致辞和军工保密提醒</w:t>
            </w:r>
            <w:r>
              <w:rPr>
                <w:rFonts w:hint="eastAsia" w:ascii="Times New Roman" w:hAnsi="Times New Roman" w:eastAsia="宋体" w:cs="Times New Roman"/>
                <w:sz w:val="24"/>
                <w:szCs w:val="20"/>
              </w:rPr>
              <w:t>，对</w:t>
            </w:r>
            <w:r>
              <w:rPr>
                <w:rFonts w:ascii="Times New Roman" w:hAnsi="Times New Roman" w:eastAsia="宋体" w:cs="Times New Roman"/>
                <w:sz w:val="24"/>
                <w:szCs w:val="20"/>
              </w:rPr>
              <w:t>公司情况</w:t>
            </w:r>
            <w:r>
              <w:rPr>
                <w:rFonts w:hint="eastAsia" w:ascii="Times New Roman" w:hAnsi="Times New Roman" w:eastAsia="宋体" w:cs="Times New Roman"/>
                <w:sz w:val="24"/>
                <w:szCs w:val="20"/>
              </w:rPr>
              <w:t>进行</w:t>
            </w:r>
            <w:r>
              <w:rPr>
                <w:rFonts w:ascii="Times New Roman" w:hAnsi="Times New Roman" w:eastAsia="宋体" w:cs="Times New Roman"/>
                <w:sz w:val="24"/>
                <w:szCs w:val="20"/>
              </w:rPr>
              <w:t>了简要</w:t>
            </w:r>
            <w:r>
              <w:rPr>
                <w:rFonts w:hint="eastAsia" w:ascii="Times New Roman" w:hAnsi="Times New Roman" w:eastAsia="宋体" w:cs="Times New Roman"/>
                <w:sz w:val="24"/>
                <w:szCs w:val="20"/>
              </w:rPr>
              <w:t>介绍，</w:t>
            </w:r>
            <w:r>
              <w:rPr>
                <w:rFonts w:ascii="Times New Roman" w:hAnsi="Times New Roman" w:eastAsia="宋体" w:cs="Times New Roman"/>
                <w:sz w:val="24"/>
                <w:szCs w:val="20"/>
              </w:rPr>
              <w:t>针对调研团队关心的问题进行</w:t>
            </w:r>
            <w:r>
              <w:rPr>
                <w:rFonts w:hint="eastAsia" w:ascii="Times New Roman" w:hAnsi="Times New Roman" w:eastAsia="宋体" w:cs="Times New Roman"/>
                <w:sz w:val="24"/>
                <w:szCs w:val="20"/>
              </w:rPr>
              <w:t>了</w:t>
            </w:r>
            <w:r>
              <w:rPr>
                <w:rFonts w:ascii="Times New Roman" w:hAnsi="Times New Roman" w:eastAsia="宋体" w:cs="Times New Roman"/>
                <w:sz w:val="24"/>
                <w:szCs w:val="20"/>
              </w:rPr>
              <w:t>作答。</w:t>
            </w:r>
          </w:p>
          <w:p w14:paraId="2DDAE5BF">
            <w:pPr>
              <w:spacing w:line="360" w:lineRule="auto"/>
              <w:ind w:firstLine="482" w:firstLineChars="200"/>
              <w:rPr>
                <w:rFonts w:ascii="Times New Roman" w:hAnsi="Times New Roman" w:eastAsia="宋体" w:cs="Times New Roman"/>
                <w:b/>
                <w:sz w:val="24"/>
                <w:szCs w:val="20"/>
              </w:rPr>
            </w:pPr>
            <w:r>
              <w:rPr>
                <w:rFonts w:ascii="Times New Roman" w:hAnsi="Times New Roman" w:eastAsia="宋体" w:cs="Times New Roman"/>
                <w:b/>
                <w:sz w:val="24"/>
                <w:szCs w:val="20"/>
              </w:rPr>
              <w:t>问题回答：</w:t>
            </w:r>
          </w:p>
          <w:p w14:paraId="6462B705">
            <w:pPr>
              <w:spacing w:line="360" w:lineRule="auto"/>
              <w:ind w:firstLine="482" w:firstLineChars="200"/>
              <w:rPr>
                <w:rFonts w:ascii="Times New Roman" w:hAnsi="Times New Roman" w:eastAsia="宋体" w:cs="Times New Roman"/>
                <w:b/>
                <w:sz w:val="24"/>
                <w:szCs w:val="20"/>
              </w:rPr>
            </w:pPr>
            <w:r>
              <w:rPr>
                <w:rFonts w:ascii="Times New Roman" w:hAnsi="Times New Roman" w:eastAsia="宋体" w:cs="Times New Roman"/>
                <w:b/>
                <w:sz w:val="24"/>
                <w:szCs w:val="20"/>
              </w:rPr>
              <w:t>1</w:t>
            </w:r>
            <w:r>
              <w:rPr>
                <w:rFonts w:hint="eastAsia" w:ascii="Times New Roman" w:hAnsi="Times New Roman" w:eastAsia="宋体" w:cs="Times New Roman"/>
                <w:b/>
                <w:sz w:val="24"/>
                <w:szCs w:val="20"/>
              </w:rPr>
              <w:t>、今年军品业务恢复情况如何，明年展望？</w:t>
            </w:r>
          </w:p>
          <w:p w14:paraId="4616A66B">
            <w:pPr>
              <w:spacing w:before="156" w:beforeLines="50" w:after="156" w:afterLines="50" w:line="360" w:lineRule="auto"/>
              <w:ind w:firstLine="482" w:firstLineChars="200"/>
              <w:rPr>
                <w:rFonts w:hint="eastAsia" w:ascii="Times New Roman" w:hAnsi="Times New Roman" w:cs="Times New Roman"/>
                <w:b w:val="0"/>
                <w:bCs w:val="0"/>
                <w:sz w:val="24"/>
              </w:rPr>
            </w:pPr>
            <w:r>
              <w:rPr>
                <w:rFonts w:hint="eastAsia" w:ascii="Times New Roman" w:hAnsi="Times New Roman" w:cs="Times New Roman"/>
                <w:b/>
                <w:bCs/>
                <w:sz w:val="24"/>
              </w:rPr>
              <w:t>回复：</w:t>
            </w:r>
            <w:r>
              <w:rPr>
                <w:rFonts w:hint="eastAsia" w:ascii="Times New Roman" w:hAnsi="Times New Roman" w:cs="Times New Roman"/>
                <w:b w:val="0"/>
                <w:bCs w:val="0"/>
                <w:sz w:val="24"/>
              </w:rPr>
              <w:t>公司的主要产品灭火抑爆系统作为整车的分系统，需求受整车的年度任务影响，导致2025年第一季度营业收入较上年同期增长9.16%，目前，公司经营情况及生产销售情况均按计划有序进行中，后续公司具体的经营情况请关注公司相关定期报告。谢谢!</w:t>
            </w:r>
          </w:p>
          <w:p w14:paraId="411C5372">
            <w:pPr>
              <w:spacing w:line="360" w:lineRule="auto"/>
              <w:ind w:firstLine="482" w:firstLineChars="200"/>
              <w:rPr>
                <w:rFonts w:ascii="Times New Roman" w:hAnsi="Times New Roman" w:eastAsia="宋体" w:cs="Times New Roman"/>
                <w:b/>
                <w:sz w:val="24"/>
                <w:szCs w:val="20"/>
              </w:rPr>
            </w:pPr>
            <w:r>
              <w:rPr>
                <w:rFonts w:ascii="Times New Roman" w:hAnsi="Times New Roman" w:eastAsia="宋体" w:cs="Times New Roman"/>
                <w:b/>
                <w:sz w:val="24"/>
                <w:szCs w:val="20"/>
              </w:rPr>
              <w:t>2</w:t>
            </w:r>
            <w:r>
              <w:rPr>
                <w:rFonts w:hint="eastAsia" w:ascii="Times New Roman" w:hAnsi="Times New Roman" w:eastAsia="宋体" w:cs="Times New Roman"/>
                <w:b/>
                <w:sz w:val="24"/>
                <w:szCs w:val="20"/>
              </w:rPr>
              <w:t>、公司十五五规划，有哪些新的布局？</w:t>
            </w:r>
          </w:p>
          <w:p w14:paraId="1BE385E4">
            <w:pPr>
              <w:spacing w:line="360" w:lineRule="auto"/>
              <w:ind w:firstLine="482" w:firstLineChars="200"/>
              <w:rPr>
                <w:rFonts w:hint="eastAsia" w:ascii="Times New Roman" w:hAnsi="Times New Roman" w:eastAsia="宋体" w:cs="Times New Roman"/>
                <w:sz w:val="24"/>
              </w:rPr>
            </w:pPr>
            <w:r>
              <w:rPr>
                <w:rFonts w:hint="eastAsia" w:ascii="Times New Roman" w:hAnsi="Times New Roman" w:cs="Times New Roman"/>
                <w:b/>
                <w:bCs/>
                <w:sz w:val="24"/>
              </w:rPr>
              <w:t>回复：</w:t>
            </w:r>
            <w:r>
              <w:rPr>
                <w:rFonts w:hint="eastAsia" w:ascii="Times New Roman" w:hAnsi="Times New Roman" w:eastAsia="宋体" w:cs="Times New Roman"/>
                <w:sz w:val="24"/>
              </w:rPr>
              <w:t>公司将根据国家“十五五”规划的总体要求，结合公司自身的产业基础和资源掌控等情况，持续加大研发力度，考虑前瞻性与实用性并重，谨慎选择技术方向及技术储备，紧密围绕产业链进行产品战略布局和核心技术储备，并以核心器件的升级换代和系统集成的性能提升为具体发展的优选方向，同时，在民品领域将会以军工技术为依托，在智慧园区、机房机柜、新能源锂电、储能电站、隧道管网、仓储物流、电动自行车安全防护等多场景提供定制化解决方案，重点深化大数据、人工智能等研发应用，积极探索拓展人工智能等新兴技术在安全防护细分领域的多场景应用，开展公司“十五五”规划的编制工作。谢谢！</w:t>
            </w:r>
          </w:p>
          <w:p w14:paraId="1A181133">
            <w:pPr>
              <w:spacing w:line="360" w:lineRule="auto"/>
              <w:ind w:firstLine="482" w:firstLineChars="200"/>
              <w:rPr>
                <w:rFonts w:hint="eastAsia" w:ascii="宋体" w:hAnsi="宋体" w:eastAsia="宋体" w:cs="宋体"/>
                <w:b/>
                <w:bCs/>
                <w:color w:val="333333"/>
                <w:spacing w:val="-1"/>
                <w:sz w:val="24"/>
                <w:szCs w:val="20"/>
                <w:lang w:val="en-US" w:eastAsia="zh-CN"/>
              </w:rPr>
            </w:pPr>
            <w:r>
              <w:rPr>
                <w:rFonts w:ascii="Times New Roman" w:hAnsi="Times New Roman" w:eastAsia="宋体" w:cs="Times New Roman"/>
                <w:b/>
                <w:sz w:val="24"/>
                <w:szCs w:val="20"/>
              </w:rPr>
              <w:t>3</w:t>
            </w:r>
            <w:r>
              <w:rPr>
                <w:rFonts w:hint="eastAsia" w:ascii="Times New Roman" w:hAnsi="Times New Roman" w:eastAsia="宋体" w:cs="Times New Roman"/>
                <w:b/>
                <w:sz w:val="24"/>
                <w:szCs w:val="20"/>
              </w:rPr>
              <w:t>、</w:t>
            </w:r>
            <w:r>
              <w:rPr>
                <w:rFonts w:hint="eastAsia" w:ascii="Times New Roman" w:hAnsi="Times New Roman" w:eastAsia="宋体" w:cs="Times New Roman"/>
                <w:b/>
                <w:sz w:val="24"/>
                <w:szCs w:val="20"/>
                <w:lang w:val="en-US" w:eastAsia="zh-CN"/>
              </w:rPr>
              <w:t>公司计划做哪些民品市场吗？</w:t>
            </w:r>
          </w:p>
          <w:p w14:paraId="1D8F3859">
            <w:pPr>
              <w:spacing w:before="156" w:beforeLines="50" w:line="360" w:lineRule="auto"/>
              <w:ind w:firstLine="482" w:firstLineChars="200"/>
              <w:rPr>
                <w:rFonts w:hint="eastAsia" w:ascii="宋体" w:hAnsi="宋体" w:eastAsia="宋体" w:cs="宋体"/>
                <w:sz w:val="24"/>
                <w:szCs w:val="28"/>
                <w:lang w:val="en-US" w:eastAsia="zh-CN"/>
              </w:rPr>
            </w:pPr>
            <w:r>
              <w:rPr>
                <w:rFonts w:hint="eastAsia" w:ascii="Times New Roman" w:hAnsi="Times New Roman" w:cs="Times New Roman"/>
                <w:b/>
                <w:bCs/>
                <w:sz w:val="24"/>
              </w:rPr>
              <w:t>回复：</w:t>
            </w:r>
            <w:r>
              <w:rPr>
                <w:rFonts w:hint="eastAsia" w:ascii="宋体" w:hAnsi="宋体" w:eastAsia="宋体" w:cs="宋体"/>
                <w:sz w:val="24"/>
                <w:szCs w:val="28"/>
              </w:rPr>
              <w:t>公司前期已通过向全资子公司增资扩股引入投资者布局民品业务和加快民品业务的发展，公司在民品领域将会以军工技术为依托，在智慧园区、机房机柜、新能源锂电、储能电站、隧道管网、仓储物流、电动自行车安全防护等多场景提供定制化解决方案，重点深化大数据、人工智能等研发应用，积极探索拓展人工智能等新兴技术在安全防护细分领域的多场景应用。谢谢！</w:t>
            </w:r>
          </w:p>
          <w:p w14:paraId="425A39C8">
            <w:pPr>
              <w:spacing w:line="360" w:lineRule="auto"/>
              <w:ind w:firstLine="482" w:firstLineChars="200"/>
              <w:rPr>
                <w:rFonts w:ascii="Times New Roman" w:hAnsi="Times New Roman" w:eastAsia="宋体" w:cs="Times New Roman"/>
                <w:b/>
                <w:sz w:val="24"/>
                <w:szCs w:val="20"/>
              </w:rPr>
            </w:pPr>
            <w:r>
              <w:rPr>
                <w:rFonts w:ascii="Times New Roman" w:hAnsi="Times New Roman" w:eastAsia="宋体" w:cs="Times New Roman"/>
                <w:b/>
                <w:sz w:val="24"/>
                <w:szCs w:val="20"/>
              </w:rPr>
              <w:t>4</w:t>
            </w:r>
            <w:r>
              <w:rPr>
                <w:rFonts w:hint="eastAsia" w:ascii="Times New Roman" w:hAnsi="Times New Roman" w:eastAsia="宋体" w:cs="Times New Roman"/>
                <w:b/>
                <w:sz w:val="24"/>
                <w:szCs w:val="20"/>
              </w:rPr>
              <w:t>、公司研发投入情况？</w:t>
            </w:r>
          </w:p>
          <w:p w14:paraId="44216EBA">
            <w:pPr>
              <w:numPr>
                <w:ilvl w:val="0"/>
                <w:numId w:val="0"/>
              </w:numPr>
              <w:spacing w:line="360" w:lineRule="auto"/>
              <w:ind w:firstLine="482" w:firstLineChars="200"/>
              <w:rPr>
                <w:rFonts w:hint="eastAsia" w:ascii="Times New Roman" w:hAnsi="Times New Roman" w:cs="Times New Roman"/>
                <w:b w:val="0"/>
                <w:bCs w:val="0"/>
                <w:sz w:val="24"/>
                <w:highlight w:val="none"/>
                <w:lang w:val="en-US" w:eastAsia="zh-CN"/>
              </w:rPr>
            </w:pPr>
            <w:r>
              <w:rPr>
                <w:rFonts w:hint="eastAsia" w:ascii="Times New Roman" w:hAnsi="Times New Roman" w:cs="Times New Roman"/>
                <w:b/>
                <w:bCs/>
                <w:sz w:val="24"/>
              </w:rPr>
              <w:t>回复：</w:t>
            </w:r>
            <w:r>
              <w:rPr>
                <w:rFonts w:hint="eastAsia" w:ascii="Times New Roman" w:hAnsi="Times New Roman" w:cs="Times New Roman"/>
                <w:b w:val="0"/>
                <w:bCs w:val="0"/>
                <w:sz w:val="24"/>
                <w:highlight w:val="none"/>
                <w:lang w:val="en-US" w:eastAsia="zh-CN"/>
              </w:rPr>
              <w:t>公司2024年研发投入较2023年同期上升37.12%，主要为公司布局民品市场，加大研发投入，引进科研人才，研发费用增加。</w:t>
            </w:r>
          </w:p>
          <w:p w14:paraId="468829A3">
            <w:pPr>
              <w:numPr>
                <w:ilvl w:val="0"/>
                <w:numId w:val="0"/>
              </w:numPr>
              <w:spacing w:line="360" w:lineRule="auto"/>
              <w:ind w:firstLine="480" w:firstLineChars="200"/>
              <w:rPr>
                <w:rFonts w:hint="eastAsia" w:ascii="Times New Roman" w:hAnsi="Times New Roman" w:eastAsia="宋体" w:cs="Times New Roman"/>
                <w:b w:val="0"/>
                <w:bCs w:val="0"/>
                <w:sz w:val="24"/>
                <w:szCs w:val="28"/>
                <w:highlight w:val="none"/>
                <w:lang w:val="en-US" w:eastAsia="zh-CN"/>
              </w:rPr>
            </w:pPr>
            <w:r>
              <w:rPr>
                <w:rFonts w:hint="eastAsia" w:ascii="Times New Roman" w:hAnsi="Times New Roman" w:cs="Times New Roman"/>
                <w:b w:val="0"/>
                <w:bCs w:val="0"/>
                <w:sz w:val="24"/>
                <w:highlight w:val="none"/>
                <w:lang w:val="en-US" w:eastAsia="zh-CN"/>
              </w:rPr>
              <w:t>2025年度，公司计划从多方面发力提升研发竞争力。一方面，完善人才激励机制，大力引进科研人才，持续壮大研发团队，为公司未来科研发展筑牢根基。研发团队是创新的核心，强大的团队能为公司开拓更多技术可能。另一方面，公司将着力改善研发环境，提高技术人员待遇并实施精准激励。良好的环境与合理激励，能增强研发人员对团队的荣誉感，使其更有归属感；提升对公司的责任感，积极为公司发展贡献力量；激发对国家的使命感，将个人科研工作与国家科技进步相连，进而全方位提升研发人员的积极性与创造力，推动公司研发工作迈向新高度。谢谢！</w:t>
            </w:r>
          </w:p>
          <w:p w14:paraId="55DBD2E0">
            <w:pPr>
              <w:spacing w:line="360" w:lineRule="auto"/>
              <w:ind w:firstLine="482" w:firstLineChars="200"/>
              <w:rPr>
                <w:rFonts w:ascii="Times New Roman" w:hAnsi="Times New Roman" w:eastAsia="宋体" w:cs="Times New Roman"/>
                <w:b/>
                <w:sz w:val="24"/>
                <w:szCs w:val="20"/>
              </w:rPr>
            </w:pPr>
            <w:r>
              <w:rPr>
                <w:rFonts w:hint="eastAsia" w:ascii="Times New Roman" w:hAnsi="Times New Roman" w:eastAsia="宋体" w:cs="Times New Roman"/>
                <w:b/>
                <w:sz w:val="24"/>
                <w:szCs w:val="20"/>
                <w:lang w:val="en-US" w:eastAsia="zh-CN"/>
              </w:rPr>
              <w:t>5</w:t>
            </w:r>
            <w:r>
              <w:rPr>
                <w:rFonts w:hint="eastAsia" w:ascii="Times New Roman" w:hAnsi="Times New Roman" w:eastAsia="宋体" w:cs="Times New Roman"/>
                <w:b/>
                <w:sz w:val="24"/>
                <w:szCs w:val="20"/>
              </w:rPr>
              <w:t>、公司在兵器集团客户上，有哪些新增长点？</w:t>
            </w:r>
          </w:p>
          <w:p w14:paraId="1A13832C">
            <w:pPr>
              <w:numPr>
                <w:ilvl w:val="0"/>
                <w:numId w:val="0"/>
              </w:numPr>
              <w:spacing w:line="360" w:lineRule="auto"/>
              <w:ind w:firstLine="482" w:firstLineChars="200"/>
              <w:rPr>
                <w:rFonts w:hint="default" w:ascii="宋体" w:hAnsi="宋体" w:eastAsia="宋体" w:cs="宋体"/>
                <w:sz w:val="24"/>
                <w:szCs w:val="28"/>
                <w:lang w:val="en-US" w:eastAsia="zh-CN"/>
              </w:rPr>
            </w:pPr>
            <w:r>
              <w:rPr>
                <w:rFonts w:hint="eastAsia" w:ascii="Times New Roman" w:hAnsi="Times New Roman" w:cs="Times New Roman"/>
                <w:b/>
                <w:bCs/>
                <w:sz w:val="24"/>
              </w:rPr>
              <w:t>回复：</w:t>
            </w:r>
            <w:r>
              <w:rPr>
                <w:rFonts w:hint="eastAsia" w:ascii="Times New Roman" w:hAnsi="Times New Roman" w:cs="Times New Roman"/>
                <w:b w:val="0"/>
                <w:bCs w:val="0"/>
                <w:sz w:val="24"/>
              </w:rPr>
              <w:t>2024年度，针对某采集驱动装置项目、某三防防护系统，公司与中国兵器工业集团下属某集团公司持续合作，部分型号已完成小批量交付。某重点型号目前已完成试验测试，鉴定样机已交付，在进行装车试验，同时同客户新的需求进行对接完善。在陆军应用领域，公司在国家三个重点型号工程中承担的灭火抑爆系统、三防防护系统，完成了初样机设计工作，并进行了小批量试制。谢谢！</w:t>
            </w:r>
          </w:p>
        </w:tc>
      </w:tr>
      <w:tr w14:paraId="15FD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6" w:type="dxa"/>
            <w:vAlign w:val="center"/>
          </w:tcPr>
          <w:p w14:paraId="0B77290E">
            <w:pPr>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附件清单</w:t>
            </w:r>
          </w:p>
          <w:p w14:paraId="1C4CF002">
            <w:pPr>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（如有）</w:t>
            </w:r>
          </w:p>
        </w:tc>
        <w:tc>
          <w:tcPr>
            <w:tcW w:w="6796" w:type="dxa"/>
            <w:vAlign w:val="center"/>
          </w:tcPr>
          <w:p w14:paraId="65629CA8">
            <w:pPr>
              <w:jc w:val="center"/>
              <w:rPr>
                <w:rFonts w:ascii="Times New Roman" w:hAnsi="Times New Roman" w:eastAsia="宋体" w:cs="Times New Roman"/>
                <w:sz w:val="24"/>
                <w:szCs w:val="20"/>
              </w:rPr>
            </w:pPr>
            <w:r>
              <w:rPr>
                <w:rFonts w:ascii="Times New Roman" w:hAnsi="Times New Roman" w:eastAsia="宋体" w:cs="Times New Roman"/>
                <w:sz w:val="24"/>
                <w:szCs w:val="20"/>
              </w:rPr>
              <w:t>无</w:t>
            </w:r>
          </w:p>
        </w:tc>
      </w:tr>
    </w:tbl>
    <w:p w14:paraId="22606EEF">
      <w:pPr>
        <w:spacing w:line="360" w:lineRule="auto"/>
        <w:rPr>
          <w:rFonts w:ascii="Times New Roman" w:hAnsi="Times New Roman" w:eastAsia="宋体" w:cs="Times New Roman"/>
          <w:sz w:val="24"/>
          <w:szCs w:val="20"/>
        </w:rPr>
      </w:pPr>
    </w:p>
    <w:sectPr>
      <w:footerReference r:id="rId3" w:type="default"/>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1071011"/>
    </w:sdtPr>
    <w:sdtContent>
      <w:sdt>
        <w:sdtPr>
          <w:id w:val="1728636285"/>
        </w:sdtPr>
        <w:sdtContent>
          <w:p w14:paraId="3959DF77">
            <w:pPr>
              <w:pStyle w:val="6"/>
              <w:jc w:val="center"/>
            </w:pPr>
            <w:r>
              <w:rPr>
                <w:rFonts w:ascii="Times New Roman" w:hAnsi="Times New Roman" w:cs="Times New Roman"/>
                <w:lang w:val="zh-CN"/>
              </w:rPr>
              <w:t xml:space="preserve"> </w:t>
            </w:r>
            <w:r>
              <w:rPr>
                <w:rFonts w:ascii="Times New Roman" w:hAnsi="Times New Roman" w:cs="Times New Roman"/>
                <w:b/>
                <w:bCs/>
                <w:sz w:val="24"/>
                <w:szCs w:val="24"/>
              </w:rPr>
              <w:fldChar w:fldCharType="begin"/>
            </w:r>
            <w:r>
              <w:rPr>
                <w:rFonts w:ascii="Times New Roman" w:hAnsi="Times New Roman" w:cs="Times New Roman"/>
                <w:b/>
                <w:bCs/>
              </w:rPr>
              <w:instrText xml:space="preserve">PAGE</w:instrText>
            </w:r>
            <w:r>
              <w:rPr>
                <w:rFonts w:ascii="Times New Roman" w:hAnsi="Times New Roman" w:cs="Times New Roman"/>
                <w:b/>
                <w:bCs/>
                <w:sz w:val="24"/>
                <w:szCs w:val="24"/>
              </w:rPr>
              <w:fldChar w:fldCharType="separate"/>
            </w:r>
            <w:r>
              <w:rPr>
                <w:rFonts w:ascii="Times New Roman" w:hAnsi="Times New Roman" w:cs="Times New Roman"/>
                <w:b/>
                <w:bCs/>
              </w:rPr>
              <w:t>2</w:t>
            </w:r>
            <w:r>
              <w:rPr>
                <w:rFonts w:ascii="Times New Roman" w:hAnsi="Times New Roman" w:cs="Times New Roman"/>
                <w:b/>
                <w:bCs/>
                <w:sz w:val="24"/>
                <w:szCs w:val="24"/>
              </w:rPr>
              <w:fldChar w:fldCharType="end"/>
            </w:r>
            <w:r>
              <w:rPr>
                <w:rFonts w:ascii="Times New Roman" w:hAnsi="Times New Roman" w:cs="Times New Roman"/>
                <w:lang w:val="zh-CN"/>
              </w:rPr>
              <w:t xml:space="preserve"> / </w:t>
            </w:r>
            <w:r>
              <w:rPr>
                <w:rFonts w:ascii="Times New Roman" w:hAnsi="Times New Roman" w:cs="Times New Roman"/>
                <w:b/>
                <w:bCs/>
                <w:sz w:val="24"/>
                <w:szCs w:val="24"/>
              </w:rPr>
              <w:fldChar w:fldCharType="begin"/>
            </w:r>
            <w:r>
              <w:rPr>
                <w:rFonts w:ascii="Times New Roman" w:hAnsi="Times New Roman" w:cs="Times New Roman"/>
                <w:b/>
                <w:bCs/>
              </w:rPr>
              <w:instrText xml:space="preserve">NUMPAGES</w:instrText>
            </w:r>
            <w:r>
              <w:rPr>
                <w:rFonts w:ascii="Times New Roman" w:hAnsi="Times New Roman" w:cs="Times New Roman"/>
                <w:b/>
                <w:bCs/>
                <w:sz w:val="24"/>
                <w:szCs w:val="24"/>
              </w:rPr>
              <w:fldChar w:fldCharType="separate"/>
            </w:r>
            <w:r>
              <w:rPr>
                <w:rFonts w:ascii="Times New Roman" w:hAnsi="Times New Roman" w:cs="Times New Roman"/>
                <w:b/>
                <w:bCs/>
              </w:rPr>
              <w:t>4</w:t>
            </w:r>
            <w:r>
              <w:rPr>
                <w:rFonts w:ascii="Times New Roman" w:hAnsi="Times New Roman" w:cs="Times New Roman"/>
                <w:b/>
                <w:bCs/>
                <w:sz w:val="24"/>
                <w:szCs w:val="24"/>
              </w:rPr>
              <w:fldChar w:fldCharType="end"/>
            </w:r>
          </w:p>
        </w:sdtContent>
      </w:sdt>
    </w:sdtContent>
  </w:sdt>
  <w:p w14:paraId="5E78F89E">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94413"/>
    <w:multiLevelType w:val="multilevel"/>
    <w:tmpl w:val="1A394413"/>
    <w:lvl w:ilvl="0" w:tentative="0">
      <w:start w:val="1"/>
      <w:numFmt w:val="decimal"/>
      <w:pStyle w:val="2"/>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22234D97"/>
    <w:multiLevelType w:val="multilevel"/>
    <w:tmpl w:val="22234D97"/>
    <w:lvl w:ilvl="0" w:tentative="0">
      <w:start w:val="2"/>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pStyle w:val="4"/>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0OWZmNTRmY2I1OWY3YWM5ZjdhYWI0NWQxMDJiMDUifQ=="/>
    <w:docVar w:name="KSO_WPS_MARK_KEY" w:val="581f2738-d97e-43ac-9968-dc5dc3b47aad"/>
  </w:docVars>
  <w:rsids>
    <w:rsidRoot w:val="45F103B2"/>
    <w:rsid w:val="000018AA"/>
    <w:rsid w:val="000069FE"/>
    <w:rsid w:val="00025E4B"/>
    <w:rsid w:val="001E0067"/>
    <w:rsid w:val="00210CB9"/>
    <w:rsid w:val="002614C8"/>
    <w:rsid w:val="00267B0C"/>
    <w:rsid w:val="00281353"/>
    <w:rsid w:val="002A401D"/>
    <w:rsid w:val="002C2F22"/>
    <w:rsid w:val="002C6761"/>
    <w:rsid w:val="00317304"/>
    <w:rsid w:val="00347E85"/>
    <w:rsid w:val="003608F1"/>
    <w:rsid w:val="00364C37"/>
    <w:rsid w:val="003F235A"/>
    <w:rsid w:val="00413A18"/>
    <w:rsid w:val="00425A73"/>
    <w:rsid w:val="00433FB4"/>
    <w:rsid w:val="00495952"/>
    <w:rsid w:val="004B3501"/>
    <w:rsid w:val="004C7CEF"/>
    <w:rsid w:val="0054195F"/>
    <w:rsid w:val="005F4F6E"/>
    <w:rsid w:val="006118C5"/>
    <w:rsid w:val="00681FCE"/>
    <w:rsid w:val="006B3E28"/>
    <w:rsid w:val="006E0E14"/>
    <w:rsid w:val="007754C1"/>
    <w:rsid w:val="007B27B3"/>
    <w:rsid w:val="00823561"/>
    <w:rsid w:val="00873EFC"/>
    <w:rsid w:val="008E6F85"/>
    <w:rsid w:val="009A5778"/>
    <w:rsid w:val="009B50CF"/>
    <w:rsid w:val="00A2690C"/>
    <w:rsid w:val="00A31B08"/>
    <w:rsid w:val="00A50CCF"/>
    <w:rsid w:val="00A511CD"/>
    <w:rsid w:val="00A9594B"/>
    <w:rsid w:val="00A96CD9"/>
    <w:rsid w:val="00AB6CBA"/>
    <w:rsid w:val="00B1778E"/>
    <w:rsid w:val="00B8763B"/>
    <w:rsid w:val="00BC114C"/>
    <w:rsid w:val="00BC7EA4"/>
    <w:rsid w:val="00BD2D21"/>
    <w:rsid w:val="00C54E1D"/>
    <w:rsid w:val="00CA2A78"/>
    <w:rsid w:val="00CD2D67"/>
    <w:rsid w:val="00D21861"/>
    <w:rsid w:val="00D409FD"/>
    <w:rsid w:val="00D415CB"/>
    <w:rsid w:val="00D87C6D"/>
    <w:rsid w:val="00E83EBB"/>
    <w:rsid w:val="00EB4033"/>
    <w:rsid w:val="00EC4334"/>
    <w:rsid w:val="00FC4445"/>
    <w:rsid w:val="04FD042D"/>
    <w:rsid w:val="08D54E6D"/>
    <w:rsid w:val="09517159"/>
    <w:rsid w:val="09B6025B"/>
    <w:rsid w:val="0A2A7EC8"/>
    <w:rsid w:val="0ACE55C9"/>
    <w:rsid w:val="0B2B2144"/>
    <w:rsid w:val="0B8915A4"/>
    <w:rsid w:val="10E83875"/>
    <w:rsid w:val="111B45A3"/>
    <w:rsid w:val="19894C19"/>
    <w:rsid w:val="19A0764D"/>
    <w:rsid w:val="1B597254"/>
    <w:rsid w:val="1B963DB4"/>
    <w:rsid w:val="1DD35404"/>
    <w:rsid w:val="21A9509D"/>
    <w:rsid w:val="26007321"/>
    <w:rsid w:val="2F726B83"/>
    <w:rsid w:val="3334500E"/>
    <w:rsid w:val="358C5EFF"/>
    <w:rsid w:val="3958748E"/>
    <w:rsid w:val="3CDD4050"/>
    <w:rsid w:val="3FF507C6"/>
    <w:rsid w:val="407640DA"/>
    <w:rsid w:val="45B8397E"/>
    <w:rsid w:val="45F103B2"/>
    <w:rsid w:val="47FF5851"/>
    <w:rsid w:val="4A4D4C23"/>
    <w:rsid w:val="4B5F1F6B"/>
    <w:rsid w:val="4EC0418D"/>
    <w:rsid w:val="4EE87575"/>
    <w:rsid w:val="52263050"/>
    <w:rsid w:val="52AA036A"/>
    <w:rsid w:val="531225F7"/>
    <w:rsid w:val="59075E12"/>
    <w:rsid w:val="5BC223B0"/>
    <w:rsid w:val="5D78317F"/>
    <w:rsid w:val="5FC236AD"/>
    <w:rsid w:val="6159012D"/>
    <w:rsid w:val="61EF4178"/>
    <w:rsid w:val="63F46679"/>
    <w:rsid w:val="65051730"/>
    <w:rsid w:val="68B62A6F"/>
    <w:rsid w:val="6A2A3B0A"/>
    <w:rsid w:val="6C4D2C68"/>
    <w:rsid w:val="6D034BE4"/>
    <w:rsid w:val="6D1A7EB3"/>
    <w:rsid w:val="6E1A77B2"/>
    <w:rsid w:val="71B32424"/>
    <w:rsid w:val="730641F6"/>
    <w:rsid w:val="734467D9"/>
    <w:rsid w:val="748E667C"/>
    <w:rsid w:val="76B05557"/>
    <w:rsid w:val="774635FB"/>
    <w:rsid w:val="79A30071"/>
    <w:rsid w:val="7C504290"/>
    <w:rsid w:val="7D122256"/>
    <w:rsid w:val="7D5A2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nhideWhenUsed="0"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1"/>
    <w:unhideWhenUsed/>
    <w:qFormat/>
    <w:uiPriority w:val="9"/>
    <w:pPr>
      <w:keepNext/>
      <w:keepLines/>
      <w:numPr>
        <w:ilvl w:val="0"/>
        <w:numId w:val="1"/>
      </w:numPr>
      <w:tabs>
        <w:tab w:val="left" w:pos="426"/>
        <w:tab w:val="left" w:pos="567"/>
        <w:tab w:val="left" w:pos="993"/>
        <w:tab w:val="right" w:leader="dot" w:pos="8290"/>
      </w:tabs>
      <w:ind w:left="0" w:leftChars="0"/>
      <w:outlineLvl w:val="1"/>
    </w:pPr>
    <w:rPr>
      <w:rFonts w:asciiTheme="majorHAnsi" w:hAnsiTheme="majorHAnsi" w:cstheme="majorBidi"/>
      <w:b/>
      <w:bCs/>
      <w:szCs w:val="32"/>
    </w:rPr>
  </w:style>
  <w:style w:type="paragraph" w:styleId="4">
    <w:name w:val="heading 5"/>
    <w:basedOn w:val="1"/>
    <w:next w:val="1"/>
    <w:semiHidden/>
    <w:qFormat/>
    <w:uiPriority w:val="0"/>
    <w:pPr>
      <w:keepNext/>
      <w:keepLines/>
      <w:numPr>
        <w:ilvl w:val="4"/>
        <w:numId w:val="2"/>
      </w:numPr>
      <w:tabs>
        <w:tab w:val="left" w:pos="360"/>
      </w:tabs>
      <w:spacing w:beforeLines="30" w:afterLines="30" w:line="360" w:lineRule="auto"/>
      <w:contextualSpacing/>
      <w:outlineLvl w:val="4"/>
    </w:pPr>
    <w:rPr>
      <w:rFonts w:ascii="Times New Roman" w:hAnsi="Times New Roman" w:eastAsia="宋体" w:cs="Times New Roman"/>
      <w:bCs/>
      <w:kern w:val="0"/>
      <w:sz w:val="24"/>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2"/>
    <w:basedOn w:val="1"/>
    <w:next w:val="1"/>
    <w:unhideWhenUsed/>
    <w:qFormat/>
    <w:uiPriority w:val="39"/>
    <w:pPr>
      <w:tabs>
        <w:tab w:val="left" w:pos="426"/>
        <w:tab w:val="left" w:pos="567"/>
        <w:tab w:val="left" w:pos="993"/>
        <w:tab w:val="right" w:leader="dot" w:pos="8290"/>
      </w:tabs>
      <w:ind w:left="480" w:leftChars="200"/>
      <w:jc w:val="left"/>
    </w:pPr>
  </w:style>
  <w:style w:type="paragraph" w:styleId="5">
    <w:name w:val="Balloon Text"/>
    <w:basedOn w:val="1"/>
    <w:link w:val="18"/>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05正文"/>
    <w:basedOn w:val="1"/>
    <w:qFormat/>
    <w:uiPriority w:val="0"/>
    <w:pPr>
      <w:spacing w:beforeLines="50" w:line="360" w:lineRule="auto"/>
      <w:ind w:firstLine="200" w:firstLineChars="200"/>
    </w:pPr>
    <w:rPr>
      <w:rFonts w:ascii="Times New Roman" w:hAnsi="Times New Roman" w:eastAsia="宋体" w:cs="Times New Roman"/>
      <w:sz w:val="24"/>
    </w:rPr>
  </w:style>
  <w:style w:type="paragraph" w:customStyle="1" w:styleId="13">
    <w:name w:val="005正文"/>
    <w:qFormat/>
    <w:uiPriority w:val="0"/>
    <w:pPr>
      <w:widowControl w:val="0"/>
      <w:spacing w:beforeLines="50"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4">
    <w:name w:val="页眉 字符"/>
    <w:basedOn w:val="11"/>
    <w:link w:val="7"/>
    <w:qFormat/>
    <w:uiPriority w:val="0"/>
    <w:rPr>
      <w:kern w:val="2"/>
      <w:sz w:val="18"/>
      <w:szCs w:val="18"/>
    </w:rPr>
  </w:style>
  <w:style w:type="character" w:customStyle="1" w:styleId="15">
    <w:name w:val="页脚 字符"/>
    <w:basedOn w:val="11"/>
    <w:link w:val="6"/>
    <w:qFormat/>
    <w:uiPriority w:val="99"/>
    <w:rPr>
      <w:kern w:val="2"/>
      <w:sz w:val="18"/>
      <w:szCs w:val="18"/>
    </w:rPr>
  </w:style>
  <w:style w:type="paragraph" w:styleId="16">
    <w:name w:val="List Paragraph"/>
    <w:basedOn w:val="1"/>
    <w:qFormat/>
    <w:uiPriority w:val="99"/>
    <w:pPr>
      <w:ind w:firstLine="420" w:firstLineChars="200"/>
    </w:pPr>
  </w:style>
  <w:style w:type="table" w:customStyle="1" w:styleId="17">
    <w:name w:val="Table Normal"/>
    <w:semiHidden/>
    <w:unhideWhenUsed/>
    <w:qFormat/>
    <w:uiPriority w:val="0"/>
    <w:tblPr>
      <w:tblCellMar>
        <w:top w:w="0" w:type="dxa"/>
        <w:left w:w="0" w:type="dxa"/>
        <w:bottom w:w="0" w:type="dxa"/>
        <w:right w:w="0" w:type="dxa"/>
      </w:tblCellMar>
    </w:tblPr>
  </w:style>
  <w:style w:type="character" w:customStyle="1" w:styleId="18">
    <w:name w:val="批注框文本 字符"/>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1405</Words>
  <Characters>1445</Characters>
  <Lines>16</Lines>
  <Paragraphs>4</Paragraphs>
  <TotalTime>4</TotalTime>
  <ScaleCrop>false</ScaleCrop>
  <LinksUpToDate>false</LinksUpToDate>
  <CharactersWithSpaces>1569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2022-11-03T05:55:00Z</dcterms:created>
  <dc:creator>杨芹芹</dc:creator>
  <cp:lastModifiedBy>小不点儿</cp:lastModifiedBy>
  <cp:lastPrinted>2023-03-30T08:46:00Z</cp:lastPrinted>
  <dcterms:modified xsi:type="dcterms:W3CDTF">2025-05-15T09:42:08Z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A47911378D9A4811A67DDB9DF64D27B4_12</vt:lpwstr>
  </property>
  <property fmtid="{D5CDD505-2E9C-101B-9397-08002B2CF9AE}" pid="4" name="KSOTemplateDocerSaveRecord">
    <vt:lpwstr>eyJoZGlkIjoiNWE3ZTMzZGU0MmIwNjI3NjBkM2Y0N2QzODRkMzc0YmEiLCJ1c2VySWQiOiI0NTcwMDk2MTkifQ==</vt:lpwstr>
  </property>
</Properties>
</file>