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EC50" w14:textId="77777777" w:rsidR="00BC5266" w:rsidRDefault="00BC5266" w:rsidP="00BC5266">
      <w:pPr>
        <w:pStyle w:val="a3"/>
        <w:ind w:right="-635"/>
        <w:rPr>
          <w:rFonts w:asciiTheme="majorEastAsia" w:eastAsiaTheme="majorEastAsia" w:hAnsiTheme="majorEastAsia"/>
          <w:sz w:val="24"/>
          <w:szCs w:val="24"/>
          <w:lang w:val="en-US"/>
        </w:rPr>
      </w:pPr>
      <w:r w:rsidRPr="00E8302D">
        <w:rPr>
          <w:rFonts w:asciiTheme="majorEastAsia" w:eastAsiaTheme="majorEastAsia" w:hAnsiTheme="majorEastAsia" w:hint="eastAsia"/>
          <w:sz w:val="24"/>
          <w:szCs w:val="24"/>
          <w:lang w:val="en-US"/>
        </w:rPr>
        <w:t xml:space="preserve">证券代码：603931                                     </w:t>
      </w:r>
      <w:r>
        <w:rPr>
          <w:rFonts w:asciiTheme="majorEastAsia" w:eastAsiaTheme="majorEastAsia" w:hAnsiTheme="majorEastAsia" w:hint="eastAsia"/>
          <w:sz w:val="24"/>
          <w:szCs w:val="24"/>
          <w:lang w:val="en-US"/>
        </w:rPr>
        <w:t xml:space="preserve">        </w:t>
      </w:r>
      <w:r w:rsidRPr="00E8302D">
        <w:rPr>
          <w:rFonts w:asciiTheme="majorEastAsia" w:eastAsiaTheme="majorEastAsia" w:hAnsiTheme="majorEastAsia" w:hint="eastAsia"/>
          <w:sz w:val="24"/>
          <w:szCs w:val="24"/>
          <w:lang w:val="en-US"/>
        </w:rPr>
        <w:t xml:space="preserve">  证券简称：格林达</w:t>
      </w:r>
    </w:p>
    <w:p w14:paraId="53E09175" w14:textId="70A6F4B0" w:rsidR="00BC5266" w:rsidRDefault="00000000" w:rsidP="00BC5266">
      <w:pPr>
        <w:pStyle w:val="a3"/>
        <w:ind w:right="-635"/>
        <w:rPr>
          <w:lang w:val="en-US"/>
        </w:rPr>
      </w:pPr>
      <w:r>
        <w:rPr>
          <w:rFonts w:hint="eastAsia"/>
          <w:lang w:val="en-US"/>
        </w:rPr>
        <w:t xml:space="preserve">      </w:t>
      </w:r>
    </w:p>
    <w:p w14:paraId="6A0CD552" w14:textId="77777777" w:rsidR="00BC5266" w:rsidRPr="006C6E4D" w:rsidRDefault="00BC5266" w:rsidP="00963D95">
      <w:pPr>
        <w:pStyle w:val="a3"/>
        <w:ind w:leftChars="257" w:left="565" w:right="824"/>
        <w:jc w:val="center"/>
        <w:rPr>
          <w:sz w:val="32"/>
          <w:szCs w:val="32"/>
        </w:rPr>
      </w:pPr>
      <w:r w:rsidRPr="006C6E4D">
        <w:rPr>
          <w:rFonts w:hint="eastAsia"/>
          <w:sz w:val="32"/>
          <w:szCs w:val="32"/>
          <w:lang w:val="en-US"/>
        </w:rPr>
        <w:t>杭州格林达电子材料</w:t>
      </w:r>
      <w:r w:rsidRPr="006C6E4D">
        <w:rPr>
          <w:sz w:val="32"/>
          <w:szCs w:val="32"/>
        </w:rPr>
        <w:t>股份有限公司投资者关系活动记录表</w:t>
      </w:r>
    </w:p>
    <w:p w14:paraId="0960AB72" w14:textId="34BAD38E" w:rsidR="00BC5266" w:rsidRPr="007528C0" w:rsidRDefault="00BC5266" w:rsidP="00BC5266">
      <w:pPr>
        <w:spacing w:before="154" w:after="32"/>
        <w:ind w:right="-635"/>
        <w:jc w:val="right"/>
        <w:rPr>
          <w:rFonts w:asciiTheme="minorEastAsia" w:eastAsiaTheme="minorEastAsia" w:hAnsiTheme="minorEastAsia"/>
          <w:sz w:val="24"/>
          <w:szCs w:val="21"/>
          <w:lang w:val="en-US"/>
        </w:rPr>
      </w:pPr>
      <w:r w:rsidRPr="00DE46FB">
        <w:rPr>
          <w:rFonts w:asciiTheme="minorEastAsia" w:eastAsiaTheme="minorEastAsia" w:hAnsiTheme="minorEastAsia"/>
          <w:sz w:val="24"/>
          <w:szCs w:val="21"/>
        </w:rPr>
        <w:t>编号：</w:t>
      </w:r>
      <w:r w:rsidRPr="00DE46FB">
        <w:rPr>
          <w:rFonts w:asciiTheme="minorEastAsia" w:eastAsiaTheme="minorEastAsia" w:hAnsiTheme="minorEastAsia" w:hint="eastAsia"/>
          <w:sz w:val="24"/>
          <w:szCs w:val="21"/>
        </w:rPr>
        <w:t>2025-00</w:t>
      </w:r>
      <w:r w:rsidR="007528C0">
        <w:rPr>
          <w:rFonts w:asciiTheme="minorEastAsia" w:eastAsiaTheme="minorEastAsia" w:hAnsiTheme="minorEastAsia"/>
          <w:sz w:val="24"/>
          <w:szCs w:val="21"/>
          <w:lang w:val="en-US"/>
        </w:rPr>
        <w:t>3</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52"/>
        <w:gridCol w:w="7513"/>
      </w:tblGrid>
      <w:tr w:rsidR="00A83E0B" w:rsidRPr="005E08E4" w14:paraId="2FF66DA9" w14:textId="77777777" w:rsidTr="005E08E4">
        <w:trPr>
          <w:trHeight w:val="2177"/>
        </w:trPr>
        <w:tc>
          <w:tcPr>
            <w:tcW w:w="2552" w:type="dxa"/>
          </w:tcPr>
          <w:p w14:paraId="0C1D15A6" w14:textId="77777777" w:rsidR="00A83E0B" w:rsidRPr="005E08E4" w:rsidRDefault="00A83E0B">
            <w:pPr>
              <w:pStyle w:val="TableParagraph"/>
              <w:ind w:left="0"/>
              <w:rPr>
                <w:rFonts w:asciiTheme="majorEastAsia" w:eastAsiaTheme="majorEastAsia" w:hAnsiTheme="majorEastAsia"/>
                <w:sz w:val="24"/>
                <w:szCs w:val="24"/>
              </w:rPr>
            </w:pPr>
          </w:p>
          <w:p w14:paraId="52D4324F" w14:textId="77777777" w:rsidR="00A83E0B" w:rsidRPr="005E08E4" w:rsidRDefault="00A83E0B">
            <w:pPr>
              <w:pStyle w:val="TableParagraph"/>
              <w:spacing w:before="12"/>
              <w:ind w:left="0"/>
              <w:rPr>
                <w:rFonts w:asciiTheme="majorEastAsia" w:eastAsiaTheme="majorEastAsia" w:hAnsiTheme="majorEastAsia"/>
                <w:sz w:val="24"/>
                <w:szCs w:val="24"/>
              </w:rPr>
            </w:pPr>
          </w:p>
          <w:p w14:paraId="319AE997" w14:textId="77777777" w:rsidR="00A83E0B" w:rsidRPr="005E08E4" w:rsidRDefault="00000000">
            <w:pPr>
              <w:pStyle w:val="TableParagraph"/>
              <w:rPr>
                <w:rFonts w:asciiTheme="majorEastAsia" w:eastAsiaTheme="majorEastAsia" w:hAnsiTheme="majorEastAsia"/>
                <w:sz w:val="24"/>
                <w:szCs w:val="24"/>
              </w:rPr>
            </w:pPr>
            <w:r w:rsidRPr="005E08E4">
              <w:rPr>
                <w:rFonts w:asciiTheme="majorEastAsia" w:eastAsiaTheme="majorEastAsia" w:hAnsiTheme="majorEastAsia"/>
                <w:sz w:val="24"/>
                <w:szCs w:val="24"/>
              </w:rPr>
              <w:t>投资者关系活动类别</w:t>
            </w:r>
          </w:p>
        </w:tc>
        <w:tc>
          <w:tcPr>
            <w:tcW w:w="7513" w:type="dxa"/>
          </w:tcPr>
          <w:p w14:paraId="1F001BCD" w14:textId="199514BA" w:rsidR="00A83E0B" w:rsidRPr="005E08E4" w:rsidRDefault="007528C0">
            <w:pPr>
              <w:pStyle w:val="TableParagraph"/>
              <w:tabs>
                <w:tab w:val="left" w:pos="2747"/>
              </w:tabs>
              <w:spacing w:before="64"/>
              <w:rPr>
                <w:rFonts w:asciiTheme="majorEastAsia" w:eastAsiaTheme="majorEastAsia" w:hAnsiTheme="majorEastAsia"/>
                <w:sz w:val="24"/>
                <w:szCs w:val="24"/>
              </w:rPr>
            </w:pPr>
            <w:r w:rsidRPr="007528C0">
              <w:rPr>
                <w:rFonts w:asciiTheme="majorEastAsia" w:eastAsiaTheme="majorEastAsia" w:hAnsiTheme="majorEastAsia" w:hint="eastAsia"/>
                <w:sz w:val="24"/>
                <w:szCs w:val="24"/>
              </w:rPr>
              <w:t>□</w:t>
            </w:r>
            <w:r w:rsidR="001305E4" w:rsidRPr="005E08E4">
              <w:rPr>
                <w:rFonts w:asciiTheme="majorEastAsia" w:eastAsiaTheme="majorEastAsia" w:hAnsiTheme="majorEastAsia"/>
                <w:sz w:val="24"/>
                <w:szCs w:val="24"/>
              </w:rPr>
              <w:t>特定对象调研</w:t>
            </w:r>
            <w:r w:rsidR="001305E4" w:rsidRPr="005E08E4">
              <w:rPr>
                <w:rFonts w:asciiTheme="majorEastAsia" w:eastAsiaTheme="majorEastAsia" w:hAnsiTheme="majorEastAsia"/>
                <w:sz w:val="24"/>
                <w:szCs w:val="24"/>
              </w:rPr>
              <w:tab/>
              <w:t>□分析师会议</w:t>
            </w:r>
          </w:p>
          <w:p w14:paraId="6237480F" w14:textId="472700AC" w:rsidR="00A83E0B" w:rsidRPr="005E08E4" w:rsidRDefault="00000000">
            <w:pPr>
              <w:pStyle w:val="TableParagraph"/>
              <w:tabs>
                <w:tab w:val="left" w:pos="2747"/>
              </w:tabs>
              <w:spacing w:before="130"/>
              <w:rPr>
                <w:rFonts w:asciiTheme="majorEastAsia" w:eastAsiaTheme="majorEastAsia" w:hAnsiTheme="majorEastAsia"/>
                <w:sz w:val="24"/>
                <w:szCs w:val="24"/>
              </w:rPr>
            </w:pPr>
            <w:r w:rsidRPr="005E08E4">
              <w:rPr>
                <w:rFonts w:asciiTheme="majorEastAsia" w:eastAsiaTheme="majorEastAsia" w:hAnsiTheme="majorEastAsia"/>
                <w:sz w:val="24"/>
                <w:szCs w:val="24"/>
              </w:rPr>
              <w:t>□媒体采访</w:t>
            </w:r>
            <w:r w:rsidRPr="005E08E4">
              <w:rPr>
                <w:rFonts w:asciiTheme="majorEastAsia" w:eastAsiaTheme="majorEastAsia" w:hAnsiTheme="majorEastAsia"/>
                <w:sz w:val="24"/>
                <w:szCs w:val="24"/>
              </w:rPr>
              <w:tab/>
            </w:r>
            <w:r w:rsidR="007528C0" w:rsidRPr="007528C0">
              <w:rPr>
                <w:rFonts w:asciiTheme="majorEastAsia" w:eastAsiaTheme="majorEastAsia" w:hAnsiTheme="majorEastAsia" w:hint="eastAsia"/>
                <w:sz w:val="24"/>
                <w:szCs w:val="24"/>
              </w:rPr>
              <w:t>√</w:t>
            </w:r>
            <w:r w:rsidRPr="005E08E4">
              <w:rPr>
                <w:rFonts w:asciiTheme="majorEastAsia" w:eastAsiaTheme="majorEastAsia" w:hAnsiTheme="majorEastAsia"/>
                <w:sz w:val="24"/>
                <w:szCs w:val="24"/>
              </w:rPr>
              <w:t>业绩说明会</w:t>
            </w:r>
          </w:p>
          <w:p w14:paraId="7DD45750" w14:textId="77777777" w:rsidR="00A83E0B" w:rsidRPr="005E08E4" w:rsidRDefault="00000000">
            <w:pPr>
              <w:pStyle w:val="TableParagraph"/>
              <w:tabs>
                <w:tab w:val="left" w:pos="2747"/>
              </w:tabs>
              <w:spacing w:before="126"/>
              <w:rPr>
                <w:rFonts w:asciiTheme="majorEastAsia" w:eastAsiaTheme="majorEastAsia" w:hAnsiTheme="majorEastAsia"/>
                <w:sz w:val="24"/>
                <w:szCs w:val="24"/>
              </w:rPr>
            </w:pPr>
            <w:r w:rsidRPr="005E08E4">
              <w:rPr>
                <w:rFonts w:asciiTheme="majorEastAsia" w:eastAsiaTheme="majorEastAsia" w:hAnsiTheme="majorEastAsia"/>
                <w:sz w:val="24"/>
                <w:szCs w:val="24"/>
              </w:rPr>
              <w:t>□新闻发布会</w:t>
            </w:r>
            <w:r w:rsidRPr="005E08E4">
              <w:rPr>
                <w:rFonts w:asciiTheme="majorEastAsia" w:eastAsiaTheme="majorEastAsia" w:hAnsiTheme="majorEastAsia"/>
                <w:sz w:val="24"/>
                <w:szCs w:val="24"/>
              </w:rPr>
              <w:tab/>
              <w:t>□路演活动</w:t>
            </w:r>
          </w:p>
          <w:p w14:paraId="56269F88" w14:textId="77777777" w:rsidR="00A83E0B" w:rsidRPr="005E08E4" w:rsidRDefault="00000000">
            <w:pPr>
              <w:pStyle w:val="TableParagraph"/>
              <w:spacing w:before="128"/>
              <w:rPr>
                <w:rFonts w:asciiTheme="majorEastAsia" w:eastAsiaTheme="majorEastAsia" w:hAnsiTheme="majorEastAsia"/>
                <w:sz w:val="24"/>
                <w:szCs w:val="24"/>
              </w:rPr>
            </w:pPr>
            <w:r w:rsidRPr="005E08E4">
              <w:rPr>
                <w:rFonts w:asciiTheme="majorEastAsia" w:eastAsiaTheme="majorEastAsia" w:hAnsiTheme="majorEastAsia"/>
                <w:sz w:val="24"/>
                <w:szCs w:val="24"/>
              </w:rPr>
              <w:t>□现场参观</w:t>
            </w:r>
          </w:p>
          <w:p w14:paraId="22C30DD5" w14:textId="77777777" w:rsidR="00A83E0B" w:rsidRPr="005E08E4" w:rsidRDefault="00000000">
            <w:pPr>
              <w:pStyle w:val="TableParagraph"/>
              <w:spacing w:before="127"/>
              <w:rPr>
                <w:rFonts w:asciiTheme="majorEastAsia" w:eastAsiaTheme="majorEastAsia" w:hAnsiTheme="majorEastAsia"/>
                <w:sz w:val="24"/>
                <w:szCs w:val="24"/>
              </w:rPr>
            </w:pPr>
            <w:r w:rsidRPr="005E08E4">
              <w:rPr>
                <w:rFonts w:asciiTheme="majorEastAsia" w:eastAsiaTheme="majorEastAsia" w:hAnsiTheme="majorEastAsia"/>
                <w:sz w:val="24"/>
                <w:szCs w:val="24"/>
              </w:rPr>
              <w:t>□其他（</w:t>
            </w:r>
            <w:proofErr w:type="gramStart"/>
            <w:r w:rsidRPr="005E08E4">
              <w:rPr>
                <w:rFonts w:asciiTheme="majorEastAsia" w:eastAsiaTheme="majorEastAsia" w:hAnsiTheme="majorEastAsia"/>
                <w:sz w:val="24"/>
                <w:szCs w:val="24"/>
              </w:rPr>
              <w:t>请文字</w:t>
            </w:r>
            <w:proofErr w:type="gramEnd"/>
            <w:r w:rsidRPr="005E08E4">
              <w:rPr>
                <w:rFonts w:asciiTheme="majorEastAsia" w:eastAsiaTheme="majorEastAsia" w:hAnsiTheme="majorEastAsia"/>
                <w:sz w:val="24"/>
                <w:szCs w:val="24"/>
              </w:rPr>
              <w:t>说明其他活动内容）</w:t>
            </w:r>
          </w:p>
        </w:tc>
      </w:tr>
      <w:tr w:rsidR="00A83E0B" w:rsidRPr="005E08E4" w14:paraId="27E035E2" w14:textId="77777777" w:rsidTr="005E08E4">
        <w:trPr>
          <w:trHeight w:val="688"/>
        </w:trPr>
        <w:tc>
          <w:tcPr>
            <w:tcW w:w="2552" w:type="dxa"/>
          </w:tcPr>
          <w:p w14:paraId="1BD9B899" w14:textId="77777777" w:rsidR="00A83E0B" w:rsidRPr="005E08E4" w:rsidRDefault="00000000">
            <w:pPr>
              <w:pStyle w:val="TableParagraph"/>
              <w:spacing w:before="64"/>
              <w:rPr>
                <w:rFonts w:asciiTheme="majorEastAsia" w:eastAsiaTheme="majorEastAsia" w:hAnsiTheme="majorEastAsia"/>
                <w:sz w:val="24"/>
                <w:szCs w:val="24"/>
              </w:rPr>
            </w:pPr>
            <w:r w:rsidRPr="005E08E4">
              <w:rPr>
                <w:rFonts w:asciiTheme="majorEastAsia" w:eastAsiaTheme="majorEastAsia" w:hAnsiTheme="majorEastAsia"/>
                <w:sz w:val="24"/>
                <w:szCs w:val="24"/>
              </w:rPr>
              <w:t>活动参与人员</w:t>
            </w:r>
          </w:p>
        </w:tc>
        <w:tc>
          <w:tcPr>
            <w:tcW w:w="7513" w:type="dxa"/>
          </w:tcPr>
          <w:p w14:paraId="25B8A23E" w14:textId="77777777" w:rsidR="007528C0" w:rsidRPr="007528C0" w:rsidRDefault="007528C0" w:rsidP="007528C0">
            <w:pPr>
              <w:pStyle w:val="TableParagraph"/>
              <w:rPr>
                <w:rFonts w:asciiTheme="majorEastAsia" w:eastAsiaTheme="majorEastAsia" w:hAnsiTheme="majorEastAsia"/>
                <w:sz w:val="24"/>
                <w:szCs w:val="24"/>
              </w:rPr>
            </w:pPr>
            <w:r w:rsidRPr="007528C0">
              <w:rPr>
                <w:rFonts w:asciiTheme="majorEastAsia" w:eastAsiaTheme="majorEastAsia" w:hAnsiTheme="majorEastAsia" w:hint="eastAsia"/>
                <w:sz w:val="24"/>
                <w:szCs w:val="24"/>
              </w:rPr>
              <w:t>董事长：蒋慧儿</w:t>
            </w:r>
          </w:p>
          <w:p w14:paraId="3734F7EB" w14:textId="77777777" w:rsidR="007528C0" w:rsidRPr="007528C0" w:rsidRDefault="007528C0" w:rsidP="007528C0">
            <w:pPr>
              <w:pStyle w:val="TableParagraph"/>
              <w:rPr>
                <w:rFonts w:asciiTheme="majorEastAsia" w:eastAsiaTheme="majorEastAsia" w:hAnsiTheme="majorEastAsia"/>
                <w:sz w:val="24"/>
                <w:szCs w:val="24"/>
              </w:rPr>
            </w:pPr>
            <w:r w:rsidRPr="007528C0">
              <w:rPr>
                <w:rFonts w:asciiTheme="majorEastAsia" w:eastAsiaTheme="majorEastAsia" w:hAnsiTheme="majorEastAsia" w:hint="eastAsia"/>
                <w:sz w:val="24"/>
                <w:szCs w:val="24"/>
              </w:rPr>
              <w:t>总经理：方伟华</w:t>
            </w:r>
          </w:p>
          <w:p w14:paraId="0617D295" w14:textId="77777777" w:rsidR="007528C0" w:rsidRPr="007528C0" w:rsidRDefault="007528C0" w:rsidP="007528C0">
            <w:pPr>
              <w:pStyle w:val="TableParagraph"/>
              <w:rPr>
                <w:rFonts w:asciiTheme="majorEastAsia" w:eastAsiaTheme="majorEastAsia" w:hAnsiTheme="majorEastAsia"/>
                <w:sz w:val="24"/>
                <w:szCs w:val="24"/>
              </w:rPr>
            </w:pPr>
            <w:r w:rsidRPr="007528C0">
              <w:rPr>
                <w:rFonts w:asciiTheme="majorEastAsia" w:eastAsiaTheme="majorEastAsia" w:hAnsiTheme="majorEastAsia" w:hint="eastAsia"/>
                <w:sz w:val="24"/>
                <w:szCs w:val="24"/>
              </w:rPr>
              <w:t>财务总监：何婷茹</w:t>
            </w:r>
          </w:p>
          <w:p w14:paraId="5AF65A4C" w14:textId="77777777" w:rsidR="007528C0" w:rsidRPr="007528C0" w:rsidRDefault="007528C0" w:rsidP="007528C0">
            <w:pPr>
              <w:pStyle w:val="TableParagraph"/>
              <w:rPr>
                <w:rFonts w:asciiTheme="majorEastAsia" w:eastAsiaTheme="majorEastAsia" w:hAnsiTheme="majorEastAsia"/>
                <w:sz w:val="24"/>
                <w:szCs w:val="24"/>
              </w:rPr>
            </w:pPr>
            <w:r w:rsidRPr="007528C0">
              <w:rPr>
                <w:rFonts w:asciiTheme="majorEastAsia" w:eastAsiaTheme="majorEastAsia" w:hAnsiTheme="majorEastAsia" w:hint="eastAsia"/>
                <w:sz w:val="24"/>
                <w:szCs w:val="24"/>
              </w:rPr>
              <w:t>董事会秘书：章琪</w:t>
            </w:r>
          </w:p>
          <w:p w14:paraId="0A8B9502" w14:textId="37F2E9FB" w:rsidR="00A83E0B" w:rsidRPr="005E08E4" w:rsidRDefault="007528C0" w:rsidP="007528C0">
            <w:pPr>
              <w:pStyle w:val="TableParagraph"/>
              <w:ind w:left="0" w:firstLineChars="50" w:firstLine="120"/>
              <w:rPr>
                <w:rFonts w:asciiTheme="majorEastAsia" w:eastAsiaTheme="majorEastAsia" w:hAnsiTheme="majorEastAsia"/>
                <w:sz w:val="24"/>
                <w:szCs w:val="24"/>
              </w:rPr>
            </w:pPr>
            <w:r w:rsidRPr="007528C0">
              <w:rPr>
                <w:rFonts w:asciiTheme="majorEastAsia" w:eastAsiaTheme="majorEastAsia" w:hAnsiTheme="majorEastAsia" w:hint="eastAsia"/>
                <w:sz w:val="24"/>
                <w:szCs w:val="24"/>
              </w:rPr>
              <w:t>独立董事：</w:t>
            </w:r>
            <w:r w:rsidRPr="007528C0">
              <w:rPr>
                <w:rFonts w:asciiTheme="majorEastAsia" w:eastAsiaTheme="majorEastAsia" w:hAnsiTheme="majorEastAsia"/>
                <w:sz w:val="24"/>
                <w:szCs w:val="24"/>
              </w:rPr>
              <w:t xml:space="preserve"> 吴晖</w:t>
            </w:r>
          </w:p>
        </w:tc>
      </w:tr>
      <w:tr w:rsidR="00A83E0B" w:rsidRPr="005E08E4" w14:paraId="13A0F995" w14:textId="77777777" w:rsidTr="005E08E4">
        <w:trPr>
          <w:trHeight w:val="436"/>
        </w:trPr>
        <w:tc>
          <w:tcPr>
            <w:tcW w:w="2552" w:type="dxa"/>
          </w:tcPr>
          <w:p w14:paraId="5F7FF5DE" w14:textId="77777777" w:rsidR="00A83E0B" w:rsidRPr="005E08E4" w:rsidRDefault="00000000">
            <w:pPr>
              <w:pStyle w:val="TableParagraph"/>
              <w:spacing w:before="64"/>
              <w:rPr>
                <w:rFonts w:asciiTheme="majorEastAsia" w:eastAsiaTheme="majorEastAsia" w:hAnsiTheme="majorEastAsia"/>
                <w:sz w:val="24"/>
                <w:szCs w:val="24"/>
              </w:rPr>
            </w:pPr>
            <w:r w:rsidRPr="005E08E4">
              <w:rPr>
                <w:rFonts w:asciiTheme="majorEastAsia" w:eastAsiaTheme="majorEastAsia" w:hAnsiTheme="majorEastAsia"/>
                <w:sz w:val="24"/>
                <w:szCs w:val="24"/>
              </w:rPr>
              <w:t>时间</w:t>
            </w:r>
          </w:p>
        </w:tc>
        <w:tc>
          <w:tcPr>
            <w:tcW w:w="7513" w:type="dxa"/>
          </w:tcPr>
          <w:p w14:paraId="4B082C86" w14:textId="0803E20C" w:rsidR="00A83E0B" w:rsidRPr="005E08E4" w:rsidRDefault="00BC5266" w:rsidP="007528C0">
            <w:pPr>
              <w:pStyle w:val="TableParagraph"/>
              <w:ind w:left="0" w:firstLineChars="50" w:firstLine="120"/>
              <w:rPr>
                <w:rFonts w:asciiTheme="majorEastAsia" w:eastAsiaTheme="majorEastAsia" w:hAnsiTheme="majorEastAsia"/>
                <w:sz w:val="24"/>
                <w:szCs w:val="24"/>
              </w:rPr>
            </w:pPr>
            <w:r w:rsidRPr="005E08E4">
              <w:rPr>
                <w:rFonts w:asciiTheme="majorEastAsia" w:eastAsiaTheme="majorEastAsia" w:hAnsiTheme="majorEastAsia"/>
                <w:sz w:val="24"/>
                <w:szCs w:val="24"/>
              </w:rPr>
              <w:t>2025年5月</w:t>
            </w:r>
            <w:r w:rsidR="007528C0">
              <w:rPr>
                <w:rFonts w:asciiTheme="majorEastAsia" w:eastAsiaTheme="majorEastAsia" w:hAnsiTheme="majorEastAsia"/>
                <w:sz w:val="24"/>
                <w:szCs w:val="24"/>
                <w:lang w:val="en-US"/>
              </w:rPr>
              <w:t>16</w:t>
            </w:r>
            <w:r w:rsidRPr="005E08E4">
              <w:rPr>
                <w:rFonts w:asciiTheme="majorEastAsia" w:eastAsiaTheme="majorEastAsia" w:hAnsiTheme="majorEastAsia"/>
                <w:sz w:val="24"/>
                <w:szCs w:val="24"/>
              </w:rPr>
              <w:t>日</w:t>
            </w:r>
            <w:r w:rsidRPr="005E08E4">
              <w:rPr>
                <w:rFonts w:asciiTheme="majorEastAsia" w:eastAsiaTheme="majorEastAsia" w:hAnsiTheme="majorEastAsia" w:hint="eastAsia"/>
                <w:sz w:val="24"/>
                <w:szCs w:val="24"/>
              </w:rPr>
              <w:t xml:space="preserve"> </w:t>
            </w:r>
          </w:p>
        </w:tc>
      </w:tr>
      <w:tr w:rsidR="00A83E0B" w:rsidRPr="005E08E4" w14:paraId="0E13B0F5" w14:textId="77777777" w:rsidTr="005E08E4">
        <w:trPr>
          <w:trHeight w:val="434"/>
        </w:trPr>
        <w:tc>
          <w:tcPr>
            <w:tcW w:w="2552" w:type="dxa"/>
          </w:tcPr>
          <w:p w14:paraId="219387FF" w14:textId="77777777" w:rsidR="00A83E0B" w:rsidRPr="005E08E4" w:rsidRDefault="00000000">
            <w:pPr>
              <w:pStyle w:val="TableParagraph"/>
              <w:spacing w:before="64"/>
              <w:rPr>
                <w:rFonts w:asciiTheme="majorEastAsia" w:eastAsiaTheme="majorEastAsia" w:hAnsiTheme="majorEastAsia"/>
                <w:sz w:val="24"/>
                <w:szCs w:val="24"/>
              </w:rPr>
            </w:pPr>
            <w:r w:rsidRPr="005E08E4">
              <w:rPr>
                <w:rFonts w:asciiTheme="majorEastAsia" w:eastAsiaTheme="majorEastAsia" w:hAnsiTheme="majorEastAsia"/>
                <w:sz w:val="24"/>
                <w:szCs w:val="24"/>
              </w:rPr>
              <w:t>地点</w:t>
            </w:r>
          </w:p>
        </w:tc>
        <w:tc>
          <w:tcPr>
            <w:tcW w:w="7513" w:type="dxa"/>
          </w:tcPr>
          <w:p w14:paraId="33D50453" w14:textId="4C064E83" w:rsidR="00A83E0B" w:rsidRPr="007528C0" w:rsidRDefault="007528C0" w:rsidP="007528C0">
            <w:pPr>
              <w:pStyle w:val="TableParagraph"/>
              <w:ind w:left="0" w:firstLineChars="50" w:firstLine="120"/>
              <w:rPr>
                <w:rFonts w:asciiTheme="majorEastAsia" w:eastAsiaTheme="majorEastAsia" w:hAnsiTheme="majorEastAsia"/>
                <w:sz w:val="24"/>
                <w:szCs w:val="24"/>
                <w:lang w:val="en-US"/>
              </w:rPr>
            </w:pPr>
            <w:r w:rsidRPr="007528C0">
              <w:rPr>
                <w:rFonts w:asciiTheme="majorEastAsia" w:eastAsiaTheme="majorEastAsia" w:hAnsiTheme="majorEastAsia" w:hint="eastAsia"/>
                <w:sz w:val="24"/>
                <w:szCs w:val="24"/>
                <w:lang w:val="en-US"/>
              </w:rPr>
              <w:t>上</w:t>
            </w:r>
            <w:proofErr w:type="gramStart"/>
            <w:r w:rsidRPr="007528C0">
              <w:rPr>
                <w:rFonts w:asciiTheme="majorEastAsia" w:eastAsiaTheme="majorEastAsia" w:hAnsiTheme="majorEastAsia" w:hint="eastAsia"/>
                <w:sz w:val="24"/>
                <w:szCs w:val="24"/>
                <w:lang w:val="en-US"/>
              </w:rPr>
              <w:t>证路演中心</w:t>
            </w:r>
            <w:proofErr w:type="gramEnd"/>
          </w:p>
        </w:tc>
      </w:tr>
      <w:tr w:rsidR="00552E3E" w:rsidRPr="005E08E4" w14:paraId="78BE5BAD" w14:textId="77777777" w:rsidTr="005E08E4">
        <w:trPr>
          <w:trHeight w:val="434"/>
        </w:trPr>
        <w:tc>
          <w:tcPr>
            <w:tcW w:w="2552" w:type="dxa"/>
          </w:tcPr>
          <w:p w14:paraId="03B0FE89" w14:textId="79AC5FFC" w:rsidR="00552E3E" w:rsidRPr="005E08E4" w:rsidRDefault="00552E3E">
            <w:pPr>
              <w:pStyle w:val="TableParagraph"/>
              <w:spacing w:before="64"/>
              <w:rPr>
                <w:rFonts w:asciiTheme="majorEastAsia" w:eastAsiaTheme="majorEastAsia" w:hAnsiTheme="majorEastAsia"/>
                <w:sz w:val="24"/>
                <w:szCs w:val="24"/>
              </w:rPr>
            </w:pPr>
            <w:r w:rsidRPr="005E08E4">
              <w:rPr>
                <w:rFonts w:asciiTheme="majorEastAsia" w:eastAsiaTheme="majorEastAsia" w:hAnsiTheme="majorEastAsia" w:hint="eastAsia"/>
                <w:sz w:val="24"/>
                <w:szCs w:val="24"/>
              </w:rPr>
              <w:t>上市公司接待人员</w:t>
            </w:r>
          </w:p>
        </w:tc>
        <w:tc>
          <w:tcPr>
            <w:tcW w:w="7513" w:type="dxa"/>
          </w:tcPr>
          <w:p w14:paraId="3821837E" w14:textId="1803A6A7" w:rsidR="00552E3E" w:rsidRPr="005E08E4" w:rsidRDefault="00552E3E" w:rsidP="00162871">
            <w:pPr>
              <w:pStyle w:val="TableParagraph"/>
              <w:rPr>
                <w:rFonts w:asciiTheme="majorEastAsia" w:eastAsiaTheme="majorEastAsia" w:hAnsiTheme="majorEastAsia"/>
                <w:sz w:val="24"/>
                <w:szCs w:val="24"/>
              </w:rPr>
            </w:pPr>
          </w:p>
        </w:tc>
      </w:tr>
      <w:tr w:rsidR="00A83E0B" w:rsidRPr="005E08E4" w14:paraId="41889C9F" w14:textId="77777777" w:rsidTr="005E08E4">
        <w:trPr>
          <w:trHeight w:val="2337"/>
        </w:trPr>
        <w:tc>
          <w:tcPr>
            <w:tcW w:w="2552" w:type="dxa"/>
          </w:tcPr>
          <w:p w14:paraId="1D513ADD" w14:textId="77777777" w:rsidR="00A83E0B" w:rsidRPr="005E08E4" w:rsidRDefault="00000000">
            <w:pPr>
              <w:pStyle w:val="TableParagraph"/>
              <w:spacing w:before="67"/>
              <w:rPr>
                <w:rFonts w:asciiTheme="majorEastAsia" w:eastAsiaTheme="majorEastAsia" w:hAnsiTheme="majorEastAsia"/>
                <w:sz w:val="24"/>
                <w:szCs w:val="24"/>
              </w:rPr>
            </w:pPr>
            <w:r w:rsidRPr="005E08E4">
              <w:rPr>
                <w:rFonts w:asciiTheme="majorEastAsia" w:eastAsiaTheme="majorEastAsia" w:hAnsiTheme="majorEastAsia"/>
                <w:sz w:val="24"/>
                <w:szCs w:val="24"/>
              </w:rPr>
              <w:t>交流内容及具体问答</w:t>
            </w:r>
          </w:p>
          <w:p w14:paraId="504BE76F" w14:textId="77777777" w:rsidR="00A83E0B" w:rsidRPr="005E08E4" w:rsidRDefault="00000000">
            <w:pPr>
              <w:pStyle w:val="TableParagraph"/>
              <w:spacing w:before="127"/>
              <w:rPr>
                <w:rFonts w:asciiTheme="majorEastAsia" w:eastAsiaTheme="majorEastAsia" w:hAnsiTheme="majorEastAsia"/>
                <w:sz w:val="24"/>
                <w:szCs w:val="24"/>
              </w:rPr>
            </w:pPr>
            <w:r w:rsidRPr="005E08E4">
              <w:rPr>
                <w:rFonts w:asciiTheme="majorEastAsia" w:eastAsiaTheme="majorEastAsia" w:hAnsiTheme="majorEastAsia"/>
                <w:sz w:val="24"/>
                <w:szCs w:val="24"/>
              </w:rPr>
              <w:t>记录</w:t>
            </w:r>
          </w:p>
        </w:tc>
        <w:tc>
          <w:tcPr>
            <w:tcW w:w="7513" w:type="dxa"/>
          </w:tcPr>
          <w:p w14:paraId="5DA860E1" w14:textId="77777777" w:rsidR="007528C0" w:rsidRPr="007528C0" w:rsidRDefault="007528C0" w:rsidP="007528C0">
            <w:pPr>
              <w:spacing w:line="360" w:lineRule="auto"/>
              <w:ind w:firstLineChars="200" w:firstLine="480"/>
              <w:rPr>
                <w:rFonts w:asciiTheme="majorEastAsia" w:eastAsiaTheme="majorEastAsia" w:hAnsiTheme="majorEastAsia"/>
                <w:sz w:val="24"/>
                <w:szCs w:val="24"/>
              </w:rPr>
            </w:pPr>
            <w:r w:rsidRPr="007528C0">
              <w:rPr>
                <w:rFonts w:asciiTheme="majorEastAsia" w:eastAsiaTheme="majorEastAsia" w:hAnsiTheme="majorEastAsia"/>
                <w:sz w:val="24"/>
                <w:szCs w:val="24"/>
              </w:rPr>
              <w:t>1、公司本期盈利水平如何？</w:t>
            </w:r>
          </w:p>
          <w:p w14:paraId="1F998C67" w14:textId="3F6F96B0" w:rsidR="007528C0" w:rsidRPr="007528C0" w:rsidRDefault="00C96C17" w:rsidP="007528C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答：</w:t>
            </w:r>
            <w:r w:rsidR="007528C0" w:rsidRPr="007528C0">
              <w:rPr>
                <w:rFonts w:asciiTheme="majorEastAsia" w:eastAsiaTheme="majorEastAsia" w:hAnsiTheme="majorEastAsia"/>
                <w:sz w:val="24"/>
                <w:szCs w:val="24"/>
              </w:rPr>
              <w:t>尊敬的投资者你好，公司2025年第一季度实现营业收入16240.76万元，较上年同期下降4.87%，归属于上市公司股东的净利润3182.29万元，较上年同期下降6.66%。2024年半导体显示行业机遇与挑战并存。在经济下行压力影响下，市场呈现剧烈波动特征，下游行业正处于逐步修复阶段。进入2025年，下游面板厂商坚持控产稳价策略，按需生产，根据市场需求，弹性调节产线稼动率。在此基础上，需求端库存实现加速去化，产业库存趋近健康标准，行业需求回归正常节奏。谢谢。</w:t>
            </w:r>
          </w:p>
          <w:p w14:paraId="60AC1E23" w14:textId="77777777" w:rsidR="007528C0" w:rsidRPr="007528C0" w:rsidRDefault="007528C0" w:rsidP="007528C0">
            <w:pPr>
              <w:spacing w:line="360" w:lineRule="auto"/>
              <w:ind w:firstLineChars="200" w:firstLine="480"/>
              <w:rPr>
                <w:rFonts w:asciiTheme="majorEastAsia" w:eastAsiaTheme="majorEastAsia" w:hAnsiTheme="majorEastAsia"/>
                <w:sz w:val="24"/>
                <w:szCs w:val="24"/>
              </w:rPr>
            </w:pPr>
          </w:p>
          <w:p w14:paraId="460D12EF" w14:textId="77777777" w:rsidR="007528C0" w:rsidRPr="007528C0" w:rsidRDefault="007528C0" w:rsidP="007528C0">
            <w:pPr>
              <w:spacing w:line="360" w:lineRule="auto"/>
              <w:ind w:firstLineChars="200" w:firstLine="480"/>
              <w:rPr>
                <w:rFonts w:asciiTheme="majorEastAsia" w:eastAsiaTheme="majorEastAsia" w:hAnsiTheme="majorEastAsia"/>
                <w:sz w:val="24"/>
                <w:szCs w:val="24"/>
              </w:rPr>
            </w:pPr>
            <w:r w:rsidRPr="007528C0">
              <w:rPr>
                <w:rFonts w:asciiTheme="majorEastAsia" w:eastAsiaTheme="majorEastAsia" w:hAnsiTheme="majorEastAsia"/>
                <w:sz w:val="24"/>
                <w:szCs w:val="24"/>
              </w:rPr>
              <w:t>2、公司之后的盈利有什么增长点？</w:t>
            </w:r>
          </w:p>
          <w:p w14:paraId="7E9C3C14" w14:textId="56112983" w:rsidR="007528C0" w:rsidRPr="007528C0" w:rsidRDefault="00C96C17" w:rsidP="007528C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答：</w:t>
            </w:r>
            <w:r w:rsidR="007528C0" w:rsidRPr="007528C0">
              <w:rPr>
                <w:rFonts w:asciiTheme="majorEastAsia" w:eastAsiaTheme="majorEastAsia" w:hAnsiTheme="majorEastAsia"/>
                <w:sz w:val="24"/>
                <w:szCs w:val="24"/>
              </w:rPr>
              <w:t>尊敬的投资者你好，公司在稳固TMAH显影液市场领先地位的同时，加速推进新产品市场拓展，着力</w:t>
            </w:r>
            <w:proofErr w:type="gramStart"/>
            <w:r w:rsidR="007528C0" w:rsidRPr="007528C0">
              <w:rPr>
                <w:rFonts w:asciiTheme="majorEastAsia" w:eastAsiaTheme="majorEastAsia" w:hAnsiTheme="majorEastAsia"/>
                <w:sz w:val="24"/>
                <w:szCs w:val="24"/>
              </w:rPr>
              <w:t>构建多元</w:t>
            </w:r>
            <w:proofErr w:type="gramEnd"/>
            <w:r w:rsidR="007528C0" w:rsidRPr="007528C0">
              <w:rPr>
                <w:rFonts w:asciiTheme="majorEastAsia" w:eastAsiaTheme="majorEastAsia" w:hAnsiTheme="majorEastAsia"/>
                <w:sz w:val="24"/>
                <w:szCs w:val="24"/>
              </w:rPr>
              <w:t>产品矩阵。公司以剥离液等新产品为重点，精准把握下游客户产能调整契机，全力推进新产品立项。在西南地区体系客户中开展产线测试和导入工作，为品牌客户量供夯实基础。同时，公司加大市场开拓力度，挖掘新客户需求，强化定制化服务能力，满足客户生产工艺的更新迭代需求。市场拓展成效显著：</w:t>
            </w:r>
            <w:r w:rsidR="007528C0" w:rsidRPr="007528C0">
              <w:rPr>
                <w:rFonts w:asciiTheme="majorEastAsia" w:eastAsiaTheme="majorEastAsia" w:hAnsiTheme="majorEastAsia"/>
                <w:sz w:val="24"/>
                <w:szCs w:val="24"/>
              </w:rPr>
              <w:lastRenderedPageBreak/>
              <w:t>显影液产品在西南体系客户中已实现单厂转产测试成功并完成合同签订和量供切换，同时继续推进其他单厂的转产测试进程；剥离液产品继成功导入维信诺集团</w:t>
            </w:r>
            <w:r w:rsidR="007528C0" w:rsidRPr="007528C0">
              <w:rPr>
                <w:rFonts w:asciiTheme="majorEastAsia" w:eastAsiaTheme="majorEastAsia" w:hAnsiTheme="majorEastAsia" w:hint="eastAsia"/>
                <w:sz w:val="24"/>
                <w:szCs w:val="24"/>
              </w:rPr>
              <w:t>云谷</w:t>
            </w:r>
            <w:r w:rsidR="007528C0" w:rsidRPr="007528C0">
              <w:rPr>
                <w:rFonts w:asciiTheme="majorEastAsia" w:eastAsiaTheme="majorEastAsia" w:hAnsiTheme="majorEastAsia"/>
                <w:sz w:val="24"/>
                <w:szCs w:val="24"/>
              </w:rPr>
              <w:t>(固安)科技有限公司后，已初步进入惠科集团华南区域供应商体系；半导体用显影液和稀释液已在半导体功率器件企业形成稳定量供，并在国内外下游半导体客户端持续开拓市场。通过提升综合配套服务能力与客户粘性，公司正形成"核心产品+战略新品"双轮驱动的可持续发展格局。谢谢。</w:t>
            </w:r>
          </w:p>
          <w:p w14:paraId="4AB9C2A0" w14:textId="77777777" w:rsidR="007528C0" w:rsidRPr="007528C0" w:rsidRDefault="007528C0" w:rsidP="007528C0">
            <w:pPr>
              <w:spacing w:line="360" w:lineRule="auto"/>
              <w:ind w:firstLineChars="200" w:firstLine="480"/>
              <w:rPr>
                <w:rFonts w:asciiTheme="majorEastAsia" w:eastAsiaTheme="majorEastAsia" w:hAnsiTheme="majorEastAsia"/>
                <w:sz w:val="24"/>
                <w:szCs w:val="24"/>
              </w:rPr>
            </w:pPr>
          </w:p>
          <w:p w14:paraId="536C5B9A" w14:textId="77777777" w:rsidR="007528C0" w:rsidRPr="007528C0" w:rsidRDefault="007528C0" w:rsidP="007528C0">
            <w:pPr>
              <w:spacing w:line="360" w:lineRule="auto"/>
              <w:ind w:firstLineChars="200" w:firstLine="480"/>
              <w:rPr>
                <w:rFonts w:asciiTheme="majorEastAsia" w:eastAsiaTheme="majorEastAsia" w:hAnsiTheme="majorEastAsia"/>
                <w:sz w:val="24"/>
                <w:szCs w:val="24"/>
              </w:rPr>
            </w:pPr>
            <w:r w:rsidRPr="007528C0">
              <w:rPr>
                <w:rFonts w:asciiTheme="majorEastAsia" w:eastAsiaTheme="majorEastAsia" w:hAnsiTheme="majorEastAsia"/>
                <w:sz w:val="24"/>
                <w:szCs w:val="24"/>
              </w:rPr>
              <w:t>3、行业以后的发展前景怎样？</w:t>
            </w:r>
          </w:p>
          <w:p w14:paraId="7F02F6DD" w14:textId="21D280A1" w:rsidR="007528C0" w:rsidRPr="007528C0" w:rsidRDefault="00C96C17" w:rsidP="007528C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答：</w:t>
            </w:r>
            <w:r w:rsidR="007528C0" w:rsidRPr="007528C0">
              <w:rPr>
                <w:rFonts w:asciiTheme="majorEastAsia" w:eastAsiaTheme="majorEastAsia" w:hAnsiTheme="majorEastAsia"/>
                <w:sz w:val="24"/>
                <w:szCs w:val="24"/>
              </w:rPr>
              <w:t>尊敬的投资者你好，中国数字经济的发展将</w:t>
            </w:r>
            <w:proofErr w:type="gramStart"/>
            <w:r w:rsidR="007528C0" w:rsidRPr="007528C0">
              <w:rPr>
                <w:rFonts w:asciiTheme="majorEastAsia" w:eastAsiaTheme="majorEastAsia" w:hAnsiTheme="majorEastAsia"/>
                <w:sz w:val="24"/>
                <w:szCs w:val="24"/>
              </w:rPr>
              <w:t>引领新型</w:t>
            </w:r>
            <w:proofErr w:type="gramEnd"/>
            <w:r w:rsidR="007528C0" w:rsidRPr="007528C0">
              <w:rPr>
                <w:rFonts w:asciiTheme="majorEastAsia" w:eastAsiaTheme="majorEastAsia" w:hAnsiTheme="majorEastAsia"/>
                <w:sz w:val="24"/>
                <w:szCs w:val="24"/>
              </w:rPr>
              <w:t>显示产业和集成电路产业规模继续扩大，并呈现高质量发展的态势，对相关产业链的专用材料和设备企业而言将是巨大的市场机遇。未来中国新型显示产业和集成电路产业创新加快，应用逐渐多样化，发展前景广阔。随着5G、人工智能、工业物联网、互联网等行业的发展，芯片与新型显示器件的需求将持续增加。集成电路、新型显示作为国家的战略性新兴产业，与其相关配套的电子材料也是重要的发展领域。在下游市场的带动下，公司所处的电子材料领域呈现较好的发展前景，以湿电子化学品为核心的系列产品也将迎</w:t>
            </w:r>
            <w:r w:rsidR="007528C0" w:rsidRPr="007528C0">
              <w:rPr>
                <w:rFonts w:asciiTheme="majorEastAsia" w:eastAsiaTheme="majorEastAsia" w:hAnsiTheme="majorEastAsia" w:hint="eastAsia"/>
                <w:sz w:val="24"/>
                <w:szCs w:val="24"/>
              </w:rPr>
              <w:t>来进一步市场机遇。谢谢。</w:t>
            </w:r>
          </w:p>
          <w:p w14:paraId="2FC566E9" w14:textId="77777777" w:rsidR="007528C0" w:rsidRPr="007528C0" w:rsidRDefault="007528C0" w:rsidP="007528C0">
            <w:pPr>
              <w:spacing w:line="360" w:lineRule="auto"/>
              <w:ind w:firstLineChars="200" w:firstLine="480"/>
              <w:rPr>
                <w:rFonts w:asciiTheme="majorEastAsia" w:eastAsiaTheme="majorEastAsia" w:hAnsiTheme="majorEastAsia"/>
                <w:sz w:val="24"/>
                <w:szCs w:val="24"/>
              </w:rPr>
            </w:pPr>
          </w:p>
          <w:p w14:paraId="4309BE67" w14:textId="77777777" w:rsidR="007528C0" w:rsidRPr="007528C0" w:rsidRDefault="007528C0" w:rsidP="007528C0">
            <w:pPr>
              <w:spacing w:line="360" w:lineRule="auto"/>
              <w:ind w:firstLineChars="200" w:firstLine="480"/>
              <w:rPr>
                <w:rFonts w:asciiTheme="majorEastAsia" w:eastAsiaTheme="majorEastAsia" w:hAnsiTheme="majorEastAsia"/>
                <w:sz w:val="24"/>
                <w:szCs w:val="24"/>
              </w:rPr>
            </w:pPr>
            <w:r w:rsidRPr="007528C0">
              <w:rPr>
                <w:rFonts w:asciiTheme="majorEastAsia" w:eastAsiaTheme="majorEastAsia" w:hAnsiTheme="majorEastAsia"/>
                <w:sz w:val="24"/>
                <w:szCs w:val="24"/>
              </w:rPr>
              <w:t>4、行业本期整体业绩怎么样？公司和同行其他公司比如何？</w:t>
            </w:r>
          </w:p>
          <w:p w14:paraId="0AFA5B2E" w14:textId="692BD40D" w:rsidR="00552E3E" w:rsidRPr="005E08E4" w:rsidRDefault="00C96C17" w:rsidP="007528C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sz w:val="24"/>
                <w:szCs w:val="24"/>
              </w:rPr>
              <w:t>答：</w:t>
            </w:r>
            <w:r w:rsidR="007528C0" w:rsidRPr="007528C0">
              <w:rPr>
                <w:rFonts w:asciiTheme="majorEastAsia" w:eastAsiaTheme="majorEastAsia" w:hAnsiTheme="majorEastAsia"/>
                <w:sz w:val="24"/>
                <w:szCs w:val="24"/>
              </w:rPr>
              <w:t>尊敬的投资者你好，公司自成立以来，一直专注于</w:t>
            </w:r>
            <w:proofErr w:type="gramStart"/>
            <w:r w:rsidR="007528C0" w:rsidRPr="007528C0">
              <w:rPr>
                <w:rFonts w:asciiTheme="majorEastAsia" w:eastAsiaTheme="majorEastAsia" w:hAnsiTheme="majorEastAsia"/>
                <w:sz w:val="24"/>
                <w:szCs w:val="24"/>
              </w:rPr>
              <w:t>湿电子</w:t>
            </w:r>
            <w:proofErr w:type="gramEnd"/>
            <w:r w:rsidR="007528C0" w:rsidRPr="007528C0">
              <w:rPr>
                <w:rFonts w:asciiTheme="majorEastAsia" w:eastAsiaTheme="majorEastAsia" w:hAnsiTheme="majorEastAsia"/>
                <w:sz w:val="24"/>
                <w:szCs w:val="24"/>
              </w:rPr>
              <w:t>化学品的研发、生产和销售。20余年的专注，使得企业在生产工艺、产品服务、客户资源和运营管理等方面具备了独特的竞争优势。未来，公司将继续深耕于湿电子化学品领域，充分发挥公司研发团队的自主创新能力，加大研发投入，配合下游应用领域发展，不断提高产品品质、配套开发能力和综合服务能力，为客户提供高科技含量、高附加值的专用化学品与服务，也将继续秉承“卓越品质，精诚服务，以人为本，发展至上”的企业精神、 “以品质求生存，以服务求发展”的经营理念以及“诚信、务实、创新、</w:t>
            </w:r>
            <w:r w:rsidR="007528C0" w:rsidRPr="007528C0">
              <w:rPr>
                <w:rFonts w:asciiTheme="majorEastAsia" w:eastAsiaTheme="majorEastAsia" w:hAnsiTheme="majorEastAsia" w:hint="eastAsia"/>
                <w:sz w:val="24"/>
                <w:szCs w:val="24"/>
              </w:rPr>
              <w:t>发展”的企业价值观，不断努力推动企业向前发展，实现从制造到智造的可持续发展、从生产供应到全周期综合服务的全方位提升，最终成为电子材料领域国际领先的系统服务提供者。谢谢。</w:t>
            </w:r>
          </w:p>
        </w:tc>
      </w:tr>
      <w:tr w:rsidR="00A83E0B" w:rsidRPr="005E08E4" w14:paraId="64D84202" w14:textId="77777777" w:rsidTr="005E08E4">
        <w:trPr>
          <w:trHeight w:val="1603"/>
        </w:trPr>
        <w:tc>
          <w:tcPr>
            <w:tcW w:w="2552" w:type="dxa"/>
          </w:tcPr>
          <w:p w14:paraId="55F322A2" w14:textId="77777777" w:rsidR="00A83E0B" w:rsidRPr="005E08E4" w:rsidRDefault="00000000">
            <w:pPr>
              <w:pStyle w:val="TableParagraph"/>
              <w:spacing w:before="64" w:line="340" w:lineRule="auto"/>
              <w:ind w:right="97"/>
              <w:jc w:val="both"/>
              <w:rPr>
                <w:rFonts w:asciiTheme="majorEastAsia" w:eastAsiaTheme="majorEastAsia" w:hAnsiTheme="majorEastAsia"/>
                <w:sz w:val="24"/>
                <w:szCs w:val="24"/>
              </w:rPr>
            </w:pPr>
            <w:r w:rsidRPr="005E08E4">
              <w:rPr>
                <w:rFonts w:asciiTheme="majorEastAsia" w:eastAsiaTheme="majorEastAsia" w:hAnsiTheme="majorEastAsia"/>
                <w:sz w:val="24"/>
                <w:szCs w:val="24"/>
              </w:rPr>
              <w:lastRenderedPageBreak/>
              <w:t>活动过程中所使用的演示文稿、提供的文档等附件（如有，可</w:t>
            </w:r>
          </w:p>
          <w:p w14:paraId="6B84863A" w14:textId="77777777" w:rsidR="00A83E0B" w:rsidRPr="005E08E4" w:rsidRDefault="00000000">
            <w:pPr>
              <w:pStyle w:val="TableParagraph"/>
              <w:spacing w:line="303" w:lineRule="exact"/>
              <w:rPr>
                <w:rFonts w:asciiTheme="majorEastAsia" w:eastAsiaTheme="majorEastAsia" w:hAnsiTheme="majorEastAsia"/>
                <w:sz w:val="24"/>
                <w:szCs w:val="24"/>
              </w:rPr>
            </w:pPr>
            <w:r w:rsidRPr="005E08E4">
              <w:rPr>
                <w:rFonts w:asciiTheme="majorEastAsia" w:eastAsiaTheme="majorEastAsia" w:hAnsiTheme="majorEastAsia"/>
                <w:sz w:val="24"/>
                <w:szCs w:val="24"/>
              </w:rPr>
              <w:t>作为附件）</w:t>
            </w:r>
          </w:p>
        </w:tc>
        <w:tc>
          <w:tcPr>
            <w:tcW w:w="7513" w:type="dxa"/>
          </w:tcPr>
          <w:p w14:paraId="561E560E" w14:textId="6C8F9337" w:rsidR="00A83E0B" w:rsidRPr="005E08E4" w:rsidRDefault="001305E4">
            <w:pPr>
              <w:pStyle w:val="TableParagraph"/>
              <w:ind w:left="0"/>
              <w:rPr>
                <w:rFonts w:asciiTheme="majorEastAsia" w:eastAsiaTheme="majorEastAsia" w:hAnsiTheme="majorEastAsia"/>
                <w:sz w:val="24"/>
                <w:szCs w:val="24"/>
              </w:rPr>
            </w:pPr>
            <w:r w:rsidRPr="005E08E4">
              <w:rPr>
                <w:rFonts w:asciiTheme="majorEastAsia" w:eastAsiaTheme="majorEastAsia" w:hAnsiTheme="majorEastAsia" w:hint="eastAsia"/>
                <w:sz w:val="24"/>
                <w:szCs w:val="24"/>
              </w:rPr>
              <w:t>无</w:t>
            </w:r>
          </w:p>
        </w:tc>
      </w:tr>
    </w:tbl>
    <w:p w14:paraId="4DCD8C9A" w14:textId="5764DE10" w:rsidR="000107D8" w:rsidRDefault="000107D8" w:rsidP="00E21290">
      <w:pPr>
        <w:rPr>
          <w:rFonts w:ascii="宋体" w:hAnsi="宋体"/>
          <w:sz w:val="28"/>
        </w:rPr>
      </w:pPr>
    </w:p>
    <w:sectPr w:rsidR="000107D8">
      <w:type w:val="continuous"/>
      <w:pgSz w:w="11910" w:h="16840"/>
      <w:pgMar w:top="1520" w:right="15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B862" w14:textId="77777777" w:rsidR="00EB4388" w:rsidRDefault="00EB4388" w:rsidP="001305E4">
      <w:r>
        <w:separator/>
      </w:r>
    </w:p>
  </w:endnote>
  <w:endnote w:type="continuationSeparator" w:id="0">
    <w:p w14:paraId="08BF2D9F" w14:textId="77777777" w:rsidR="00EB4388" w:rsidRDefault="00EB4388" w:rsidP="0013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AA11" w14:textId="77777777" w:rsidR="00EB4388" w:rsidRDefault="00EB4388" w:rsidP="001305E4">
      <w:r>
        <w:separator/>
      </w:r>
    </w:p>
  </w:footnote>
  <w:footnote w:type="continuationSeparator" w:id="0">
    <w:p w14:paraId="14BDA964" w14:textId="77777777" w:rsidR="00EB4388" w:rsidRDefault="00EB4388" w:rsidP="00130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0B"/>
    <w:rsid w:val="000107D8"/>
    <w:rsid w:val="00017528"/>
    <w:rsid w:val="0007053C"/>
    <w:rsid w:val="00071C6E"/>
    <w:rsid w:val="000D2AB6"/>
    <w:rsid w:val="001108FE"/>
    <w:rsid w:val="0012596F"/>
    <w:rsid w:val="001305E4"/>
    <w:rsid w:val="00162871"/>
    <w:rsid w:val="00171360"/>
    <w:rsid w:val="0017157A"/>
    <w:rsid w:val="001C2F39"/>
    <w:rsid w:val="001E10B2"/>
    <w:rsid w:val="0020694B"/>
    <w:rsid w:val="00215255"/>
    <w:rsid w:val="00263F0C"/>
    <w:rsid w:val="002806F3"/>
    <w:rsid w:val="002C7B42"/>
    <w:rsid w:val="00304AA5"/>
    <w:rsid w:val="00327BF0"/>
    <w:rsid w:val="003C207C"/>
    <w:rsid w:val="003C6CFD"/>
    <w:rsid w:val="00444BCF"/>
    <w:rsid w:val="004B3293"/>
    <w:rsid w:val="004F1E49"/>
    <w:rsid w:val="004F68F0"/>
    <w:rsid w:val="005156BA"/>
    <w:rsid w:val="00520021"/>
    <w:rsid w:val="00551301"/>
    <w:rsid w:val="00552269"/>
    <w:rsid w:val="00552E3E"/>
    <w:rsid w:val="00577250"/>
    <w:rsid w:val="00580104"/>
    <w:rsid w:val="005D738A"/>
    <w:rsid w:val="005E08E4"/>
    <w:rsid w:val="00610110"/>
    <w:rsid w:val="00661C8B"/>
    <w:rsid w:val="00711F8E"/>
    <w:rsid w:val="0071356F"/>
    <w:rsid w:val="007528C0"/>
    <w:rsid w:val="007659E4"/>
    <w:rsid w:val="007B6582"/>
    <w:rsid w:val="007E1942"/>
    <w:rsid w:val="007E3B0D"/>
    <w:rsid w:val="00806748"/>
    <w:rsid w:val="0081611E"/>
    <w:rsid w:val="008918A7"/>
    <w:rsid w:val="008A4F6A"/>
    <w:rsid w:val="008B21B3"/>
    <w:rsid w:val="008E614D"/>
    <w:rsid w:val="008E69FB"/>
    <w:rsid w:val="00946532"/>
    <w:rsid w:val="009A5806"/>
    <w:rsid w:val="009B56F7"/>
    <w:rsid w:val="009F0355"/>
    <w:rsid w:val="00A16B93"/>
    <w:rsid w:val="00A53C54"/>
    <w:rsid w:val="00A83E0B"/>
    <w:rsid w:val="00A83F33"/>
    <w:rsid w:val="00A92E65"/>
    <w:rsid w:val="00AB70D9"/>
    <w:rsid w:val="00AD52E4"/>
    <w:rsid w:val="00B10134"/>
    <w:rsid w:val="00B819F2"/>
    <w:rsid w:val="00BC4BE7"/>
    <w:rsid w:val="00BC5266"/>
    <w:rsid w:val="00C5219B"/>
    <w:rsid w:val="00C6276F"/>
    <w:rsid w:val="00C91D90"/>
    <w:rsid w:val="00C96C17"/>
    <w:rsid w:val="00CC496A"/>
    <w:rsid w:val="00CE38E0"/>
    <w:rsid w:val="00CF1336"/>
    <w:rsid w:val="00D529B8"/>
    <w:rsid w:val="00D66389"/>
    <w:rsid w:val="00D822D7"/>
    <w:rsid w:val="00DB46FA"/>
    <w:rsid w:val="00E21290"/>
    <w:rsid w:val="00E231E8"/>
    <w:rsid w:val="00E50F80"/>
    <w:rsid w:val="00EB4388"/>
    <w:rsid w:val="00F01B9E"/>
    <w:rsid w:val="00F077A1"/>
    <w:rsid w:val="00F36EB7"/>
    <w:rsid w:val="00F63023"/>
    <w:rsid w:val="00F67894"/>
    <w:rsid w:val="00F971FE"/>
    <w:rsid w:val="00FD431E"/>
    <w:rsid w:val="1ED2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05ACA"/>
  <w15:docId w15:val="{18E79BAF-7D05-4D7B-ADBA-A8E53DD0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rsid w:val="001305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305E4"/>
    <w:rPr>
      <w:rFonts w:ascii="仿宋" w:eastAsia="仿宋" w:hAnsi="仿宋" w:cs="仿宋"/>
      <w:sz w:val="18"/>
      <w:szCs w:val="18"/>
      <w:lang w:val="zh-CN" w:bidi="zh-CN"/>
    </w:rPr>
  </w:style>
  <w:style w:type="paragraph" w:styleId="a7">
    <w:name w:val="footer"/>
    <w:basedOn w:val="a"/>
    <w:link w:val="a8"/>
    <w:rsid w:val="001305E4"/>
    <w:pPr>
      <w:tabs>
        <w:tab w:val="center" w:pos="4153"/>
        <w:tab w:val="right" w:pos="8306"/>
      </w:tabs>
      <w:snapToGrid w:val="0"/>
    </w:pPr>
    <w:rPr>
      <w:sz w:val="18"/>
      <w:szCs w:val="18"/>
    </w:rPr>
  </w:style>
  <w:style w:type="character" w:customStyle="1" w:styleId="a8">
    <w:name w:val="页脚 字符"/>
    <w:basedOn w:val="a0"/>
    <w:link w:val="a7"/>
    <w:rsid w:val="001305E4"/>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09256">
      <w:bodyDiv w:val="1"/>
      <w:marLeft w:val="0"/>
      <w:marRight w:val="0"/>
      <w:marTop w:val="0"/>
      <w:marBottom w:val="0"/>
      <w:divBdr>
        <w:top w:val="none" w:sz="0" w:space="0" w:color="auto"/>
        <w:left w:val="none" w:sz="0" w:space="0" w:color="auto"/>
        <w:bottom w:val="none" w:sz="0" w:space="0" w:color="auto"/>
        <w:right w:val="none" w:sz="0" w:space="0" w:color="auto"/>
      </w:divBdr>
      <w:divsChild>
        <w:div w:id="2119912402">
          <w:marLeft w:val="0"/>
          <w:marRight w:val="0"/>
          <w:marTop w:val="0"/>
          <w:marBottom w:val="0"/>
          <w:divBdr>
            <w:top w:val="none" w:sz="0" w:space="0" w:color="auto"/>
            <w:left w:val="none" w:sz="0" w:space="0" w:color="auto"/>
            <w:bottom w:val="none" w:sz="0" w:space="0" w:color="auto"/>
            <w:right w:val="none" w:sz="0" w:space="0" w:color="auto"/>
          </w:divBdr>
        </w:div>
        <w:div w:id="1495098581">
          <w:marLeft w:val="0"/>
          <w:marRight w:val="0"/>
          <w:marTop w:val="0"/>
          <w:marBottom w:val="0"/>
          <w:divBdr>
            <w:top w:val="none" w:sz="0" w:space="0" w:color="auto"/>
            <w:left w:val="none" w:sz="0" w:space="0" w:color="auto"/>
            <w:bottom w:val="none" w:sz="0" w:space="0" w:color="auto"/>
            <w:right w:val="none" w:sz="0" w:space="0" w:color="auto"/>
          </w:divBdr>
        </w:div>
      </w:divsChild>
    </w:div>
    <w:div w:id="485324448">
      <w:bodyDiv w:val="1"/>
      <w:marLeft w:val="0"/>
      <w:marRight w:val="0"/>
      <w:marTop w:val="0"/>
      <w:marBottom w:val="0"/>
      <w:divBdr>
        <w:top w:val="none" w:sz="0" w:space="0" w:color="auto"/>
        <w:left w:val="none" w:sz="0" w:space="0" w:color="auto"/>
        <w:bottom w:val="none" w:sz="0" w:space="0" w:color="auto"/>
        <w:right w:val="none" w:sz="0" w:space="0" w:color="auto"/>
      </w:divBdr>
    </w:div>
    <w:div w:id="1565020329">
      <w:bodyDiv w:val="1"/>
      <w:marLeft w:val="0"/>
      <w:marRight w:val="0"/>
      <w:marTop w:val="0"/>
      <w:marBottom w:val="0"/>
      <w:divBdr>
        <w:top w:val="none" w:sz="0" w:space="0" w:color="auto"/>
        <w:left w:val="none" w:sz="0" w:space="0" w:color="auto"/>
        <w:bottom w:val="none" w:sz="0" w:space="0" w:color="auto"/>
        <w:right w:val="none" w:sz="0" w:space="0" w:color="auto"/>
      </w:divBdr>
      <w:divsChild>
        <w:div w:id="1742481340">
          <w:marLeft w:val="0"/>
          <w:marRight w:val="0"/>
          <w:marTop w:val="0"/>
          <w:marBottom w:val="0"/>
          <w:divBdr>
            <w:top w:val="none" w:sz="0" w:space="0" w:color="auto"/>
            <w:left w:val="none" w:sz="0" w:space="0" w:color="auto"/>
            <w:bottom w:val="none" w:sz="0" w:space="0" w:color="auto"/>
            <w:right w:val="none" w:sz="0" w:space="0" w:color="auto"/>
          </w:divBdr>
        </w:div>
        <w:div w:id="1559394655">
          <w:marLeft w:val="0"/>
          <w:marRight w:val="0"/>
          <w:marTop w:val="0"/>
          <w:marBottom w:val="0"/>
          <w:divBdr>
            <w:top w:val="none" w:sz="0" w:space="0" w:color="auto"/>
            <w:left w:val="none" w:sz="0" w:space="0" w:color="auto"/>
            <w:bottom w:val="none" w:sz="0" w:space="0" w:color="auto"/>
            <w:right w:val="none" w:sz="0" w:space="0" w:color="auto"/>
          </w:divBdr>
        </w:div>
      </w:divsChild>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93228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杨展</dc:creator>
  <cp:lastModifiedBy>ZE DA</cp:lastModifiedBy>
  <cp:revision>17</cp:revision>
  <dcterms:created xsi:type="dcterms:W3CDTF">2024-10-30T05:21:00Z</dcterms:created>
  <dcterms:modified xsi:type="dcterms:W3CDTF">2025-05-16T04:27:00Z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2052-10.1.0.7698</vt:lpwstr>
  </property>
</Properties>
</file>