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证券代码：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600284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证券简称：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浦东建设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上海浦东建设股份有限公司</w:t>
      </w:r>
    </w:p>
    <w:p>
      <w:pPr>
        <w:spacing w:line="360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投资者关系活动记录表</w:t>
      </w:r>
    </w:p>
    <w:p>
      <w:pPr>
        <w:spacing w:before="51" w:after="32"/>
        <w:ind w:right="619"/>
        <w:jc w:val="right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编号：</w:t>
      </w:r>
      <w:r>
        <w:rPr>
          <w:rFonts w:hint="eastAsia" w:ascii="宋体" w:hAnsi="宋体" w:eastAsia="宋体" w:cs="宋体"/>
          <w:sz w:val="20"/>
          <w:szCs w:val="20"/>
          <w:lang w:val="en-US"/>
        </w:rPr>
        <w:t>2025</w:t>
      </w:r>
      <w:r>
        <w:rPr>
          <w:rFonts w:hint="eastAsia" w:ascii="宋体" w:hAnsi="宋体" w:eastAsia="宋体" w:cs="宋体"/>
          <w:sz w:val="20"/>
          <w:szCs w:val="20"/>
        </w:rPr>
        <w:t>-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001</w:t>
      </w:r>
    </w:p>
    <w:tbl>
      <w:tblPr>
        <w:tblStyle w:val="9"/>
        <w:tblW w:w="85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2513"/>
        <w:gridCol w:w="6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801" w:hRule="atLeast"/>
          <w:jc w:val="center"/>
        </w:trPr>
        <w:tc>
          <w:tcPr>
            <w:tcW w:w="2513" w:type="dxa"/>
            <w:vAlign w:val="center"/>
          </w:tcPr>
          <w:p>
            <w:pPr>
              <w:pStyle w:val="12"/>
              <w:spacing w:before="7"/>
              <w:jc w:val="both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2"/>
              <w:spacing w:before="1"/>
              <w:ind w:left="107"/>
              <w:jc w:val="both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6012" w:type="dxa"/>
          </w:tcPr>
          <w:p>
            <w:pPr>
              <w:pStyle w:val="12"/>
              <w:spacing w:before="7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tabs>
                <w:tab w:val="left" w:pos="2418"/>
              </w:tabs>
              <w:spacing w:before="1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特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调研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师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</w:t>
            </w:r>
          </w:p>
          <w:p>
            <w:pPr>
              <w:pStyle w:val="12"/>
              <w:spacing w:before="11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tabs>
                <w:tab w:val="left" w:pos="2418"/>
              </w:tabs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媒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采访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Wingdings 2" w:hAnsi="Wingdings 2" w:eastAsia="MS Gothic" w:cs="宋体"/>
                    <w:sz w:val="20"/>
                    <w:szCs w:val="20"/>
                    <w:lang w:val="zh-CN" w:eastAsia="zh-CN" w:bidi="zh-CN"/>
                  </w:rPr>
                  <w:t>R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业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绩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说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</w:t>
            </w:r>
          </w:p>
          <w:p>
            <w:pPr>
              <w:pStyle w:val="12"/>
              <w:spacing w:before="8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tabs>
                <w:tab w:val="left" w:pos="2418"/>
              </w:tabs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新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路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活动</w:t>
            </w:r>
          </w:p>
          <w:p>
            <w:pPr>
              <w:pStyle w:val="12"/>
              <w:spacing w:before="8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现场参观</w:t>
            </w:r>
          </w:p>
          <w:p>
            <w:pPr>
              <w:pStyle w:val="12"/>
              <w:spacing w:before="11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12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其他（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2513" w:type="dxa"/>
            <w:vAlign w:val="center"/>
          </w:tcPr>
          <w:p>
            <w:pPr>
              <w:pStyle w:val="12"/>
              <w:spacing w:line="560" w:lineRule="exact"/>
              <w:ind w:left="107" w:right="96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参与单位名称及人员姓名</w:t>
            </w:r>
          </w:p>
        </w:tc>
        <w:tc>
          <w:tcPr>
            <w:tcW w:w="6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线上参加浦东建设</w:t>
            </w:r>
            <w:r>
              <w:rPr>
                <w:rFonts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2024年度暨2025年第一季度业绩说明会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  <w:lang w:val="en-US" w:eastAsia="zh-CN" w:bidi="ar"/>
              </w:rPr>
              <w:t>的投资者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13" w:type="dxa"/>
            <w:vAlign w:val="center"/>
          </w:tcPr>
          <w:p>
            <w:pPr>
              <w:pStyle w:val="12"/>
              <w:ind w:left="107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6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2025年5月15日 15:00-16:30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513" w:type="dxa"/>
            <w:vAlign w:val="center"/>
          </w:tcPr>
          <w:p>
            <w:pPr>
              <w:pStyle w:val="12"/>
              <w:ind w:left="107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6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价值在线（www.ir-online.cn）网络互动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13" w:type="dxa"/>
            <w:vAlign w:val="center"/>
          </w:tcPr>
          <w:p>
            <w:pPr>
              <w:pStyle w:val="12"/>
              <w:spacing w:before="1"/>
              <w:ind w:left="1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601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董事长 杨明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先生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董事、总经理 赵炜诚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先生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独立董事 宋航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先生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财务负责人 李蕾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女士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董事会秘书 陈栋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先生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2513" w:type="dxa"/>
          </w:tcPr>
          <w:p>
            <w:pPr>
              <w:pStyle w:val="1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2"/>
              <w:spacing w:before="5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2"/>
              <w:spacing w:before="1" w:line="499" w:lineRule="auto"/>
              <w:ind w:left="107" w:right="96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投资者关系活动主要内容介绍</w:t>
            </w:r>
          </w:p>
        </w:tc>
        <w:tc>
          <w:tcPr>
            <w:tcW w:w="6012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sz w:val="20"/>
              </w:rPr>
              <w:t>1.贵司业绩多年来平稳向上，从2025年一季度财务报表来看，营收和净利有较大幅度的下降，不知为何原因？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尊敬的投资者，您好！受市场项目投放节奏变化、部分新签合同项目开工时间有所延迟等因素影响，公司2025年一季度在建项目累计实现施工工作量少于上年同期，营业收入和净利润较上年同期减少。接下来，公司将全力以赴抓好市场开拓及在建工程的施工推进，力争较好</w:t>
            </w:r>
            <w:r>
              <w:rPr>
                <w:rFonts w:hint="eastAsia" w:ascii="宋体" w:hAnsi="宋体" w:eastAsia="宋体" w:cs="宋体"/>
                <w:b w:val="0"/>
                <w:sz w:val="20"/>
                <w:lang w:eastAsia="zh-CN"/>
              </w:rPr>
              <w:t>地</w:t>
            </w:r>
            <w:r>
              <w:rPr>
                <w:rFonts w:ascii="宋体" w:hAnsi="宋体" w:eastAsia="宋体" w:cs="宋体"/>
                <w:b w:val="0"/>
                <w:sz w:val="20"/>
              </w:rPr>
              <w:t>完成全年既定的目标任务。感谢您对公司的关注！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b/>
                <w:sz w:val="20"/>
              </w:rPr>
              <w:t>.请问贵司是否计划拓展长三角以外区域市场？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尊敬的投资者，您好！公司现有业务主要集中在上海，特别是上海浦东新区。从过往项目业绩上看，公司参与过合肥、无锡、常州、诸暨等长三角地区及山东等地区的快速路、骨干路、高架立交等城市路网、高等级公路、停车场、垃圾焚烧厂、保障房等一系列重大公共基础设施项目的建设。未来，公司将继续深耕浦东，并努力拓展包括长三角在内的外部区域市场，积极寻找新的市场机会。感谢您对公司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/>
                <w:sz w:val="20"/>
              </w:rPr>
              <w:t>.未来公司是否会调整分红政策？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尊敬的投资者，您好！公司将积极响应新“国九条”要求，综合考虑所在行业特性、竞争格局及资金需求等因素，确定当年度的利润分配方案。同时，公司将不断探索实施中期利润分配，并在利润分配中坚持现金分红优先的策略，在分配比例上力争稳定、可持续。欢迎投资者通过各种方式与公司保持联系，公司会认真倾听投资者关于利润分配的不同诉求。感谢您对公司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/>
                <w:sz w:val="20"/>
              </w:rPr>
              <w:t>.请问德勤园与Top芯联运营的如何？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尊敬的投资者，您好！公司结合区位优势和政策导向，与社会专业机构在德勤园和TOP芯联园区分别打造面向不同产业定位的专业孵化器，2024年陆续入选浦东新区创新型孵化器名录。通过路演及沙龙汇活动，公司园区业务成功链接众多行业知名企业与各类专家，在生物医药等领域树立了良好的知名度。通过“创新链</w:t>
            </w:r>
            <w:r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  <w:t>+</w:t>
            </w:r>
            <w:r>
              <w:rPr>
                <w:rFonts w:ascii="宋体" w:hAnsi="宋体" w:eastAsia="宋体" w:cs="宋体"/>
                <w:b w:val="0"/>
                <w:sz w:val="20"/>
              </w:rPr>
              <w:t>产业链</w:t>
            </w:r>
            <w:r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  <w:t>+</w:t>
            </w:r>
            <w:r>
              <w:rPr>
                <w:rFonts w:ascii="宋体" w:hAnsi="宋体" w:eastAsia="宋体" w:cs="宋体"/>
                <w:b w:val="0"/>
                <w:sz w:val="20"/>
              </w:rPr>
              <w:t>资金链</w:t>
            </w:r>
            <w:r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  <w:t>+</w:t>
            </w:r>
            <w:r>
              <w:rPr>
                <w:rFonts w:ascii="宋体" w:hAnsi="宋体" w:eastAsia="宋体" w:cs="宋体"/>
                <w:b w:val="0"/>
                <w:sz w:val="20"/>
              </w:rPr>
              <w:t>人才链”的创新融合生态招商模式，已陆续吸引了多家生物医药客户入驻。2024年，公司包含德勤园和TOP芯联园区在内的园区租赁业务累计实现营业收入4,072万元，较上年增长1,906万元。园区业务整体出租率上升，经营指标有所好转。未来，随着招商工作的进一步推进，园区业务收益情况将得到优化调整。感谢您对公司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/>
                <w:sz w:val="20"/>
              </w:rPr>
              <w:t>.公司在城市更新、城中村改造等 “三大工程” 中的订单获取优势是什么？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尊敬的投资者，您好</w:t>
            </w:r>
            <w:r>
              <w:rPr>
                <w:rFonts w:hint="eastAsia" w:ascii="宋体" w:hAnsi="宋体" w:eastAsia="宋体" w:cs="宋体"/>
                <w:b w:val="0"/>
                <w:sz w:val="20"/>
                <w:lang w:eastAsia="zh-CN"/>
              </w:rPr>
              <w:t>！</w:t>
            </w:r>
            <w:r>
              <w:rPr>
                <w:rFonts w:ascii="宋体" w:hAnsi="宋体" w:eastAsia="宋体" w:cs="宋体"/>
                <w:b w:val="0"/>
                <w:sz w:val="20"/>
              </w:rPr>
              <w:t>公司具有设计施工管理一体化的商业运作模式，子公司具有业务所需的资质条件，大量的实践经验使公司形成了较为成熟的项目运作模式，同时也为公司获取项目订单提供了有利条件。在资金端，公司资金储备充足，具备良好的投融资能力，可以通过多种金融工具持续获得资金支持，有利于保障项目的实际推动。感谢您对公司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b/>
                <w:sz w:val="20"/>
              </w:rPr>
              <w:t>.公司本期盈利水平如何？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尊敬的投资者，您好！2024年度，公司累计实现营业收入188.59亿，同比增长6.39%；归母净利润5.93亿元，同比增长2.82%；2025年第一季度，受市场项目投放节奏变化、部分新签合同项目开工时间有所延迟等因素影响，公司在建项目累计实现施工工作量少于上年同期，营业收入35.26亿元，归母净利润1.19亿元。接下来，公司将全力以赴抓好市场开拓及在建工程的施工推进，力争较好的完成全年既定的目标任务。感谢您对公司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b/>
                <w:sz w:val="20"/>
              </w:rPr>
              <w:t>.公司之后的盈利有什么增长点？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尊敬的投资者，您好！建筑工程施工业务是公司营业收入的主要组成部分，约占公司营业收入的97%。近年来，公司持续加强设计施工主业经营能力和核心竞争力建设，全力推进主业实力提质，提高市场占有率、重大合同获得能力、成本费用管控能力和精细化管理能力，以实现降本增效为目标，不断做精做强。同时，公司积极布局园区开发运营、设计等板块，探索发展新路径。目前，前述业务规模与体量尚小，暂无法对整体业绩产生重大影响。公司在巩固和扩大经营成果的同时，将积极关注各类新技术与城市建设、工程施工业务等的融合发展趋势，力争把握新的市场机遇</w:t>
            </w:r>
            <w:bookmarkStart w:id="0" w:name="_GoBack"/>
            <w:bookmarkEnd w:id="0"/>
            <w:r>
              <w:rPr>
                <w:rFonts w:ascii="宋体" w:hAnsi="宋体" w:eastAsia="宋体" w:cs="宋体"/>
                <w:b w:val="0"/>
                <w:sz w:val="20"/>
              </w:rPr>
              <w:t>。感谢您对公司的关注！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b/>
                <w:sz w:val="20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0"/>
                <w:lang w:eastAsia="zh-CN"/>
              </w:rPr>
              <w:t>建筑</w:t>
            </w:r>
            <w:r>
              <w:rPr>
                <w:rFonts w:ascii="宋体" w:hAnsi="宋体" w:eastAsia="宋体" w:cs="宋体"/>
                <w:b/>
                <w:sz w:val="20"/>
              </w:rPr>
              <w:t>行业本期整体业绩怎么样？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尊敬的投资者，您好！根据中国建筑业协会统计，2024年全年建筑业实现增加值8.99万亿元，同比增长3.8%，增速低于国内生产总值1.2个百分点；全国建筑业企业签订合同总额72.72万亿元，同比下降0.22%，增速比上年降低3.57个百分点，增速连续三年下降，行业仍处深度调整期。</w:t>
            </w:r>
            <w:r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  <w:t>2024年，</w:t>
            </w:r>
            <w:r>
              <w:rPr>
                <w:rFonts w:ascii="宋体" w:hAnsi="宋体" w:eastAsia="宋体" w:cs="宋体"/>
                <w:b w:val="0"/>
                <w:sz w:val="20"/>
              </w:rPr>
              <w:t>面对复杂多变的市场形势和高度竞争的环境，公司积极应对挑战，报告期内公司主要经济指标稳中有进，公司累计实现营业收入188.59亿，同比增长6.39%；归母净利润5.93亿元，同比增长2.82%，处于行业内良好水平。感谢您对公司的关注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2513" w:type="dxa"/>
            <w:vAlign w:val="center"/>
          </w:tcPr>
          <w:p>
            <w:pPr>
              <w:pStyle w:val="12"/>
              <w:spacing w:before="1"/>
              <w:ind w:left="107"/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关于本次活动是否涉及应</w:t>
            </w:r>
          </w:p>
          <w:p>
            <w:pPr>
              <w:pStyle w:val="12"/>
              <w:spacing w:before="1"/>
              <w:ind w:left="1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披露重大信息的说明</w:t>
            </w:r>
          </w:p>
        </w:tc>
        <w:tc>
          <w:tcPr>
            <w:tcW w:w="6012" w:type="dxa"/>
            <w:vAlign w:val="center"/>
          </w:tcPr>
          <w:p>
            <w:pPr>
              <w:pStyle w:val="12"/>
              <w:spacing w:before="1"/>
              <w:ind w:left="107"/>
              <w:rPr>
                <w:rFonts w:hint="eastAsia" w:cs="宋体" w:asciiTheme="minorEastAsia" w:hAnsiTheme="minorEastAsia"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0"/>
                <w:szCs w:val="20"/>
              </w:rPr>
              <w:t>本次活动不涉及未公开披露的重大信息。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13" w:type="dxa"/>
            <w:vAlign w:val="center"/>
          </w:tcPr>
          <w:p>
            <w:pPr>
              <w:pStyle w:val="12"/>
              <w:spacing w:before="1"/>
              <w:ind w:left="107" w:leftChars="0"/>
              <w:rPr>
                <w:rFonts w:ascii="宋体" w:hAnsi="宋体" w:eastAsia="宋体" w:cs="宋体"/>
                <w:b/>
                <w:bCs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附件清单（如有）</w:t>
            </w:r>
          </w:p>
        </w:tc>
        <w:tc>
          <w:tcPr>
            <w:tcW w:w="6012" w:type="dxa"/>
            <w:vAlign w:val="center"/>
          </w:tcPr>
          <w:p>
            <w:pPr>
              <w:pStyle w:val="12"/>
              <w:spacing w:before="1"/>
              <w:ind w:left="107"/>
              <w:rPr>
                <w:rFonts w:hint="eastAsia" w:cs="宋体" w:asciiTheme="minorEastAsia" w:hAnsiTheme="minorEastAsia" w:eastAsiaTheme="minorEastAsia"/>
                <w:b w:val="0"/>
                <w:bCs w:val="0"/>
                <w:sz w:val="20"/>
                <w:szCs w:val="20"/>
                <w:lang w:val="zh-CN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0"/>
                <w:szCs w:val="20"/>
                <w:lang w:val="zh-CN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13" w:type="dxa"/>
            <w:vAlign w:val="center"/>
          </w:tcPr>
          <w:p>
            <w:pPr>
              <w:pStyle w:val="12"/>
              <w:spacing w:before="1"/>
              <w:ind w:left="107" w:leftChars="0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6012" w:type="dxa"/>
            <w:vAlign w:val="center"/>
          </w:tcPr>
          <w:p>
            <w:pPr>
              <w:pStyle w:val="12"/>
              <w:spacing w:before="1"/>
              <w:ind w:left="107"/>
              <w:rPr>
                <w:rFonts w:hint="eastAsia" w:cs="宋体" w:asciiTheme="minorEastAsia" w:hAnsiTheme="minorEastAsia" w:eastAsiaTheme="minorEastAsia"/>
                <w:b w:val="0"/>
                <w:bCs w:val="0"/>
                <w:sz w:val="20"/>
                <w:szCs w:val="20"/>
                <w:lang w:val="zh-CN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0"/>
                <w:szCs w:val="20"/>
              </w:rPr>
              <w:t>2025年05月15日</w:t>
            </w:r>
          </w:p>
        </w:tc>
      </w:tr>
    </w:tbl>
    <w:p>
      <w:pPr>
        <w:rPr>
          <w:rFonts w:ascii="宋体" w:hAnsi="宋体" w:eastAsia="宋体" w:cs="宋体"/>
          <w:sz w:val="28"/>
          <w:szCs w:val="36"/>
        </w:rPr>
      </w:pPr>
    </w:p>
    <w:sectPr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72C24"/>
    <w:rsid w:val="001E59D1"/>
    <w:rsid w:val="001E5EA4"/>
    <w:rsid w:val="002042A7"/>
    <w:rsid w:val="00205911"/>
    <w:rsid w:val="002146AD"/>
    <w:rsid w:val="00275CB6"/>
    <w:rsid w:val="002800B5"/>
    <w:rsid w:val="00295B29"/>
    <w:rsid w:val="002D4073"/>
    <w:rsid w:val="002E7098"/>
    <w:rsid w:val="00301D32"/>
    <w:rsid w:val="00366FAD"/>
    <w:rsid w:val="0037105B"/>
    <w:rsid w:val="003975BA"/>
    <w:rsid w:val="003A74E6"/>
    <w:rsid w:val="003B73DD"/>
    <w:rsid w:val="003D011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F6FF3"/>
    <w:rsid w:val="00571B49"/>
    <w:rsid w:val="005743AE"/>
    <w:rsid w:val="005D64CA"/>
    <w:rsid w:val="005E5717"/>
    <w:rsid w:val="005E6DB2"/>
    <w:rsid w:val="0061433E"/>
    <w:rsid w:val="0062751D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D0A69"/>
    <w:rsid w:val="007D6DC4"/>
    <w:rsid w:val="00853463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60964"/>
    <w:rsid w:val="00965E4D"/>
    <w:rsid w:val="009B1D5C"/>
    <w:rsid w:val="009C2E31"/>
    <w:rsid w:val="009E1955"/>
    <w:rsid w:val="00A527AA"/>
    <w:rsid w:val="00A5684D"/>
    <w:rsid w:val="00A75C61"/>
    <w:rsid w:val="00A9601B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F132F"/>
    <w:rsid w:val="00C13878"/>
    <w:rsid w:val="00CA1705"/>
    <w:rsid w:val="00CE1A54"/>
    <w:rsid w:val="00CF5FB6"/>
    <w:rsid w:val="00D02518"/>
    <w:rsid w:val="00D17454"/>
    <w:rsid w:val="00D33FBC"/>
    <w:rsid w:val="00D7535C"/>
    <w:rsid w:val="00D76302"/>
    <w:rsid w:val="00DA5CE2"/>
    <w:rsid w:val="00DE10E8"/>
    <w:rsid w:val="00E16FDA"/>
    <w:rsid w:val="00E35F58"/>
    <w:rsid w:val="00E45BD9"/>
    <w:rsid w:val="00E66FFC"/>
    <w:rsid w:val="00E759D6"/>
    <w:rsid w:val="00E84A8C"/>
    <w:rsid w:val="00E976DE"/>
    <w:rsid w:val="00EC0F83"/>
    <w:rsid w:val="00EE3187"/>
    <w:rsid w:val="00EF499B"/>
    <w:rsid w:val="00F14977"/>
    <w:rsid w:val="00FB4A08"/>
    <w:rsid w:val="00FC0C2A"/>
    <w:rsid w:val="00FD7F8E"/>
    <w:rsid w:val="00FF11E4"/>
    <w:rsid w:val="04B072D4"/>
    <w:rsid w:val="05F575D4"/>
    <w:rsid w:val="064249C6"/>
    <w:rsid w:val="08641132"/>
    <w:rsid w:val="09186774"/>
    <w:rsid w:val="0945438F"/>
    <w:rsid w:val="0A71587A"/>
    <w:rsid w:val="0AB27314"/>
    <w:rsid w:val="0B792C38"/>
    <w:rsid w:val="0C28640C"/>
    <w:rsid w:val="0E90599A"/>
    <w:rsid w:val="0ED720CD"/>
    <w:rsid w:val="12070CAE"/>
    <w:rsid w:val="145F688C"/>
    <w:rsid w:val="14D47131"/>
    <w:rsid w:val="15680001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89C49C0"/>
    <w:rsid w:val="39BC78F4"/>
    <w:rsid w:val="3B35486F"/>
    <w:rsid w:val="3EF1250A"/>
    <w:rsid w:val="40567DB0"/>
    <w:rsid w:val="40FF5CD2"/>
    <w:rsid w:val="42061D0F"/>
    <w:rsid w:val="422E77FF"/>
    <w:rsid w:val="42DB40B0"/>
    <w:rsid w:val="43B71B0A"/>
    <w:rsid w:val="44FA0589"/>
    <w:rsid w:val="45A663E3"/>
    <w:rsid w:val="469F09AF"/>
    <w:rsid w:val="4B756271"/>
    <w:rsid w:val="4C8E1CA8"/>
    <w:rsid w:val="4D2F2294"/>
    <w:rsid w:val="4D6D36A4"/>
    <w:rsid w:val="510903EF"/>
    <w:rsid w:val="53F137F4"/>
    <w:rsid w:val="543A6906"/>
    <w:rsid w:val="55382968"/>
    <w:rsid w:val="56850CBB"/>
    <w:rsid w:val="583D1F2E"/>
    <w:rsid w:val="59D8738A"/>
    <w:rsid w:val="5A666D76"/>
    <w:rsid w:val="5B2253C2"/>
    <w:rsid w:val="5CF02E0F"/>
    <w:rsid w:val="5FF313B0"/>
    <w:rsid w:val="603269D2"/>
    <w:rsid w:val="61A52BCA"/>
    <w:rsid w:val="67095496"/>
    <w:rsid w:val="67ED7463"/>
    <w:rsid w:val="681A546A"/>
    <w:rsid w:val="68507D37"/>
    <w:rsid w:val="69CB37D4"/>
    <w:rsid w:val="6A0D5B9B"/>
    <w:rsid w:val="6A3B23B1"/>
    <w:rsid w:val="6AEA32DC"/>
    <w:rsid w:val="6CC24AB5"/>
    <w:rsid w:val="6D9271B2"/>
    <w:rsid w:val="6EE56679"/>
    <w:rsid w:val="6F134790"/>
    <w:rsid w:val="6FE81F5F"/>
    <w:rsid w:val="72446028"/>
    <w:rsid w:val="73076EC0"/>
    <w:rsid w:val="74210CA6"/>
    <w:rsid w:val="746F4E76"/>
    <w:rsid w:val="76430096"/>
    <w:rsid w:val="788C25F5"/>
    <w:rsid w:val="79F72AA9"/>
    <w:rsid w:val="7A144529"/>
    <w:rsid w:val="7C070C9F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</w:style>
  <w:style w:type="paragraph" w:styleId="4">
    <w:name w:val="Body Text"/>
    <w:basedOn w:val="1"/>
    <w:qFormat/>
    <w:uiPriority w:val="1"/>
    <w:pPr>
      <w:ind w:left="220"/>
    </w:pPr>
    <w:rPr>
      <w:sz w:val="32"/>
      <w:szCs w:val="32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10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字符"/>
    <w:basedOn w:val="10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批注文字 字符"/>
    <w:basedOn w:val="10"/>
    <w:link w:val="3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6">
    <w:name w:val="批注主题 字符"/>
    <w:basedOn w:val="15"/>
    <w:link w:val="8"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  <w:style w:type="character" w:customStyle="1" w:styleId="17">
    <w:name w:val="批注框文本 字符"/>
    <w:basedOn w:val="10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6454-D52C-4974-A468-5D02FFFCA6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2225</Words>
  <Characters>2389</Characters>
  <Lines>2</Lines>
  <Paragraphs>1</Paragraphs>
  <TotalTime>32</TotalTime>
  <ScaleCrop>false</ScaleCrop>
  <LinksUpToDate>false</LinksUpToDate>
  <CharactersWithSpaces>2523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2022-04-12T06:10:00Z</dcterms:created>
  <dc:creator>jie.huang</dc:creator>
  <cp:lastModifiedBy>Ding</cp:lastModifiedBy>
  <dcterms:modified xsi:type="dcterms:W3CDTF">2025-05-16T07:48:06Z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22AE4A628BD64EFDB0ABD72CBE9F2247</vt:lpwstr>
  </property>
  <property fmtid="{D5CDD505-2E9C-101B-9397-08002B2CF9AE}" pid="4" name="KSOTemplateDocerSaveRecord">
    <vt:lpwstr>eyJoZGlkIjoiNTUzZTM2MGJjMDUzYTJiMzllZmNhMmYwYjkxMTUzNjgiLCJ1c2VySWQiOiIxNzAxNDkwNTY3In0=</vt:lpwstr>
  </property>
</Properties>
</file>